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bookmarkStart w:id="0" w:name="_GoBack"/>
      <w:bookmarkEnd w:id="0"/>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753BC1">
        <w:rPr>
          <w:rFonts w:cs="Arial"/>
          <w:b/>
          <w:sz w:val="28"/>
          <w:szCs w:val="28"/>
          <w:u w:val="single"/>
        </w:rPr>
        <w:t>28 MARCH</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753BC1">
        <w:rPr>
          <w:rFonts w:cs="Arial"/>
          <w:b/>
          <w:sz w:val="28"/>
          <w:szCs w:val="28"/>
          <w:u w:val="single"/>
        </w:rPr>
        <w:t xml:space="preserve"> STAFFING – FEBRUARY</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Pr="002B1754" w:rsidRDefault="007E74F1" w:rsidP="002B1754">
      <w:pPr>
        <w:pStyle w:val="ListParagraph"/>
        <w:numPr>
          <w:ilvl w:val="0"/>
          <w:numId w:val="1"/>
        </w:numPr>
        <w:ind w:left="56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during the month of February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2B1754" w:rsidRPr="00577C49" w:rsidRDefault="002B1754" w:rsidP="002B1754">
      <w:pPr>
        <w:pStyle w:val="ListParagraph"/>
        <w:ind w:left="567"/>
        <w:jc w:val="both"/>
        <w:rPr>
          <w:rFonts w:cs="Arial"/>
        </w:rPr>
      </w:pPr>
    </w:p>
    <w:p w:rsidR="002B1754" w:rsidRPr="00157149" w:rsidRDefault="002B1754" w:rsidP="00157149">
      <w:pPr>
        <w:pStyle w:val="ListParagraph"/>
        <w:numPr>
          <w:ilvl w:val="0"/>
          <w:numId w:val="1"/>
        </w:numPr>
        <w:ind w:left="567"/>
        <w:jc w:val="both"/>
        <w:rPr>
          <w:rFonts w:cs="Arial"/>
        </w:rPr>
      </w:pPr>
      <w:r>
        <w:rPr>
          <w:rFonts w:cs="Arial"/>
        </w:rPr>
        <w:t xml:space="preserve">Part one refers to inpatient areas and part two relates to community teams. </w:t>
      </w:r>
    </w:p>
    <w:p w:rsidR="002B1754" w:rsidRPr="002B1754" w:rsidRDefault="002B1754" w:rsidP="002B1754">
      <w:pPr>
        <w:jc w:val="both"/>
        <w:rPr>
          <w:rFonts w:cs="Arial"/>
        </w:rPr>
      </w:pPr>
    </w:p>
    <w:p w:rsidR="00DC613A" w:rsidRDefault="002B1754" w:rsidP="00DC613A">
      <w:pPr>
        <w:pStyle w:val="ListParagraph"/>
        <w:numPr>
          <w:ilvl w:val="0"/>
          <w:numId w:val="1"/>
        </w:numPr>
        <w:ind w:left="567"/>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207FDE" w:rsidRPr="00757A6B" w:rsidRDefault="00207FDE" w:rsidP="00757A6B">
      <w:pPr>
        <w:rPr>
          <w:rFonts w:cs="Arial"/>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 xml:space="preserve">assurance that arrangements are in place to safely staff our services with the right number of staff 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014218" w:rsidRPr="00014218" w:rsidRDefault="00014218" w:rsidP="00014218">
      <w:pPr>
        <w:pStyle w:val="ListParagraph"/>
        <w:ind w:hanging="720"/>
        <w:jc w:val="both"/>
        <w:rPr>
          <w:rFonts w:cs="Arial"/>
        </w:rPr>
      </w:pPr>
      <w:r>
        <w:rPr>
          <w:rFonts w:cs="Arial"/>
          <w:b/>
          <w:u w:val="single"/>
        </w:rPr>
        <w:t>Trust level highlights for February 2019</w:t>
      </w:r>
      <w:r w:rsidRPr="00014218">
        <w:rPr>
          <w:rFonts w:cs="Arial"/>
        </w:rPr>
        <w:t xml:space="preserve"> </w:t>
      </w:r>
    </w:p>
    <w:p w:rsidR="00014218" w:rsidRDefault="00014218" w:rsidP="00014218">
      <w:pPr>
        <w:pStyle w:val="ListParagraph"/>
        <w:ind w:left="567"/>
        <w:jc w:val="both"/>
        <w:rPr>
          <w:rFonts w:cs="Arial"/>
        </w:rPr>
      </w:pPr>
    </w:p>
    <w:p w:rsidR="00102B5F" w:rsidRDefault="00014218" w:rsidP="00102B5F">
      <w:pPr>
        <w:pStyle w:val="ListParagraph"/>
        <w:numPr>
          <w:ilvl w:val="0"/>
          <w:numId w:val="24"/>
        </w:numPr>
        <w:ind w:left="714" w:hanging="357"/>
        <w:rPr>
          <w:rFonts w:cs="Arial"/>
        </w:rPr>
      </w:pPr>
      <w:r w:rsidRPr="00EF3A6A">
        <w:rPr>
          <w:rFonts w:cs="Arial"/>
        </w:rPr>
        <w:t xml:space="preserve">The </w:t>
      </w:r>
      <w:r w:rsidR="00EF3A6A" w:rsidRPr="00EF3A6A">
        <w:rPr>
          <w:rFonts w:cs="Arial"/>
        </w:rPr>
        <w:t xml:space="preserve">total </w:t>
      </w:r>
      <w:r w:rsidRPr="00EF3A6A">
        <w:rPr>
          <w:rFonts w:cs="Arial"/>
        </w:rPr>
        <w:t xml:space="preserve">number of </w:t>
      </w:r>
      <w:r w:rsidR="00102B5F">
        <w:rPr>
          <w:rFonts w:cs="Arial"/>
        </w:rPr>
        <w:t xml:space="preserve">Trust wide </w:t>
      </w:r>
      <w:r w:rsidRPr="00EF3A6A">
        <w:rPr>
          <w:rFonts w:cs="Arial"/>
        </w:rPr>
        <w:t>Registered Nurse</w:t>
      </w:r>
      <w:r w:rsidR="00102B5F">
        <w:rPr>
          <w:rFonts w:cs="Arial"/>
        </w:rPr>
        <w:t xml:space="preserve"> (RN) vacancies</w:t>
      </w:r>
      <w:r w:rsidRPr="00EF3A6A">
        <w:rPr>
          <w:rFonts w:cs="Arial"/>
        </w:rPr>
        <w:t xml:space="preserve"> </w:t>
      </w:r>
      <w:r w:rsidR="00EF3A6A" w:rsidRPr="00EF3A6A">
        <w:rPr>
          <w:rFonts w:cs="Arial"/>
        </w:rPr>
        <w:t>reported this month is 200 w</w:t>
      </w:r>
      <w:r w:rsidR="00EF3A6A">
        <w:rPr>
          <w:rFonts w:cs="Arial"/>
        </w:rPr>
        <w:t>.</w:t>
      </w:r>
      <w:r w:rsidR="00EF3A6A" w:rsidRPr="00EF3A6A">
        <w:rPr>
          <w:rFonts w:cs="Arial"/>
        </w:rPr>
        <w:t>t</w:t>
      </w:r>
      <w:r w:rsidR="00EF3A6A">
        <w:rPr>
          <w:rFonts w:cs="Arial"/>
        </w:rPr>
        <w:t>.</w:t>
      </w:r>
      <w:r w:rsidR="00102B5F">
        <w:rPr>
          <w:rFonts w:cs="Arial"/>
        </w:rPr>
        <w:t>e posts (</w:t>
      </w:r>
      <w:r w:rsidR="00EF3A6A" w:rsidRPr="00EF3A6A">
        <w:rPr>
          <w:rFonts w:cs="Arial"/>
        </w:rPr>
        <w:t xml:space="preserve">127.44 – inpatients and </w:t>
      </w:r>
      <w:r w:rsidR="00EF3A6A">
        <w:rPr>
          <w:rFonts w:cs="Arial"/>
        </w:rPr>
        <w:t>74.6 community</w:t>
      </w:r>
      <w:r w:rsidR="00102B5F">
        <w:rPr>
          <w:rFonts w:cs="Arial"/>
        </w:rPr>
        <w:t>)</w:t>
      </w:r>
      <w:r w:rsidR="00EF3A6A" w:rsidRPr="00EF3A6A">
        <w:rPr>
          <w:rFonts w:cs="Arial"/>
        </w:rPr>
        <w:t xml:space="preserve">. </w:t>
      </w:r>
      <w:r w:rsidR="00EF3A6A" w:rsidRPr="00102B5F">
        <w:rPr>
          <w:rFonts w:cs="Arial"/>
        </w:rPr>
        <w:t xml:space="preserve">This is an increased position this month by 17.75 w.t.e posts, the notable </w:t>
      </w:r>
      <w:r w:rsidR="00102B5F">
        <w:rPr>
          <w:rFonts w:cs="Arial"/>
        </w:rPr>
        <w:t>increase is in community teams.</w:t>
      </w:r>
    </w:p>
    <w:p w:rsidR="00102B5F" w:rsidRDefault="00102B5F" w:rsidP="00102B5F">
      <w:pPr>
        <w:pStyle w:val="ListParagraph"/>
        <w:numPr>
          <w:ilvl w:val="0"/>
          <w:numId w:val="24"/>
        </w:numPr>
        <w:ind w:left="714" w:hanging="357"/>
        <w:rPr>
          <w:rFonts w:cs="Arial"/>
        </w:rPr>
      </w:pPr>
      <w:r>
        <w:rPr>
          <w:rFonts w:cs="Arial"/>
        </w:rPr>
        <w:t>The total number of Trust wide Health Care Support Worker (HCSW) vacancies reported this month is 73.42 w.t.e. posts (52.98 – in-patients and 20.44 community).</w:t>
      </w:r>
      <w:r w:rsidR="000850A2">
        <w:rPr>
          <w:rFonts w:cs="Arial"/>
        </w:rPr>
        <w:t xml:space="preserve"> This is an increased position this month by only 0.4 w.t.e post.</w:t>
      </w:r>
    </w:p>
    <w:p w:rsidR="00AA2D74" w:rsidRDefault="00AA2D74" w:rsidP="00102B5F">
      <w:pPr>
        <w:pStyle w:val="ListParagraph"/>
        <w:numPr>
          <w:ilvl w:val="0"/>
          <w:numId w:val="24"/>
        </w:numPr>
        <w:jc w:val="both"/>
        <w:rPr>
          <w:rFonts w:cs="Arial"/>
        </w:rPr>
      </w:pPr>
      <w:r w:rsidRPr="00102B5F">
        <w:rPr>
          <w:rFonts w:cs="Arial"/>
        </w:rPr>
        <w:t xml:space="preserve">Collaborative work </w:t>
      </w:r>
      <w:r w:rsidR="00755488" w:rsidRPr="00102B5F">
        <w:rPr>
          <w:rFonts w:cs="Arial"/>
        </w:rPr>
        <w:t>to address</w:t>
      </w:r>
      <w:r w:rsidR="00FD4A40">
        <w:rPr>
          <w:rFonts w:cs="Arial"/>
        </w:rPr>
        <w:t xml:space="preserve"> nursing vacancie</w:t>
      </w:r>
      <w:r w:rsidRPr="00102B5F">
        <w:rPr>
          <w:rFonts w:cs="Arial"/>
        </w:rPr>
        <w:t>s continues</w:t>
      </w:r>
      <w:r w:rsidR="00EF3A6A" w:rsidRPr="00102B5F">
        <w:rPr>
          <w:rFonts w:cs="Arial"/>
        </w:rPr>
        <w:t>,</w:t>
      </w:r>
      <w:r w:rsidRPr="00102B5F">
        <w:rPr>
          <w:rFonts w:cs="Arial"/>
        </w:rPr>
        <w:t xml:space="preserve"> </w:t>
      </w:r>
      <w:r w:rsidR="00EF3A6A" w:rsidRPr="00102B5F">
        <w:rPr>
          <w:rFonts w:cs="Arial"/>
        </w:rPr>
        <w:t>including;</w:t>
      </w:r>
      <w:r w:rsidR="00092B29" w:rsidRPr="00102B5F">
        <w:rPr>
          <w:rFonts w:cs="Arial"/>
        </w:rPr>
        <w:t xml:space="preserve"> </w:t>
      </w:r>
      <w:r w:rsidR="00EF3A6A" w:rsidRPr="00102B5F">
        <w:rPr>
          <w:rFonts w:cs="Arial"/>
        </w:rPr>
        <w:t>participation in the</w:t>
      </w:r>
      <w:r w:rsidRPr="00102B5F">
        <w:rPr>
          <w:rFonts w:cs="Arial"/>
        </w:rPr>
        <w:t xml:space="preserve"> </w:t>
      </w:r>
      <w:r w:rsidR="00092B29" w:rsidRPr="00102B5F">
        <w:rPr>
          <w:rFonts w:cs="Arial"/>
        </w:rPr>
        <w:t xml:space="preserve">national </w:t>
      </w:r>
      <w:r w:rsidRPr="00102B5F">
        <w:rPr>
          <w:rFonts w:cs="Arial"/>
        </w:rPr>
        <w:t xml:space="preserve">campaign to transform perceptions of nursing and improve nursing recruitment, </w:t>
      </w:r>
      <w:r w:rsidR="00755488" w:rsidRPr="00102B5F">
        <w:rPr>
          <w:rFonts w:cs="Arial"/>
        </w:rPr>
        <w:t xml:space="preserve">new roles </w:t>
      </w:r>
      <w:r w:rsidRPr="00102B5F">
        <w:rPr>
          <w:rFonts w:cs="Arial"/>
        </w:rPr>
        <w:t xml:space="preserve">and </w:t>
      </w:r>
      <w:r w:rsidR="00755488" w:rsidRPr="00102B5F">
        <w:rPr>
          <w:rFonts w:cs="Arial"/>
        </w:rPr>
        <w:t>new ways of working</w:t>
      </w:r>
      <w:r w:rsidRPr="00102B5F">
        <w:rPr>
          <w:rFonts w:cs="Arial"/>
        </w:rPr>
        <w:t>; Trust New Roles workshop part two on 27 March 2019</w:t>
      </w:r>
      <w:r w:rsidR="00755488" w:rsidRPr="00102B5F">
        <w:rPr>
          <w:rFonts w:cs="Arial"/>
        </w:rPr>
        <w:t xml:space="preserve">, </w:t>
      </w:r>
      <w:r w:rsidRPr="00102B5F">
        <w:rPr>
          <w:rFonts w:cs="Arial"/>
        </w:rPr>
        <w:t xml:space="preserve">workforce planning and </w:t>
      </w:r>
      <w:r w:rsidR="00092B29" w:rsidRPr="00102B5F">
        <w:rPr>
          <w:rFonts w:cs="Arial"/>
        </w:rPr>
        <w:t xml:space="preserve">commitment to a </w:t>
      </w:r>
      <w:r w:rsidRPr="00102B5F">
        <w:rPr>
          <w:rFonts w:cs="Arial"/>
        </w:rPr>
        <w:t>‘grow your own’ strategy.</w:t>
      </w:r>
    </w:p>
    <w:p w:rsidR="00FD4A40" w:rsidRDefault="00FD4A40" w:rsidP="00FD4A40">
      <w:pPr>
        <w:pStyle w:val="ListParagraph"/>
        <w:numPr>
          <w:ilvl w:val="0"/>
          <w:numId w:val="24"/>
        </w:numPr>
        <w:rPr>
          <w:rFonts w:cs="Arial"/>
        </w:rPr>
      </w:pPr>
      <w:r>
        <w:rPr>
          <w:rFonts w:cs="Arial"/>
        </w:rPr>
        <w:t>The first c</w:t>
      </w:r>
      <w:r w:rsidRPr="00825B05">
        <w:rPr>
          <w:rFonts w:cs="Arial"/>
        </w:rPr>
        <w:t>ohort</w:t>
      </w:r>
      <w:r>
        <w:rPr>
          <w:rFonts w:cs="Arial"/>
        </w:rPr>
        <w:t xml:space="preserve"> of </w:t>
      </w:r>
      <w:r w:rsidRPr="00E51846">
        <w:rPr>
          <w:rFonts w:cs="Arial"/>
        </w:rPr>
        <w:t>eleven Nursing Associates (NAs) are currently awaiting their final results, successful trainees will be able to apply to register with the NMC in April/May 2019</w:t>
      </w:r>
      <w:r>
        <w:rPr>
          <w:rFonts w:cs="Arial"/>
        </w:rPr>
        <w:t xml:space="preserve"> then deployed as registered Nursing Associates</w:t>
      </w:r>
      <w:r w:rsidRPr="00E51846">
        <w:rPr>
          <w:rFonts w:cs="Arial"/>
        </w:rPr>
        <w:t xml:space="preserve">. </w:t>
      </w:r>
    </w:p>
    <w:p w:rsidR="00FD4A40" w:rsidRPr="00102B5F" w:rsidRDefault="00FD4A40" w:rsidP="00FD4A40">
      <w:pPr>
        <w:pStyle w:val="ListParagraph"/>
        <w:jc w:val="both"/>
        <w:rPr>
          <w:rFonts w:cs="Arial"/>
        </w:rPr>
      </w:pPr>
    </w:p>
    <w:p w:rsidR="00014218" w:rsidRPr="00EF3A6A" w:rsidRDefault="00AA2D74" w:rsidP="00014218">
      <w:pPr>
        <w:pStyle w:val="ListParagraph"/>
        <w:numPr>
          <w:ilvl w:val="0"/>
          <w:numId w:val="24"/>
        </w:numPr>
        <w:jc w:val="both"/>
        <w:rPr>
          <w:rFonts w:cs="Arial"/>
        </w:rPr>
      </w:pPr>
      <w:r w:rsidRPr="00EF3A6A">
        <w:rPr>
          <w:rFonts w:cs="Arial"/>
        </w:rPr>
        <w:lastRenderedPageBreak/>
        <w:t xml:space="preserve"> </w:t>
      </w:r>
      <w:r w:rsidR="00014218" w:rsidRPr="00EF3A6A">
        <w:rPr>
          <w:rFonts w:cs="Arial"/>
        </w:rPr>
        <w:t>As o</w:t>
      </w:r>
      <w:r w:rsidR="000850A2">
        <w:rPr>
          <w:rFonts w:cs="Arial"/>
        </w:rPr>
        <w:t xml:space="preserve">f the 1 March 2019 there are 39.24 w.t.e </w:t>
      </w:r>
      <w:r w:rsidR="006B1D7E" w:rsidRPr="00EF3A6A">
        <w:rPr>
          <w:rFonts w:cs="Arial"/>
        </w:rPr>
        <w:t>c</w:t>
      </w:r>
      <w:r w:rsidR="00014218" w:rsidRPr="00EF3A6A">
        <w:rPr>
          <w:rFonts w:cs="Arial"/>
        </w:rPr>
        <w:t>an</w:t>
      </w:r>
      <w:r w:rsidR="006B1D7E" w:rsidRPr="00EF3A6A">
        <w:rPr>
          <w:rFonts w:cs="Arial"/>
        </w:rPr>
        <w:t>didates in the recruitment pipeline, expected to join the Trust over the next few months</w:t>
      </w:r>
      <w:r w:rsidR="00A805EC" w:rsidRPr="00EF3A6A">
        <w:rPr>
          <w:rFonts w:cs="Arial"/>
        </w:rPr>
        <w:t>.</w:t>
      </w:r>
    </w:p>
    <w:p w:rsidR="005543EE" w:rsidRPr="005543EE" w:rsidRDefault="006B1D7E" w:rsidP="006B1D7E">
      <w:pPr>
        <w:pStyle w:val="ListParagraph"/>
        <w:numPr>
          <w:ilvl w:val="0"/>
          <w:numId w:val="24"/>
        </w:numPr>
        <w:jc w:val="both"/>
        <w:rPr>
          <w:rFonts w:cs="Arial"/>
        </w:rPr>
      </w:pPr>
      <w:r w:rsidRPr="00EF3A6A">
        <w:rPr>
          <w:rFonts w:cs="Arial"/>
        </w:rPr>
        <w:t>The total temporary worker rate slightly increased from the previous month by 2.4</w:t>
      </w:r>
      <w:r w:rsidR="006B6366" w:rsidRPr="00EF3A6A">
        <w:rPr>
          <w:rFonts w:cs="Arial"/>
        </w:rPr>
        <w:t>%</w:t>
      </w:r>
      <w:r w:rsidR="00DC613A" w:rsidRPr="00EF3A6A">
        <w:rPr>
          <w:rFonts w:cs="Arial"/>
        </w:rPr>
        <w:t xml:space="preserve"> overall</w:t>
      </w:r>
      <w:r w:rsidR="005543EE" w:rsidRPr="00EF3A6A">
        <w:rPr>
          <w:rFonts w:cs="Arial"/>
        </w:rPr>
        <w:t xml:space="preserve"> 32.6%</w:t>
      </w:r>
      <w:r w:rsidR="006B6366" w:rsidRPr="00EF3A6A">
        <w:rPr>
          <w:rFonts w:cs="Arial"/>
        </w:rPr>
        <w:t xml:space="preserve">. Agency usage has remained at </w:t>
      </w:r>
      <w:r w:rsidRPr="00EF3A6A">
        <w:rPr>
          <w:rFonts w:cs="Arial"/>
          <w:color w:val="000000"/>
        </w:rPr>
        <w:t xml:space="preserve">3.5% </w:t>
      </w:r>
      <w:r w:rsidR="00DC613A" w:rsidRPr="00EF3A6A">
        <w:rPr>
          <w:rFonts w:cs="Arial"/>
        </w:rPr>
        <w:t>for the past two</w:t>
      </w:r>
      <w:r w:rsidR="006B6366" w:rsidRPr="00EF3A6A">
        <w:rPr>
          <w:rFonts w:cs="Arial"/>
        </w:rPr>
        <w:t xml:space="preserve"> months</w:t>
      </w:r>
      <w:r w:rsidR="00A805EC" w:rsidRPr="00EF3A6A">
        <w:rPr>
          <w:rFonts w:cs="Arial"/>
        </w:rPr>
        <w:t xml:space="preserve"> reduced from </w:t>
      </w:r>
      <w:r w:rsidR="00DC613A" w:rsidRPr="00EF3A6A">
        <w:rPr>
          <w:rFonts w:cs="Arial"/>
        </w:rPr>
        <w:t>3.9%</w:t>
      </w:r>
      <w:r w:rsidR="00A805EC" w:rsidRPr="00EF3A6A">
        <w:rPr>
          <w:rFonts w:cs="Arial"/>
        </w:rPr>
        <w:t xml:space="preserve"> in December 2018</w:t>
      </w:r>
      <w:r w:rsidR="005543EE" w:rsidRPr="00EF3A6A">
        <w:rPr>
          <w:rFonts w:cs="Arial"/>
        </w:rPr>
        <w:t>, evidence suggests that utilising bank staff as opposed to agency staff has better patient care and experience outcomes</w:t>
      </w:r>
      <w:r w:rsidR="005543EE" w:rsidRPr="005543EE">
        <w:rPr>
          <w:rFonts w:cs="Arial"/>
        </w:rPr>
        <w:t>.</w:t>
      </w:r>
      <w:r w:rsidR="00755488" w:rsidRPr="005543EE">
        <w:rPr>
          <w:rFonts w:cs="Arial"/>
        </w:rPr>
        <w:t xml:space="preserve"> </w:t>
      </w:r>
    </w:p>
    <w:p w:rsidR="00CC3362" w:rsidRPr="005543EE" w:rsidRDefault="006B1D7E" w:rsidP="006B1D7E">
      <w:pPr>
        <w:pStyle w:val="ListParagraph"/>
        <w:numPr>
          <w:ilvl w:val="0"/>
          <w:numId w:val="24"/>
        </w:numPr>
        <w:jc w:val="both"/>
        <w:rPr>
          <w:rFonts w:cs="Arial"/>
        </w:rPr>
      </w:pPr>
      <w:r w:rsidRPr="005543EE">
        <w:rPr>
          <w:rFonts w:cs="Arial"/>
        </w:rPr>
        <w:t xml:space="preserve">Temporary staff utilisation </w:t>
      </w:r>
      <w:r w:rsidR="006B6366" w:rsidRPr="005543EE">
        <w:rPr>
          <w:rFonts w:cs="Arial"/>
        </w:rPr>
        <w:t>i</w:t>
      </w:r>
      <w:r w:rsidRPr="005543EE">
        <w:rPr>
          <w:rFonts w:cs="Arial"/>
        </w:rPr>
        <w:t>s above 20% across 66% of the inpatient areas.</w:t>
      </w:r>
      <w:r w:rsidR="006B6366" w:rsidRPr="005543EE">
        <w:rPr>
          <w:rFonts w:cs="Arial"/>
        </w:rPr>
        <w:t xml:space="preserve"> </w:t>
      </w:r>
      <w:r w:rsidR="00092B29">
        <w:rPr>
          <w:rFonts w:cs="Arial"/>
        </w:rPr>
        <w:t>U</w:t>
      </w:r>
      <w:r w:rsidRPr="005543EE">
        <w:rPr>
          <w:rFonts w:cs="Arial"/>
        </w:rPr>
        <w:t xml:space="preserve">tilisation is associated </w:t>
      </w:r>
      <w:r w:rsidR="00D15B60">
        <w:rPr>
          <w:rFonts w:cs="Arial"/>
        </w:rPr>
        <w:t>predominantly</w:t>
      </w:r>
      <w:r w:rsidR="00755488" w:rsidRPr="005543EE">
        <w:rPr>
          <w:rFonts w:cs="Arial"/>
        </w:rPr>
        <w:t xml:space="preserve"> </w:t>
      </w:r>
      <w:r w:rsidRPr="005543EE">
        <w:rPr>
          <w:rFonts w:cs="Arial"/>
        </w:rPr>
        <w:t xml:space="preserve">with </w:t>
      </w:r>
      <w:r w:rsidR="00092B29">
        <w:rPr>
          <w:rFonts w:cs="Arial"/>
        </w:rPr>
        <w:t xml:space="preserve">high </w:t>
      </w:r>
      <w:r w:rsidRPr="005543EE">
        <w:rPr>
          <w:rFonts w:cs="Arial"/>
        </w:rPr>
        <w:t xml:space="preserve">numbers of </w:t>
      </w:r>
      <w:r w:rsidR="00D15B60" w:rsidRPr="005543EE">
        <w:rPr>
          <w:rFonts w:cs="Arial"/>
        </w:rPr>
        <w:t>vacancies;</w:t>
      </w:r>
      <w:r w:rsidRPr="005543EE">
        <w:rPr>
          <w:rFonts w:cs="Arial"/>
        </w:rPr>
        <w:t xml:space="preserve"> </w:t>
      </w:r>
      <w:r w:rsidR="00755488" w:rsidRPr="005543EE">
        <w:rPr>
          <w:rFonts w:cs="Arial"/>
        </w:rPr>
        <w:t xml:space="preserve">however </w:t>
      </w:r>
      <w:r w:rsidR="00092B29">
        <w:rPr>
          <w:rFonts w:cs="Arial"/>
        </w:rPr>
        <w:t xml:space="preserve">it is also associated </w:t>
      </w:r>
      <w:r w:rsidR="00D15B60">
        <w:rPr>
          <w:rFonts w:cs="Arial"/>
        </w:rPr>
        <w:t xml:space="preserve">with </w:t>
      </w:r>
      <w:r w:rsidRPr="005543EE">
        <w:rPr>
          <w:rFonts w:cs="Arial"/>
        </w:rPr>
        <w:t xml:space="preserve">sickness </w:t>
      </w:r>
      <w:r w:rsidR="00D15B60">
        <w:rPr>
          <w:rFonts w:cs="Arial"/>
        </w:rPr>
        <w:t xml:space="preserve">levels </w:t>
      </w:r>
      <w:r w:rsidRPr="005543EE">
        <w:rPr>
          <w:rFonts w:cs="Arial"/>
        </w:rPr>
        <w:t xml:space="preserve">and increased patient acuity. </w:t>
      </w:r>
    </w:p>
    <w:p w:rsidR="0071004F" w:rsidRDefault="002738CE" w:rsidP="004E0B29">
      <w:pPr>
        <w:pStyle w:val="ListParagraph"/>
        <w:numPr>
          <w:ilvl w:val="0"/>
          <w:numId w:val="24"/>
        </w:numPr>
        <w:jc w:val="both"/>
        <w:rPr>
          <w:rFonts w:cs="Arial"/>
        </w:rPr>
      </w:pPr>
      <w:r w:rsidRPr="0071004F">
        <w:rPr>
          <w:rFonts w:cs="Arial"/>
        </w:rPr>
        <w:t>There are ten hotspot</w:t>
      </w:r>
      <w:r w:rsidR="006B1D7E" w:rsidRPr="0071004F">
        <w:rPr>
          <w:rFonts w:cs="Arial"/>
        </w:rPr>
        <w:t xml:space="preserve"> inpatient a</w:t>
      </w:r>
      <w:r w:rsidR="002F4FE0" w:rsidRPr="0071004F">
        <w:rPr>
          <w:rFonts w:cs="Arial"/>
        </w:rPr>
        <w:t>reas across the Trust</w:t>
      </w:r>
      <w:r w:rsidRPr="0071004F">
        <w:rPr>
          <w:rFonts w:cs="Arial"/>
        </w:rPr>
        <w:t xml:space="preserve">, </w:t>
      </w:r>
      <w:r w:rsidR="0087683B" w:rsidRPr="0071004F">
        <w:rPr>
          <w:rFonts w:cs="Arial"/>
        </w:rPr>
        <w:t xml:space="preserve">eight of the ten did not meet the threshold for planned staffing at all times and </w:t>
      </w:r>
      <w:r w:rsidRPr="0071004F">
        <w:rPr>
          <w:rFonts w:cs="Arial"/>
        </w:rPr>
        <w:t xml:space="preserve">five of </w:t>
      </w:r>
      <w:r w:rsidR="0087683B" w:rsidRPr="0071004F">
        <w:rPr>
          <w:rFonts w:cs="Arial"/>
        </w:rPr>
        <w:t>the ten c</w:t>
      </w:r>
      <w:r w:rsidR="00755488" w:rsidRPr="0071004F">
        <w:rPr>
          <w:rFonts w:cs="Arial"/>
        </w:rPr>
        <w:t xml:space="preserve">onsistently use </w:t>
      </w:r>
      <w:r w:rsidR="006B1D7E" w:rsidRPr="0071004F">
        <w:rPr>
          <w:rFonts w:cs="Arial"/>
        </w:rPr>
        <w:t>over 50% of temporary workers to achieve staffing safely</w:t>
      </w:r>
      <w:r w:rsidR="0087683B" w:rsidRPr="0071004F">
        <w:rPr>
          <w:rFonts w:cs="Arial"/>
        </w:rPr>
        <w:t xml:space="preserve">. </w:t>
      </w:r>
      <w:r w:rsidRPr="0071004F">
        <w:rPr>
          <w:rFonts w:cs="Arial"/>
        </w:rPr>
        <w:t xml:space="preserve"> </w:t>
      </w:r>
      <w:r w:rsidR="0071004F" w:rsidRPr="0071004F">
        <w:rPr>
          <w:rFonts w:cs="Arial"/>
        </w:rPr>
        <w:t>There are al</w:t>
      </w:r>
      <w:r w:rsidR="0071004F">
        <w:rPr>
          <w:rFonts w:cs="Arial"/>
        </w:rPr>
        <w:t xml:space="preserve">so ten community team hot spots areas across CHS and FYPC. </w:t>
      </w:r>
    </w:p>
    <w:p w:rsidR="004E0B29" w:rsidRDefault="0071004F" w:rsidP="004E0B29">
      <w:pPr>
        <w:pStyle w:val="ListParagraph"/>
        <w:numPr>
          <w:ilvl w:val="0"/>
          <w:numId w:val="24"/>
        </w:numPr>
        <w:jc w:val="both"/>
        <w:rPr>
          <w:rFonts w:cs="Arial"/>
        </w:rPr>
      </w:pPr>
      <w:r>
        <w:rPr>
          <w:rFonts w:cs="Arial"/>
        </w:rPr>
        <w:t>Where</w:t>
      </w:r>
      <w:r w:rsidR="00D15B60" w:rsidRPr="0071004F">
        <w:rPr>
          <w:rFonts w:cs="Arial"/>
        </w:rPr>
        <w:t xml:space="preserve"> </w:t>
      </w:r>
      <w:r>
        <w:rPr>
          <w:rFonts w:cs="Arial"/>
        </w:rPr>
        <w:t xml:space="preserve">inpatient </w:t>
      </w:r>
      <w:r w:rsidR="00D15B60" w:rsidRPr="0071004F">
        <w:rPr>
          <w:rFonts w:cs="Arial"/>
        </w:rPr>
        <w:t>staffing is at less</w:t>
      </w:r>
      <w:r w:rsidR="0087683B" w:rsidRPr="0071004F">
        <w:rPr>
          <w:rFonts w:cs="Arial"/>
        </w:rPr>
        <w:t xml:space="preserve"> than 80% actual fill rate and </w:t>
      </w:r>
      <w:r w:rsidR="00D15B60" w:rsidRPr="0071004F">
        <w:rPr>
          <w:rFonts w:cs="Arial"/>
        </w:rPr>
        <w:t>50% substantive staff</w:t>
      </w:r>
      <w:r w:rsidR="004E0B29" w:rsidRPr="0071004F">
        <w:rPr>
          <w:rFonts w:cs="Arial"/>
        </w:rPr>
        <w:t xml:space="preserve"> this is a moderate risk, referred to as a ‘tipping- point’ indicating </w:t>
      </w:r>
      <w:r w:rsidR="00755488" w:rsidRPr="0071004F">
        <w:rPr>
          <w:rFonts w:cs="Arial"/>
        </w:rPr>
        <w:t>furt</w:t>
      </w:r>
      <w:r w:rsidR="00E66C27" w:rsidRPr="0071004F">
        <w:rPr>
          <w:rFonts w:cs="Arial"/>
        </w:rPr>
        <w:t>her work which is being</w:t>
      </w:r>
      <w:r w:rsidR="00755488" w:rsidRPr="0071004F">
        <w:rPr>
          <w:rFonts w:cs="Arial"/>
        </w:rPr>
        <w:t xml:space="preserve"> led by t</w:t>
      </w:r>
      <w:r w:rsidR="004E0B29" w:rsidRPr="0071004F">
        <w:rPr>
          <w:rFonts w:cs="Arial"/>
        </w:rPr>
        <w:t>he lead nurses</w:t>
      </w:r>
      <w:r w:rsidR="00E66C27" w:rsidRPr="0071004F">
        <w:rPr>
          <w:rFonts w:cs="Arial"/>
        </w:rPr>
        <w:t>,</w:t>
      </w:r>
      <w:r w:rsidR="004E0B29" w:rsidRPr="0071004F">
        <w:rPr>
          <w:rFonts w:cs="Arial"/>
        </w:rPr>
        <w:t xml:space="preserve"> to review </w:t>
      </w:r>
      <w:r w:rsidR="00755488" w:rsidRPr="0071004F">
        <w:rPr>
          <w:rFonts w:cs="Arial"/>
        </w:rPr>
        <w:t>staffing establishments</w:t>
      </w:r>
      <w:r w:rsidR="004E0B29" w:rsidRPr="0071004F">
        <w:rPr>
          <w:rFonts w:cs="Arial"/>
        </w:rPr>
        <w:t xml:space="preserve"> and staff deployment.</w:t>
      </w:r>
    </w:p>
    <w:p w:rsidR="0071004F" w:rsidRPr="0071004F" w:rsidRDefault="0071004F" w:rsidP="004E0B29">
      <w:pPr>
        <w:pStyle w:val="ListParagraph"/>
        <w:numPr>
          <w:ilvl w:val="0"/>
          <w:numId w:val="24"/>
        </w:numPr>
        <w:jc w:val="both"/>
        <w:rPr>
          <w:rFonts w:cs="Arial"/>
        </w:rPr>
      </w:pPr>
      <w:r>
        <w:rPr>
          <w:rFonts w:cs="Arial"/>
        </w:rPr>
        <w:t xml:space="preserve">Where community teams are considered a hot spot, staffing and case-loads are reviewed </w:t>
      </w:r>
      <w:r w:rsidR="00A000BC">
        <w:rPr>
          <w:rFonts w:cs="Arial"/>
        </w:rPr>
        <w:t>and risk</w:t>
      </w:r>
      <w:r>
        <w:rPr>
          <w:rFonts w:cs="Arial"/>
        </w:rPr>
        <w:t xml:space="preserve"> assessed across teams using patient prioritisation models to ensure appropriate</w:t>
      </w:r>
      <w:r w:rsidR="009306F8">
        <w:rPr>
          <w:rFonts w:cs="Arial"/>
        </w:rPr>
        <w:t xml:space="preserve"> action is taken. </w:t>
      </w:r>
    </w:p>
    <w:p w:rsidR="004E0B29" w:rsidRPr="004E0B29" w:rsidRDefault="00DC613A" w:rsidP="004E0B29">
      <w:pPr>
        <w:pStyle w:val="ListParagraph"/>
        <w:numPr>
          <w:ilvl w:val="0"/>
          <w:numId w:val="24"/>
        </w:numPr>
        <w:jc w:val="both"/>
        <w:rPr>
          <w:rFonts w:cs="Arial"/>
        </w:rPr>
      </w:pPr>
      <w:r w:rsidRPr="004E0B29">
        <w:rPr>
          <w:rFonts w:cs="Arial"/>
        </w:rPr>
        <w:t xml:space="preserve">NHS </w:t>
      </w:r>
      <w:r w:rsidR="006D639D" w:rsidRPr="004E0B29">
        <w:rPr>
          <w:rFonts w:cs="Arial"/>
        </w:rPr>
        <w:t xml:space="preserve">Improvement published the national Trust </w:t>
      </w:r>
      <w:r w:rsidRPr="004E0B29">
        <w:rPr>
          <w:rFonts w:cs="Arial"/>
        </w:rPr>
        <w:t xml:space="preserve">nursing </w:t>
      </w:r>
      <w:r w:rsidR="004E0B29" w:rsidRPr="004E0B29">
        <w:rPr>
          <w:rFonts w:cs="Arial"/>
        </w:rPr>
        <w:t>CHPPD data</w:t>
      </w:r>
      <w:r w:rsidRPr="004E0B29">
        <w:rPr>
          <w:rFonts w:cs="Arial"/>
        </w:rPr>
        <w:t xml:space="preserve"> in December 2018. The </w:t>
      </w:r>
      <w:r w:rsidR="004E0B29" w:rsidRPr="004E0B29">
        <w:rPr>
          <w:rFonts w:cs="Arial"/>
        </w:rPr>
        <w:t xml:space="preserve">national </w:t>
      </w:r>
      <w:r w:rsidR="006D639D" w:rsidRPr="004E0B29">
        <w:rPr>
          <w:rFonts w:cs="Arial"/>
        </w:rPr>
        <w:t xml:space="preserve">nursing </w:t>
      </w:r>
      <w:r w:rsidRPr="004E0B29">
        <w:rPr>
          <w:rFonts w:cs="Arial"/>
        </w:rPr>
        <w:t>a</w:t>
      </w:r>
      <w:r w:rsidR="004E0B29" w:rsidRPr="004E0B29">
        <w:rPr>
          <w:rFonts w:cs="Arial"/>
        </w:rPr>
        <w:t>verage is 8.91 CHPPD versus the Trust nursing average reported at</w:t>
      </w:r>
      <w:r w:rsidR="006D639D" w:rsidRPr="004E0B29">
        <w:rPr>
          <w:rFonts w:cs="Arial"/>
        </w:rPr>
        <w:t xml:space="preserve"> 8.61 CHPPD. </w:t>
      </w:r>
    </w:p>
    <w:p w:rsidR="00DC613A" w:rsidRPr="004E0B29" w:rsidRDefault="006D639D" w:rsidP="004E0B29">
      <w:pPr>
        <w:pStyle w:val="ListParagraph"/>
        <w:numPr>
          <w:ilvl w:val="0"/>
          <w:numId w:val="24"/>
        </w:numPr>
        <w:jc w:val="both"/>
        <w:rPr>
          <w:rFonts w:cs="Arial"/>
        </w:rPr>
      </w:pPr>
      <w:r w:rsidRPr="004E0B29">
        <w:rPr>
          <w:rFonts w:cs="Arial"/>
        </w:rPr>
        <w:t>T</w:t>
      </w:r>
      <w:r w:rsidR="00E51846" w:rsidRPr="004E0B29">
        <w:rPr>
          <w:rFonts w:cs="Arial"/>
        </w:rPr>
        <w:t>he t</w:t>
      </w:r>
      <w:r w:rsidRPr="004E0B29">
        <w:rPr>
          <w:rFonts w:cs="Arial"/>
        </w:rPr>
        <w:t>otal</w:t>
      </w:r>
      <w:r w:rsidR="00DC613A" w:rsidRPr="004E0B29">
        <w:rPr>
          <w:rFonts w:cs="Arial"/>
        </w:rPr>
        <w:t xml:space="preserve"> </w:t>
      </w:r>
      <w:r w:rsidR="00E51846" w:rsidRPr="004E0B29">
        <w:rPr>
          <w:rFonts w:cs="Arial"/>
        </w:rPr>
        <w:t xml:space="preserve">Trust </w:t>
      </w:r>
      <w:r w:rsidR="00DC613A" w:rsidRPr="004E0B29">
        <w:rPr>
          <w:rFonts w:cs="Arial"/>
        </w:rPr>
        <w:t>CHPPD</w:t>
      </w:r>
      <w:r w:rsidR="00E51846" w:rsidRPr="004E0B29">
        <w:rPr>
          <w:rFonts w:cs="Arial"/>
        </w:rPr>
        <w:t xml:space="preserve"> average</w:t>
      </w:r>
      <w:r w:rsidRPr="004E0B29">
        <w:rPr>
          <w:rFonts w:cs="Arial"/>
        </w:rPr>
        <w:t xml:space="preserve"> </w:t>
      </w:r>
      <w:r w:rsidR="004E0B29" w:rsidRPr="004E0B29">
        <w:rPr>
          <w:rFonts w:cs="Arial"/>
        </w:rPr>
        <w:t>(</w:t>
      </w:r>
      <w:r w:rsidRPr="004E0B29">
        <w:rPr>
          <w:rFonts w:cs="Arial"/>
        </w:rPr>
        <w:t>including ward based AHPs</w:t>
      </w:r>
      <w:r w:rsidR="004E0B29" w:rsidRPr="004E0B29">
        <w:rPr>
          <w:rFonts w:cs="Arial"/>
        </w:rPr>
        <w:t>)</w:t>
      </w:r>
      <w:r w:rsidR="00DC613A" w:rsidRPr="004E0B29">
        <w:rPr>
          <w:rFonts w:cs="Arial"/>
        </w:rPr>
        <w:t xml:space="preserve"> is reported at 10.4 in February 2019</w:t>
      </w:r>
      <w:r w:rsidR="00E51846" w:rsidRPr="004E0B29">
        <w:rPr>
          <w:rFonts w:cs="Arial"/>
        </w:rPr>
        <w:t>,</w:t>
      </w:r>
      <w:r w:rsidR="00DC613A" w:rsidRPr="004E0B29">
        <w:rPr>
          <w:rFonts w:cs="Arial"/>
        </w:rPr>
        <w:t xml:space="preserve"> with a range between 4.7 (Skye Wing) and 32.5 (Agnes Unit) CHPPD. The wide variation in range reflects the diversity of services, complex and specialist care provided across the Trust.</w:t>
      </w:r>
      <w:r w:rsidR="004E0B29" w:rsidRPr="004E0B29">
        <w:rPr>
          <w:rFonts w:cs="Arial"/>
        </w:rPr>
        <w:t xml:space="preserve"> Analysis of the CHPPD has not identified wide variation at service level indicating that </w:t>
      </w:r>
      <w:r w:rsidR="00AA2D74" w:rsidRPr="004E0B29">
        <w:rPr>
          <w:rFonts w:cs="Arial"/>
          <w:color w:val="000000"/>
          <w:lang w:val="en"/>
        </w:rPr>
        <w:t xml:space="preserve">staff are </w:t>
      </w:r>
      <w:r w:rsidR="004E0B29" w:rsidRPr="004E0B29">
        <w:rPr>
          <w:rFonts w:cs="Arial"/>
          <w:color w:val="000000"/>
          <w:lang w:val="en"/>
        </w:rPr>
        <w:t xml:space="preserve">being </w:t>
      </w:r>
      <w:r w:rsidR="00AA2D74" w:rsidRPr="004E0B29">
        <w:rPr>
          <w:rFonts w:cs="Arial"/>
          <w:color w:val="000000"/>
          <w:lang w:val="en"/>
        </w:rPr>
        <w:t>dep</w:t>
      </w:r>
      <w:r w:rsidR="004E0B29" w:rsidRPr="004E0B29">
        <w:rPr>
          <w:rFonts w:cs="Arial"/>
          <w:color w:val="000000"/>
          <w:lang w:val="en"/>
        </w:rPr>
        <w:t xml:space="preserve">loyed </w:t>
      </w:r>
      <w:r w:rsidR="00AA2D74" w:rsidRPr="004E0B29">
        <w:rPr>
          <w:rFonts w:cs="Arial"/>
          <w:color w:val="000000"/>
          <w:lang w:val="en"/>
        </w:rPr>
        <w:t>productively</w:t>
      </w:r>
      <w:r w:rsidR="004E0B29" w:rsidRPr="004E0B29">
        <w:rPr>
          <w:rFonts w:cs="Arial"/>
          <w:color w:val="000000"/>
          <w:lang w:val="en"/>
        </w:rPr>
        <w:t xml:space="preserve"> across services</w:t>
      </w:r>
      <w:r w:rsidR="00AA2D74" w:rsidRPr="004E0B29">
        <w:rPr>
          <w:rFonts w:cs="Arial"/>
          <w:color w:val="000000"/>
          <w:lang w:val="en"/>
        </w:rPr>
        <w:t xml:space="preserve">. </w:t>
      </w:r>
    </w:p>
    <w:p w:rsidR="007E74F1" w:rsidRPr="004E0B29" w:rsidRDefault="00DE686F" w:rsidP="00014218">
      <w:pPr>
        <w:pStyle w:val="ListParagraph"/>
        <w:numPr>
          <w:ilvl w:val="0"/>
          <w:numId w:val="24"/>
        </w:numPr>
        <w:jc w:val="both"/>
        <w:rPr>
          <w:rFonts w:cs="Arial"/>
        </w:rPr>
      </w:pPr>
      <w:r w:rsidRPr="004E0B29">
        <w:rPr>
          <w:rFonts w:cs="Arial"/>
        </w:rPr>
        <w:t xml:space="preserve">In consideration of </w:t>
      </w:r>
      <w:r w:rsidR="00B52F74">
        <w:rPr>
          <w:rFonts w:cs="Arial"/>
        </w:rPr>
        <w:t>ensuring staff have the ‘</w:t>
      </w:r>
      <w:r w:rsidRPr="004E0B29">
        <w:rPr>
          <w:rFonts w:cs="Arial"/>
        </w:rPr>
        <w:t>right skill</w:t>
      </w:r>
      <w:r w:rsidR="00B52F74">
        <w:rPr>
          <w:rFonts w:cs="Arial"/>
        </w:rPr>
        <w:t xml:space="preserve">s’, a high level overview of clinical training, appraisal and supervision for triangulation is presented. </w:t>
      </w:r>
      <w:r w:rsidR="007E74F1" w:rsidRPr="004E0B29">
        <w:rPr>
          <w:rFonts w:cs="Arial"/>
        </w:rPr>
        <w:t>As of the end of January 2019 Trust wide;</w:t>
      </w:r>
    </w:p>
    <w:p w:rsidR="007E74F1" w:rsidRDefault="00124FCD" w:rsidP="007E74F1">
      <w:pPr>
        <w:pStyle w:val="ListParagraph"/>
        <w:numPr>
          <w:ilvl w:val="1"/>
          <w:numId w:val="24"/>
        </w:numPr>
        <w:jc w:val="both"/>
        <w:rPr>
          <w:rFonts w:cs="Arial"/>
        </w:rPr>
      </w:pPr>
      <w:r>
        <w:rPr>
          <w:rFonts w:cs="Arial"/>
        </w:rPr>
        <w:t>A</w:t>
      </w:r>
      <w:r w:rsidR="007E74F1">
        <w:rPr>
          <w:rFonts w:cs="Arial"/>
        </w:rPr>
        <w:t>ppraisal is at 91.9% - rated Green.</w:t>
      </w:r>
    </w:p>
    <w:p w:rsidR="007E74F1" w:rsidRDefault="007E74F1" w:rsidP="007E74F1">
      <w:pPr>
        <w:pStyle w:val="ListParagraph"/>
        <w:numPr>
          <w:ilvl w:val="1"/>
          <w:numId w:val="24"/>
        </w:numPr>
        <w:jc w:val="both"/>
        <w:rPr>
          <w:rFonts w:cs="Arial"/>
        </w:rPr>
      </w:pPr>
      <w:r>
        <w:rPr>
          <w:rFonts w:cs="Arial"/>
        </w:rPr>
        <w:t>C</w:t>
      </w:r>
      <w:r w:rsidRPr="007E74F1">
        <w:rPr>
          <w:rFonts w:cs="Arial"/>
        </w:rPr>
        <w:t>linical supervision is at 78</w:t>
      </w:r>
      <w:r>
        <w:rPr>
          <w:rFonts w:cs="Arial"/>
        </w:rPr>
        <w:t>.7% - rated Amber</w:t>
      </w:r>
      <w:r w:rsidR="00DE686F">
        <w:rPr>
          <w:rFonts w:cs="Arial"/>
        </w:rPr>
        <w:t xml:space="preserve"> with robust action plans in place</w:t>
      </w:r>
    </w:p>
    <w:p w:rsidR="007E74F1" w:rsidRDefault="007E74F1" w:rsidP="007E74F1">
      <w:pPr>
        <w:pStyle w:val="ListParagraph"/>
        <w:numPr>
          <w:ilvl w:val="1"/>
          <w:numId w:val="24"/>
        </w:numPr>
        <w:jc w:val="both"/>
        <w:rPr>
          <w:rFonts w:cs="Arial"/>
        </w:rPr>
      </w:pPr>
      <w:r>
        <w:rPr>
          <w:rFonts w:cs="Arial"/>
        </w:rPr>
        <w:t>All clinical mandatory training for substantive staff rated Green with the exception of; MAPPA High risk, SCIP – Uk, Dementia Capable Care and Mental Health Act Nursing all Amber</w:t>
      </w:r>
      <w:r w:rsidR="00DE686F">
        <w:rPr>
          <w:rFonts w:cs="Arial"/>
        </w:rPr>
        <w:t xml:space="preserve"> with robust actions in place</w:t>
      </w:r>
    </w:p>
    <w:p w:rsidR="00124FCD" w:rsidRPr="00DE686F" w:rsidRDefault="00124FCD" w:rsidP="007E74F1">
      <w:pPr>
        <w:pStyle w:val="ListParagraph"/>
        <w:numPr>
          <w:ilvl w:val="1"/>
          <w:numId w:val="24"/>
        </w:numPr>
        <w:jc w:val="both"/>
        <w:rPr>
          <w:rFonts w:cs="Arial"/>
        </w:rPr>
      </w:pPr>
      <w:r w:rsidRPr="00DE686F">
        <w:rPr>
          <w:rFonts w:cs="Arial"/>
        </w:rPr>
        <w:t>All core mandatory training for bank only workers are rated Green wi</w:t>
      </w:r>
      <w:r w:rsidR="00DE686F" w:rsidRPr="00DE686F">
        <w:rPr>
          <w:rFonts w:cs="Arial"/>
        </w:rPr>
        <w:t xml:space="preserve">th the exception of three areas; however </w:t>
      </w:r>
      <w:r w:rsidR="00DE686F">
        <w:rPr>
          <w:rFonts w:cs="Arial"/>
        </w:rPr>
        <w:t xml:space="preserve">only </w:t>
      </w:r>
      <w:r w:rsidRPr="00DE686F">
        <w:rPr>
          <w:rFonts w:cs="Arial"/>
        </w:rPr>
        <w:t>two of the eighteen clinical mandatory topics ar</w:t>
      </w:r>
      <w:r w:rsidR="00DE686F">
        <w:rPr>
          <w:rFonts w:cs="Arial"/>
        </w:rPr>
        <w:t>e rated Green. T</w:t>
      </w:r>
      <w:r w:rsidR="00A805EC" w:rsidRPr="00DE686F">
        <w:rPr>
          <w:rFonts w:cs="Arial"/>
        </w:rPr>
        <w:t>argeted work is underway to improve</w:t>
      </w:r>
      <w:r w:rsidRPr="00DE686F">
        <w:rPr>
          <w:rFonts w:cs="Arial"/>
        </w:rPr>
        <w:t xml:space="preserve"> compliance </w:t>
      </w:r>
      <w:r w:rsidR="00A805EC" w:rsidRPr="00DE686F">
        <w:rPr>
          <w:rFonts w:cs="Arial"/>
        </w:rPr>
        <w:t xml:space="preserve">of bank staff </w:t>
      </w:r>
      <w:r w:rsidRPr="00DE686F">
        <w:rPr>
          <w:rFonts w:cs="Arial"/>
        </w:rPr>
        <w:t>with clinical mandatory training</w:t>
      </w:r>
      <w:r w:rsidR="00A805EC" w:rsidRPr="00DE686F">
        <w:rPr>
          <w:rFonts w:cs="Arial"/>
        </w:rPr>
        <w:t xml:space="preserve"> given the high proportio</w:t>
      </w:r>
      <w:r w:rsidR="00B52F74">
        <w:rPr>
          <w:rFonts w:cs="Arial"/>
        </w:rPr>
        <w:t>n of temporary staff utilised across services</w:t>
      </w:r>
      <w:r w:rsidRPr="00DE686F">
        <w:rPr>
          <w:rFonts w:cs="Arial"/>
        </w:rPr>
        <w:t>.</w:t>
      </w:r>
    </w:p>
    <w:p w:rsidR="00B52F74" w:rsidRPr="00BF602D" w:rsidRDefault="00B52F74" w:rsidP="00B52F74">
      <w:pPr>
        <w:pStyle w:val="ListParagraph"/>
        <w:numPr>
          <w:ilvl w:val="0"/>
          <w:numId w:val="24"/>
        </w:numPr>
        <w:jc w:val="both"/>
        <w:rPr>
          <w:rFonts w:cs="Arial"/>
        </w:rPr>
      </w:pPr>
      <w:r>
        <w:rPr>
          <w:rFonts w:cs="Arial"/>
        </w:rPr>
        <w:t xml:space="preserve">A review of the </w:t>
      </w:r>
      <w:r w:rsidR="000A3A00">
        <w:rPr>
          <w:rFonts w:cs="Arial"/>
        </w:rPr>
        <w:t xml:space="preserve">Trust’s </w:t>
      </w:r>
      <w:r>
        <w:rPr>
          <w:rFonts w:cs="Arial"/>
        </w:rPr>
        <w:t xml:space="preserve">NSIs and patient feedback has not identified any </w:t>
      </w:r>
      <w:r w:rsidR="000A3A00">
        <w:rPr>
          <w:rFonts w:cs="Arial"/>
        </w:rPr>
        <w:t xml:space="preserve">correlation between </w:t>
      </w:r>
      <w:r>
        <w:rPr>
          <w:rFonts w:cs="Arial"/>
        </w:rPr>
        <w:t>staffing</w:t>
      </w:r>
      <w:r w:rsidR="000A3A00">
        <w:rPr>
          <w:rFonts w:cs="Arial"/>
        </w:rPr>
        <w:t xml:space="preserve"> and impact to </w:t>
      </w:r>
      <w:r>
        <w:rPr>
          <w:rFonts w:cs="Arial"/>
        </w:rPr>
        <w:t>quality and safety of patient care/outcomes.</w:t>
      </w:r>
    </w:p>
    <w:p w:rsidR="00420606" w:rsidRDefault="00420606"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Default="00B46937" w:rsidP="00124FCD">
      <w:pPr>
        <w:jc w:val="both"/>
        <w:rPr>
          <w:rFonts w:cs="Arial"/>
        </w:rPr>
      </w:pPr>
    </w:p>
    <w:p w:rsidR="00B46937" w:rsidRPr="00016898" w:rsidRDefault="00B46937" w:rsidP="00124FCD">
      <w:pPr>
        <w:jc w:val="both"/>
        <w:rPr>
          <w:rFonts w:cs="Arial"/>
        </w:rPr>
      </w:pPr>
    </w:p>
    <w:p w:rsidR="00CD1F5C" w:rsidRDefault="00016898" w:rsidP="00CD4A9F">
      <w:pPr>
        <w:jc w:val="both"/>
        <w:rPr>
          <w:rFonts w:cs="Arial"/>
          <w:b/>
          <w:u w:val="single"/>
        </w:rPr>
      </w:pPr>
      <w:r>
        <w:rPr>
          <w:rFonts w:cs="Arial"/>
          <w:b/>
          <w:u w:val="single"/>
        </w:rPr>
        <w:lastRenderedPageBreak/>
        <w:t>Part One</w:t>
      </w:r>
      <w:r w:rsidR="009A6F96">
        <w:rPr>
          <w:rFonts w:cs="Arial"/>
          <w:b/>
          <w:u w:val="single"/>
        </w:rPr>
        <w:t xml:space="preserve"> – In-patient Staffing</w:t>
      </w:r>
    </w:p>
    <w:p w:rsidR="00014218" w:rsidRDefault="00014218" w:rsidP="00CD4A9F">
      <w:pPr>
        <w:jc w:val="both"/>
        <w:rPr>
          <w:rFonts w:cs="Arial"/>
          <w:b/>
          <w:u w:val="single"/>
        </w:rPr>
      </w:pPr>
    </w:p>
    <w:p w:rsidR="00B46937" w:rsidRPr="00B46937" w:rsidRDefault="00CD1F5C" w:rsidP="00B46937">
      <w:pPr>
        <w:pStyle w:val="ListParagraph"/>
        <w:numPr>
          <w:ilvl w:val="0"/>
          <w:numId w:val="1"/>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753BC1">
        <w:rPr>
          <w:rFonts w:cs="Arial"/>
        </w:rPr>
        <w:t>orkers (HCSW) in February 2019</w:t>
      </w:r>
      <w:r w:rsidRPr="00CD1F5C">
        <w:rPr>
          <w:rFonts w:cs="Arial"/>
        </w:rPr>
        <w:t xml:space="preserve"> is detailed below: </w:t>
      </w: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8C1B5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C1B5A" w:rsidRPr="00151996" w:rsidRDefault="008C1B5A" w:rsidP="00CD1F5C">
            <w:pPr>
              <w:ind w:left="46"/>
              <w:jc w:val="center"/>
              <w:rPr>
                <w:rFonts w:asciiTheme="minorHAnsi" w:hAnsiTheme="minorHAnsi" w:cs="Arial"/>
                <w:sz w:val="22"/>
                <w:szCs w:val="22"/>
              </w:rPr>
            </w:pPr>
            <w:r w:rsidRPr="00151996">
              <w:rPr>
                <w:rFonts w:asciiTheme="minorHAnsi" w:hAnsiTheme="minorHAnsi" w:cs="Arial"/>
                <w:sz w:val="22"/>
                <w:szCs w:val="22"/>
              </w:rPr>
              <w:t>Dec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101.2%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207.9%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108.3%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Pr="00151996" w:rsidRDefault="008C1B5A" w:rsidP="00875842">
            <w:pPr>
              <w:jc w:val="center"/>
              <w:rPr>
                <w:rFonts w:ascii="Calibri" w:hAnsi="Calibri"/>
                <w:bCs/>
                <w:color w:val="000000"/>
                <w:sz w:val="22"/>
                <w:szCs w:val="22"/>
              </w:rPr>
            </w:pPr>
            <w:r w:rsidRPr="00151996">
              <w:rPr>
                <w:rFonts w:ascii="Calibri" w:hAnsi="Calibri"/>
                <w:bCs/>
                <w:color w:val="000000"/>
                <w:sz w:val="22"/>
                <w:szCs w:val="22"/>
              </w:rPr>
              <w:t>181.5%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B5A" w:rsidRPr="00151996" w:rsidRDefault="008C1B5A" w:rsidP="00CD1F5C">
            <w:pPr>
              <w:keepNext/>
              <w:jc w:val="center"/>
              <w:rPr>
                <w:rFonts w:asciiTheme="minorHAnsi" w:hAnsiTheme="minorHAnsi" w:cs="Arial"/>
                <w:color w:val="000000"/>
                <w:sz w:val="22"/>
                <w:szCs w:val="22"/>
              </w:rPr>
            </w:pPr>
            <w:r w:rsidRPr="00151996">
              <w:rPr>
                <w:rFonts w:asciiTheme="minorHAnsi" w:hAnsiTheme="minorHAnsi"/>
                <w:color w:val="000000"/>
                <w:sz w:val="22"/>
                <w:szCs w:val="22"/>
              </w:rPr>
              <w:t>30.5%</w:t>
            </w:r>
          </w:p>
        </w:tc>
      </w:tr>
      <w:tr w:rsidR="00151996"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1996" w:rsidRPr="00753BC1" w:rsidRDefault="00151996" w:rsidP="00CD1F5C">
            <w:pPr>
              <w:ind w:left="46"/>
              <w:jc w:val="center"/>
              <w:rPr>
                <w:rFonts w:asciiTheme="minorHAnsi" w:hAnsiTheme="minorHAnsi" w:cs="Arial"/>
                <w:sz w:val="22"/>
                <w:szCs w:val="22"/>
              </w:rPr>
            </w:pPr>
            <w:r w:rsidRPr="00753BC1">
              <w:rPr>
                <w:rFonts w:asciiTheme="minorHAnsi" w:hAnsiTheme="minorHAnsi" w:cs="Arial"/>
                <w:sz w:val="22"/>
                <w:szCs w:val="22"/>
              </w:rPr>
              <w:t>Jan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205.1%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107.8%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996" w:rsidRPr="00753BC1" w:rsidRDefault="00151996" w:rsidP="00151996">
            <w:pPr>
              <w:jc w:val="center"/>
              <w:rPr>
                <w:rFonts w:ascii="Calibri" w:hAnsi="Calibri"/>
                <w:bCs/>
                <w:color w:val="000000"/>
                <w:sz w:val="22"/>
                <w:szCs w:val="22"/>
              </w:rPr>
            </w:pPr>
            <w:r w:rsidRPr="00753BC1">
              <w:rPr>
                <w:rFonts w:ascii="Calibri" w:hAnsi="Calibri"/>
                <w:bCs/>
                <w:color w:val="000000"/>
                <w:sz w:val="22"/>
                <w:szCs w:val="22"/>
              </w:rPr>
              <w:t>187.2%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1996" w:rsidRPr="00753BC1" w:rsidRDefault="007827F8" w:rsidP="00CD1F5C">
            <w:pPr>
              <w:keepNext/>
              <w:jc w:val="center"/>
              <w:rPr>
                <w:rFonts w:asciiTheme="minorHAnsi" w:hAnsiTheme="minorHAnsi"/>
                <w:color w:val="000000"/>
                <w:sz w:val="22"/>
                <w:szCs w:val="22"/>
              </w:rPr>
            </w:pPr>
            <w:r w:rsidRPr="00753BC1">
              <w:rPr>
                <w:rFonts w:asciiTheme="minorHAnsi" w:hAnsiTheme="minorHAnsi"/>
                <w:color w:val="000000"/>
                <w:sz w:val="22"/>
                <w:szCs w:val="22"/>
              </w:rPr>
              <w:t>30.2%</w:t>
            </w:r>
          </w:p>
        </w:tc>
      </w:tr>
      <w:tr w:rsidR="003E01B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01BA" w:rsidRDefault="003E01BA" w:rsidP="00CD1F5C">
            <w:pPr>
              <w:ind w:left="46"/>
              <w:jc w:val="center"/>
              <w:rPr>
                <w:rFonts w:asciiTheme="minorHAnsi" w:hAnsiTheme="minorHAnsi" w:cs="Arial"/>
                <w:b/>
                <w:sz w:val="22"/>
                <w:szCs w:val="22"/>
              </w:rPr>
            </w:pPr>
            <w:r>
              <w:rPr>
                <w:rFonts w:asciiTheme="minorHAnsi" w:hAnsiTheme="minorHAnsi" w:cs="Arial"/>
                <w:b/>
                <w:sz w:val="22"/>
                <w:szCs w:val="22"/>
              </w:rPr>
              <w:t>Feb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Default="003E01BA" w:rsidP="00BE355F">
            <w:pPr>
              <w:jc w:val="center"/>
              <w:rPr>
                <w:rFonts w:ascii="Calibri" w:hAnsi="Calibri"/>
                <w:b/>
                <w:bCs/>
                <w:color w:val="000000"/>
                <w:sz w:val="22"/>
                <w:szCs w:val="22"/>
              </w:rPr>
            </w:pPr>
            <w:r>
              <w:rPr>
                <w:rFonts w:ascii="Calibri" w:hAnsi="Calibri"/>
                <w:b/>
                <w:bCs/>
                <w:color w:val="000000"/>
                <w:sz w:val="22"/>
                <w:szCs w:val="22"/>
              </w:rPr>
              <w:t>103.2%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Default="003E01BA" w:rsidP="00BE355F">
            <w:pPr>
              <w:jc w:val="center"/>
              <w:rPr>
                <w:rFonts w:ascii="Calibri" w:hAnsi="Calibri"/>
                <w:b/>
                <w:bCs/>
                <w:color w:val="000000"/>
                <w:sz w:val="22"/>
                <w:szCs w:val="22"/>
              </w:rPr>
            </w:pPr>
            <w:r>
              <w:rPr>
                <w:rFonts w:ascii="Calibri" w:hAnsi="Calibri"/>
                <w:b/>
                <w:bCs/>
                <w:color w:val="000000"/>
                <w:sz w:val="22"/>
                <w:szCs w:val="22"/>
              </w:rPr>
              <w:t>202.4%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Default="003E01BA" w:rsidP="00BE355F">
            <w:pPr>
              <w:jc w:val="center"/>
              <w:rPr>
                <w:rFonts w:ascii="Calibri" w:hAnsi="Calibri"/>
                <w:b/>
                <w:bCs/>
                <w:color w:val="000000"/>
                <w:sz w:val="22"/>
                <w:szCs w:val="22"/>
              </w:rPr>
            </w:pPr>
            <w:r>
              <w:rPr>
                <w:rFonts w:ascii="Calibri" w:hAnsi="Calibri"/>
                <w:b/>
                <w:bCs/>
                <w:color w:val="000000"/>
                <w:sz w:val="22"/>
                <w:szCs w:val="22"/>
              </w:rPr>
              <w:t>108.0%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BA" w:rsidRDefault="003E01BA" w:rsidP="00BE355F">
            <w:pPr>
              <w:jc w:val="center"/>
              <w:rPr>
                <w:rFonts w:ascii="Calibri" w:hAnsi="Calibri"/>
                <w:b/>
                <w:bCs/>
                <w:color w:val="000000"/>
                <w:sz w:val="22"/>
                <w:szCs w:val="22"/>
              </w:rPr>
            </w:pPr>
            <w:r>
              <w:rPr>
                <w:rFonts w:ascii="Calibri" w:hAnsi="Calibri"/>
                <w:b/>
                <w:bCs/>
                <w:color w:val="000000"/>
                <w:sz w:val="22"/>
                <w:szCs w:val="22"/>
              </w:rPr>
              <w:t>184.6%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1BA" w:rsidRDefault="003E01BA" w:rsidP="00CD1F5C">
            <w:pPr>
              <w:keepNext/>
              <w:jc w:val="center"/>
              <w:rPr>
                <w:rFonts w:asciiTheme="minorHAnsi" w:hAnsiTheme="minorHAnsi"/>
                <w:b/>
                <w:color w:val="000000"/>
                <w:sz w:val="22"/>
                <w:szCs w:val="22"/>
              </w:rPr>
            </w:pPr>
            <w:r>
              <w:rPr>
                <w:rFonts w:asciiTheme="minorHAnsi" w:hAnsiTheme="minorHAnsi"/>
                <w:b/>
                <w:color w:val="000000"/>
                <w:sz w:val="22"/>
                <w:szCs w:val="22"/>
              </w:rPr>
              <w:t>32.6%</w:t>
            </w:r>
          </w:p>
        </w:tc>
      </w:tr>
    </w:tbl>
    <w:p w:rsidR="00CD1F5C" w:rsidRDefault="00CD1F5C" w:rsidP="00944CDA">
      <w:pPr>
        <w:pStyle w:val="Caption"/>
        <w:ind w:left="720"/>
      </w:pPr>
      <w:r>
        <w:t xml:space="preserve">Table </w:t>
      </w:r>
      <w:r w:rsidR="0067196C">
        <w:fldChar w:fldCharType="begin"/>
      </w:r>
      <w:r w:rsidR="0067196C">
        <w:instrText xml:space="preserve"> SEQ Table \* ARABIC </w:instrText>
      </w:r>
      <w:r w:rsidR="0067196C">
        <w:fldChar w:fldCharType="separate"/>
      </w:r>
      <w:r w:rsidR="00CB2020">
        <w:rPr>
          <w:noProof/>
        </w:rPr>
        <w:t>1</w:t>
      </w:r>
      <w:r w:rsidR="0067196C">
        <w:rPr>
          <w:noProof/>
        </w:rPr>
        <w:fldChar w:fldCharType="end"/>
      </w:r>
      <w:r>
        <w:t xml:space="preserve"> </w:t>
      </w:r>
      <w:r w:rsidRPr="00A81D16">
        <w:t>- Trust level safer staffing</w:t>
      </w:r>
    </w:p>
    <w:p w:rsidR="00BE355F" w:rsidRPr="0031369B" w:rsidRDefault="00BE355F" w:rsidP="00BE355F">
      <w:pPr>
        <w:pStyle w:val="ListParagraph"/>
        <w:numPr>
          <w:ilvl w:val="0"/>
          <w:numId w:val="1"/>
        </w:numPr>
        <w:ind w:left="567"/>
        <w:jc w:val="both"/>
        <w:rPr>
          <w:rFonts w:cs="Arial"/>
        </w:rPr>
      </w:pPr>
      <w:r>
        <w:t>Overall the planned staffing levels were achieved across the Trust. The increased fill rates for the percentage of act</w:t>
      </w:r>
      <w:r w:rsidR="005C7179">
        <w:t>ual HCSWs reflects the high</w:t>
      </w:r>
      <w:r>
        <w:t xml:space="preserve"> utilisation and deployment of additional </w:t>
      </w:r>
      <w:r w:rsidR="005C7179">
        <w:t xml:space="preserve">temporary </w:t>
      </w:r>
      <w:r>
        <w:t xml:space="preserve">staff </w:t>
      </w:r>
      <w:r w:rsidRPr="0031369B">
        <w:rPr>
          <w:rFonts w:cs="Arial"/>
        </w:rPr>
        <w:t>in response to patient acuity and in order to maintain safety of all patients.</w:t>
      </w:r>
    </w:p>
    <w:p w:rsidR="00B5799A" w:rsidRDefault="00B5799A" w:rsidP="00DB3E93">
      <w:pPr>
        <w:jc w:val="both"/>
      </w:pPr>
    </w:p>
    <w:p w:rsidR="00CD1F5C" w:rsidRDefault="00CD1F5C" w:rsidP="00566E5D">
      <w:pPr>
        <w:pStyle w:val="ListParagraph"/>
        <w:ind w:hanging="720"/>
        <w:jc w:val="both"/>
        <w:rPr>
          <w:rFonts w:cs="Arial"/>
          <w:b/>
        </w:rPr>
      </w:pPr>
      <w:r w:rsidRPr="00DB3E93">
        <w:rPr>
          <w:rFonts w:cs="Arial"/>
          <w:b/>
        </w:rPr>
        <w:t>Summary of safer 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6469D3" w:rsidRPr="00CD4A9F" w:rsidTr="006469D3">
        <w:trPr>
          <w:trHeight w:val="608"/>
          <w:jc w:val="center"/>
        </w:trPr>
        <w:tc>
          <w:tcPr>
            <w:tcW w:w="4138" w:type="dxa"/>
            <w:shd w:val="clear" w:color="auto" w:fill="548DD4" w:themeFill="text2" w:themeFillTint="99"/>
            <w:vAlign w:val="center"/>
          </w:tcPr>
          <w:p w:rsidR="006469D3" w:rsidRPr="00CD4A9F" w:rsidRDefault="006469D3" w:rsidP="00D32A96">
            <w:pPr>
              <w:rPr>
                <w:rFonts w:cs="Arial"/>
                <w:b/>
                <w:color w:val="FFFFFF" w:themeColor="background1"/>
                <w:sz w:val="18"/>
                <w:szCs w:val="18"/>
              </w:rPr>
            </w:pPr>
            <w:r w:rsidRPr="00CD4A9F">
              <w:rPr>
                <w:rFonts w:cs="Arial"/>
                <w:b/>
                <w:color w:val="FFFFFF" w:themeColor="background1"/>
                <w:sz w:val="18"/>
                <w:szCs w:val="18"/>
              </w:rPr>
              <w:t xml:space="preserve">Planned staffing </w:t>
            </w:r>
            <w:r w:rsidR="00DA6763">
              <w:rPr>
                <w:rFonts w:cs="Arial"/>
                <w:b/>
                <w:color w:val="FFFFFF" w:themeColor="background1"/>
                <w:sz w:val="18"/>
                <w:szCs w:val="18"/>
              </w:rPr>
              <w:t>and/or high utilisation  of temporary workers</w:t>
            </w:r>
          </w:p>
        </w:tc>
        <w:tc>
          <w:tcPr>
            <w:tcW w:w="1758" w:type="dxa"/>
            <w:shd w:val="clear" w:color="auto" w:fill="548DD4" w:themeFill="text2" w:themeFillTint="99"/>
          </w:tcPr>
          <w:p w:rsidR="006469D3" w:rsidRDefault="006469D3" w:rsidP="00CD1F5C">
            <w:pPr>
              <w:jc w:val="center"/>
              <w:rPr>
                <w:rFonts w:cs="Arial"/>
                <w:b/>
                <w:color w:val="FFFFFF" w:themeColor="background1"/>
                <w:sz w:val="18"/>
                <w:szCs w:val="18"/>
              </w:rPr>
            </w:pPr>
          </w:p>
          <w:p w:rsidR="006469D3" w:rsidRDefault="006469D3" w:rsidP="00CD1F5C">
            <w:pPr>
              <w:jc w:val="center"/>
              <w:rPr>
                <w:rFonts w:cs="Arial"/>
                <w:b/>
                <w:color w:val="FFFFFF" w:themeColor="background1"/>
                <w:sz w:val="18"/>
                <w:szCs w:val="18"/>
              </w:rPr>
            </w:pPr>
            <w:r>
              <w:rPr>
                <w:rFonts w:cs="Arial"/>
                <w:b/>
                <w:color w:val="FFFFFF" w:themeColor="background1"/>
                <w:sz w:val="18"/>
                <w:szCs w:val="18"/>
              </w:rPr>
              <w:t>December 2018</w:t>
            </w:r>
          </w:p>
        </w:tc>
        <w:tc>
          <w:tcPr>
            <w:tcW w:w="1758" w:type="dxa"/>
            <w:shd w:val="clear" w:color="auto" w:fill="548DD4" w:themeFill="text2" w:themeFillTint="99"/>
          </w:tcPr>
          <w:p w:rsidR="006469D3" w:rsidRDefault="006469D3" w:rsidP="00CD1F5C">
            <w:pPr>
              <w:jc w:val="center"/>
              <w:rPr>
                <w:rFonts w:cs="Arial"/>
                <w:b/>
                <w:color w:val="FFFFFF" w:themeColor="background1"/>
                <w:sz w:val="18"/>
                <w:szCs w:val="18"/>
              </w:rPr>
            </w:pPr>
          </w:p>
          <w:p w:rsidR="006469D3" w:rsidRDefault="006469D3" w:rsidP="00CD1F5C">
            <w:pPr>
              <w:jc w:val="center"/>
              <w:rPr>
                <w:rFonts w:cs="Arial"/>
                <w:b/>
                <w:color w:val="FFFFFF" w:themeColor="background1"/>
                <w:sz w:val="18"/>
                <w:szCs w:val="18"/>
              </w:rPr>
            </w:pPr>
            <w:r>
              <w:rPr>
                <w:rFonts w:cs="Arial"/>
                <w:b/>
                <w:color w:val="FFFFFF" w:themeColor="background1"/>
                <w:sz w:val="18"/>
                <w:szCs w:val="18"/>
              </w:rPr>
              <w:t>January 2019</w:t>
            </w:r>
          </w:p>
        </w:tc>
        <w:tc>
          <w:tcPr>
            <w:tcW w:w="1758" w:type="dxa"/>
            <w:shd w:val="clear" w:color="auto" w:fill="548DD4" w:themeFill="text2" w:themeFillTint="99"/>
          </w:tcPr>
          <w:p w:rsidR="006469D3" w:rsidRDefault="006469D3" w:rsidP="00CD1F5C">
            <w:pPr>
              <w:jc w:val="center"/>
              <w:rPr>
                <w:rFonts w:cs="Arial"/>
                <w:b/>
                <w:color w:val="FFFFFF" w:themeColor="background1"/>
                <w:sz w:val="18"/>
                <w:szCs w:val="18"/>
              </w:rPr>
            </w:pPr>
          </w:p>
          <w:p w:rsidR="006469D3" w:rsidRDefault="006469D3" w:rsidP="00CD1F5C">
            <w:pPr>
              <w:jc w:val="center"/>
              <w:rPr>
                <w:rFonts w:cs="Arial"/>
                <w:b/>
                <w:color w:val="FFFFFF" w:themeColor="background1"/>
                <w:sz w:val="18"/>
                <w:szCs w:val="18"/>
              </w:rPr>
            </w:pPr>
            <w:r>
              <w:rPr>
                <w:rFonts w:cs="Arial"/>
                <w:b/>
                <w:color w:val="FFFFFF" w:themeColor="background1"/>
                <w:sz w:val="18"/>
                <w:szCs w:val="18"/>
              </w:rPr>
              <w:t>February 2019</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BF5AFC">
            <w:pPr>
              <w:rPr>
                <w:rFonts w:cs="Arial"/>
                <w:sz w:val="18"/>
                <w:szCs w:val="18"/>
              </w:rPr>
            </w:pPr>
            <w:r w:rsidRPr="00CD4A9F">
              <w:rPr>
                <w:rFonts w:cs="Arial"/>
                <w:sz w:val="18"/>
                <w:szCs w:val="18"/>
              </w:rPr>
              <w:t xml:space="preserve">Hinckley and Bosworth - East Ward </w:t>
            </w:r>
          </w:p>
        </w:tc>
        <w:tc>
          <w:tcPr>
            <w:tcW w:w="1758" w:type="dxa"/>
          </w:tcPr>
          <w:p w:rsidR="006469D3" w:rsidRDefault="006469D3" w:rsidP="00771D1F">
            <w:pPr>
              <w:jc w:val="center"/>
              <w:rPr>
                <w:rFonts w:cs="Arial"/>
                <w:sz w:val="18"/>
                <w:szCs w:val="18"/>
              </w:rPr>
            </w:pPr>
            <w:r>
              <w:rPr>
                <w:rFonts w:cs="Arial"/>
                <w:sz w:val="18"/>
                <w:szCs w:val="18"/>
              </w:rPr>
              <w:t>X</w:t>
            </w:r>
          </w:p>
        </w:tc>
        <w:tc>
          <w:tcPr>
            <w:tcW w:w="1758" w:type="dxa"/>
          </w:tcPr>
          <w:p w:rsidR="006469D3" w:rsidRDefault="006469D3" w:rsidP="00771D1F">
            <w:pPr>
              <w:jc w:val="center"/>
              <w:rPr>
                <w:rFonts w:cs="Arial"/>
                <w:sz w:val="18"/>
                <w:szCs w:val="18"/>
              </w:rPr>
            </w:pPr>
            <w:r>
              <w:rPr>
                <w:rFonts w:cs="Arial"/>
                <w:sz w:val="18"/>
                <w:szCs w:val="18"/>
              </w:rPr>
              <w:t>X</w:t>
            </w:r>
          </w:p>
        </w:tc>
        <w:tc>
          <w:tcPr>
            <w:tcW w:w="1758" w:type="dxa"/>
          </w:tcPr>
          <w:p w:rsidR="006469D3" w:rsidRDefault="006469D3" w:rsidP="00771D1F">
            <w:pPr>
              <w:jc w:val="center"/>
              <w:rPr>
                <w:rFonts w:cs="Arial"/>
                <w:sz w:val="18"/>
                <w:szCs w:val="18"/>
              </w:rPr>
            </w:pPr>
            <w:r>
              <w:rPr>
                <w:rFonts w:cs="Arial"/>
                <w:sz w:val="18"/>
                <w:szCs w:val="18"/>
              </w:rPr>
              <w:t>X</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Short Breaks - The Gillivers </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Short Breaks – Rubicon Close </w:t>
            </w:r>
          </w:p>
        </w:tc>
        <w:tc>
          <w:tcPr>
            <w:tcW w:w="1758" w:type="dxa"/>
            <w:shd w:val="clear" w:color="auto" w:fill="auto"/>
          </w:tcPr>
          <w:p w:rsidR="006469D3" w:rsidRPr="00CD4A9F" w:rsidRDefault="006469D3"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6469D3" w:rsidRDefault="006469D3" w:rsidP="00CD1F5C">
            <w:pPr>
              <w:jc w:val="center"/>
              <w:rPr>
                <w:rFonts w:cs="Arial"/>
                <w:sz w:val="18"/>
                <w:szCs w:val="18"/>
              </w:rPr>
            </w:pPr>
          </w:p>
        </w:tc>
        <w:tc>
          <w:tcPr>
            <w:tcW w:w="1758" w:type="dxa"/>
            <w:shd w:val="clear" w:color="auto" w:fill="D9D9D9" w:themeFill="background1" w:themeFillShade="D9"/>
          </w:tcPr>
          <w:p w:rsidR="006469D3" w:rsidRDefault="006469D3" w:rsidP="00CD1F5C">
            <w:pPr>
              <w:jc w:val="center"/>
              <w:rPr>
                <w:rFonts w:cs="Arial"/>
                <w:sz w:val="18"/>
                <w:szCs w:val="18"/>
              </w:rPr>
            </w:pP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Mill Lodge </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Welford </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shd w:val="clear" w:color="auto" w:fill="EEECE1" w:themeFill="background2"/>
          </w:tcPr>
          <w:p w:rsidR="006469D3" w:rsidRDefault="006469D3" w:rsidP="00CD1F5C">
            <w:pPr>
              <w:jc w:val="center"/>
              <w:rPr>
                <w:rFonts w:cs="Arial"/>
                <w:sz w:val="18"/>
                <w:szCs w:val="18"/>
              </w:rPr>
            </w:pP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Pr>
                <w:rFonts w:cs="Arial"/>
                <w:sz w:val="18"/>
                <w:szCs w:val="18"/>
              </w:rPr>
              <w:t>Kirby</w:t>
            </w:r>
          </w:p>
        </w:tc>
        <w:tc>
          <w:tcPr>
            <w:tcW w:w="1758" w:type="dxa"/>
            <w:shd w:val="clear" w:color="auto" w:fill="EEECE1" w:themeFill="background2"/>
          </w:tcPr>
          <w:p w:rsidR="006469D3" w:rsidRDefault="006469D3" w:rsidP="00CD1F5C">
            <w:pPr>
              <w:jc w:val="center"/>
              <w:rPr>
                <w:rFonts w:cs="Arial"/>
                <w:sz w:val="18"/>
                <w:szCs w:val="18"/>
              </w:rPr>
            </w:pPr>
          </w:p>
        </w:tc>
        <w:tc>
          <w:tcPr>
            <w:tcW w:w="1758" w:type="dxa"/>
            <w:shd w:val="clear" w:color="auto" w:fill="EEECE1" w:themeFill="background2"/>
          </w:tcPr>
          <w:p w:rsidR="006469D3" w:rsidRDefault="006469D3" w:rsidP="00CD1F5C">
            <w:pPr>
              <w:jc w:val="center"/>
              <w:rPr>
                <w:rFonts w:cs="Arial"/>
                <w:sz w:val="18"/>
                <w:szCs w:val="18"/>
              </w:rPr>
            </w:pPr>
          </w:p>
        </w:tc>
        <w:tc>
          <w:tcPr>
            <w:tcW w:w="1758" w:type="dxa"/>
            <w:shd w:val="clear" w:color="auto" w:fill="FFFFFF" w:themeFill="background1"/>
          </w:tcPr>
          <w:p w:rsidR="006469D3" w:rsidRDefault="006469D3" w:rsidP="00CD1F5C">
            <w:pPr>
              <w:jc w:val="center"/>
              <w:rPr>
                <w:rFonts w:cs="Arial"/>
                <w:sz w:val="18"/>
                <w:szCs w:val="18"/>
              </w:rPr>
            </w:pPr>
            <w:r>
              <w:rPr>
                <w:rFonts w:cs="Arial"/>
                <w:sz w:val="18"/>
                <w:szCs w:val="18"/>
              </w:rPr>
              <w:t>X</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Coleman </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c>
          <w:tcPr>
            <w:tcW w:w="1758" w:type="dxa"/>
          </w:tcPr>
          <w:p w:rsidR="006469D3" w:rsidRDefault="006469D3" w:rsidP="00CD1F5C">
            <w:pPr>
              <w:jc w:val="center"/>
              <w:rPr>
                <w:rFonts w:cs="Arial"/>
                <w:sz w:val="18"/>
                <w:szCs w:val="18"/>
              </w:rPr>
            </w:pPr>
            <w:r>
              <w:rPr>
                <w:rFonts w:cs="Arial"/>
                <w:sz w:val="18"/>
                <w:szCs w:val="18"/>
              </w:rPr>
              <w:t>X</w:t>
            </w:r>
          </w:p>
        </w:tc>
      </w:tr>
      <w:tr w:rsidR="006469D3" w:rsidRPr="00CD4A9F" w:rsidTr="006469D3">
        <w:trPr>
          <w:cantSplit/>
          <w:trHeight w:val="283"/>
          <w:jc w:val="center"/>
        </w:trPr>
        <w:tc>
          <w:tcPr>
            <w:tcW w:w="4138" w:type="dxa"/>
            <w:shd w:val="clear" w:color="auto" w:fill="auto"/>
            <w:vAlign w:val="center"/>
          </w:tcPr>
          <w:p w:rsidR="006469D3" w:rsidRPr="00CD4A9F" w:rsidRDefault="006469D3" w:rsidP="00CD1F5C">
            <w:pPr>
              <w:rPr>
                <w:rFonts w:cs="Arial"/>
                <w:sz w:val="18"/>
                <w:szCs w:val="18"/>
              </w:rPr>
            </w:pPr>
            <w:r w:rsidRPr="00CD4A9F">
              <w:rPr>
                <w:rFonts w:cs="Arial"/>
                <w:sz w:val="18"/>
                <w:szCs w:val="18"/>
              </w:rPr>
              <w:t xml:space="preserve">Gwendolen </w:t>
            </w:r>
          </w:p>
        </w:tc>
        <w:tc>
          <w:tcPr>
            <w:tcW w:w="1758" w:type="dxa"/>
            <w:shd w:val="clear" w:color="auto" w:fill="auto"/>
          </w:tcPr>
          <w:p w:rsidR="006469D3" w:rsidRDefault="006469D3" w:rsidP="003643CB">
            <w:pPr>
              <w:keepNext/>
              <w:jc w:val="center"/>
              <w:rPr>
                <w:rFonts w:cs="Arial"/>
                <w:sz w:val="18"/>
                <w:szCs w:val="18"/>
              </w:rPr>
            </w:pPr>
            <w:r>
              <w:rPr>
                <w:rFonts w:cs="Arial"/>
                <w:sz w:val="18"/>
                <w:szCs w:val="18"/>
              </w:rPr>
              <w:t>X</w:t>
            </w:r>
          </w:p>
        </w:tc>
        <w:tc>
          <w:tcPr>
            <w:tcW w:w="1758" w:type="dxa"/>
          </w:tcPr>
          <w:p w:rsidR="006469D3" w:rsidRDefault="006469D3" w:rsidP="003643CB">
            <w:pPr>
              <w:keepNext/>
              <w:jc w:val="center"/>
              <w:rPr>
                <w:rFonts w:cs="Arial"/>
                <w:sz w:val="18"/>
                <w:szCs w:val="18"/>
              </w:rPr>
            </w:pPr>
            <w:r>
              <w:rPr>
                <w:rFonts w:cs="Arial"/>
                <w:sz w:val="18"/>
                <w:szCs w:val="18"/>
              </w:rPr>
              <w:t>X</w:t>
            </w:r>
          </w:p>
        </w:tc>
        <w:tc>
          <w:tcPr>
            <w:tcW w:w="1758" w:type="dxa"/>
          </w:tcPr>
          <w:p w:rsidR="006469D3" w:rsidRDefault="006469D3" w:rsidP="003643CB">
            <w:pPr>
              <w:keepNext/>
              <w:jc w:val="center"/>
              <w:rPr>
                <w:rFonts w:cs="Arial"/>
                <w:sz w:val="18"/>
                <w:szCs w:val="18"/>
              </w:rPr>
            </w:pPr>
            <w:r>
              <w:rPr>
                <w:rFonts w:cs="Arial"/>
                <w:sz w:val="18"/>
                <w:szCs w:val="18"/>
              </w:rPr>
              <w:t>X</w:t>
            </w:r>
          </w:p>
        </w:tc>
      </w:tr>
      <w:tr w:rsidR="00881B5F" w:rsidRPr="00CD4A9F" w:rsidTr="00DA6763">
        <w:trPr>
          <w:cantSplit/>
          <w:trHeight w:val="283"/>
          <w:jc w:val="center"/>
        </w:trPr>
        <w:tc>
          <w:tcPr>
            <w:tcW w:w="4138" w:type="dxa"/>
            <w:shd w:val="clear" w:color="auto" w:fill="auto"/>
            <w:vAlign w:val="center"/>
          </w:tcPr>
          <w:p w:rsidR="00881B5F" w:rsidRPr="00CD4A9F" w:rsidRDefault="00DA6763" w:rsidP="00CD1F5C">
            <w:pPr>
              <w:rPr>
                <w:rFonts w:cs="Arial"/>
                <w:sz w:val="18"/>
                <w:szCs w:val="18"/>
              </w:rPr>
            </w:pPr>
            <w:r>
              <w:rPr>
                <w:rFonts w:cs="Arial"/>
                <w:sz w:val="18"/>
                <w:szCs w:val="18"/>
              </w:rPr>
              <w:t>Griffin</w:t>
            </w:r>
          </w:p>
        </w:tc>
        <w:tc>
          <w:tcPr>
            <w:tcW w:w="1758" w:type="dxa"/>
            <w:shd w:val="clear" w:color="auto" w:fill="D9D9D9" w:themeFill="background1" w:themeFillShade="D9"/>
          </w:tcPr>
          <w:p w:rsidR="00881B5F" w:rsidRDefault="00881B5F" w:rsidP="003643CB">
            <w:pPr>
              <w:keepNext/>
              <w:jc w:val="center"/>
              <w:rPr>
                <w:rFonts w:cs="Arial"/>
                <w:sz w:val="18"/>
                <w:szCs w:val="18"/>
              </w:rPr>
            </w:pPr>
          </w:p>
        </w:tc>
        <w:tc>
          <w:tcPr>
            <w:tcW w:w="1758" w:type="dxa"/>
            <w:shd w:val="clear" w:color="auto" w:fill="D9D9D9" w:themeFill="background1" w:themeFillShade="D9"/>
          </w:tcPr>
          <w:p w:rsidR="00881B5F" w:rsidRDefault="00881B5F" w:rsidP="003643CB">
            <w:pPr>
              <w:keepNext/>
              <w:jc w:val="center"/>
              <w:rPr>
                <w:rFonts w:cs="Arial"/>
                <w:sz w:val="18"/>
                <w:szCs w:val="18"/>
              </w:rPr>
            </w:pPr>
          </w:p>
        </w:tc>
        <w:tc>
          <w:tcPr>
            <w:tcW w:w="1758" w:type="dxa"/>
          </w:tcPr>
          <w:p w:rsidR="00881B5F" w:rsidRDefault="00DA6763" w:rsidP="003643CB">
            <w:pPr>
              <w:keepNext/>
              <w:jc w:val="center"/>
              <w:rPr>
                <w:rFonts w:cs="Arial"/>
                <w:sz w:val="18"/>
                <w:szCs w:val="18"/>
              </w:rPr>
            </w:pPr>
            <w:r>
              <w:rPr>
                <w:rFonts w:cs="Arial"/>
                <w:sz w:val="18"/>
                <w:szCs w:val="18"/>
              </w:rPr>
              <w:t>X</w:t>
            </w:r>
          </w:p>
        </w:tc>
      </w:tr>
      <w:tr w:rsidR="00881B5F" w:rsidRPr="00CD4A9F" w:rsidTr="00DA6763">
        <w:trPr>
          <w:cantSplit/>
          <w:trHeight w:val="283"/>
          <w:jc w:val="center"/>
        </w:trPr>
        <w:tc>
          <w:tcPr>
            <w:tcW w:w="4138" w:type="dxa"/>
            <w:shd w:val="clear" w:color="auto" w:fill="auto"/>
            <w:vAlign w:val="center"/>
          </w:tcPr>
          <w:p w:rsidR="00881B5F" w:rsidRPr="00CD4A9F" w:rsidRDefault="00DA6763" w:rsidP="00CD1F5C">
            <w:pPr>
              <w:rPr>
                <w:rFonts w:cs="Arial"/>
                <w:sz w:val="18"/>
                <w:szCs w:val="18"/>
              </w:rPr>
            </w:pPr>
            <w:r>
              <w:rPr>
                <w:rFonts w:cs="Arial"/>
                <w:sz w:val="18"/>
                <w:szCs w:val="18"/>
              </w:rPr>
              <w:t>Agnes Unit</w:t>
            </w:r>
          </w:p>
        </w:tc>
        <w:tc>
          <w:tcPr>
            <w:tcW w:w="1758" w:type="dxa"/>
            <w:shd w:val="clear" w:color="auto" w:fill="D9D9D9" w:themeFill="background1" w:themeFillShade="D9"/>
          </w:tcPr>
          <w:p w:rsidR="00881B5F" w:rsidRDefault="00881B5F" w:rsidP="003643CB">
            <w:pPr>
              <w:keepNext/>
              <w:jc w:val="center"/>
              <w:rPr>
                <w:rFonts w:cs="Arial"/>
                <w:sz w:val="18"/>
                <w:szCs w:val="18"/>
              </w:rPr>
            </w:pPr>
          </w:p>
        </w:tc>
        <w:tc>
          <w:tcPr>
            <w:tcW w:w="1758" w:type="dxa"/>
            <w:shd w:val="clear" w:color="auto" w:fill="D9D9D9" w:themeFill="background1" w:themeFillShade="D9"/>
          </w:tcPr>
          <w:p w:rsidR="00881B5F" w:rsidRDefault="00881B5F" w:rsidP="003643CB">
            <w:pPr>
              <w:keepNext/>
              <w:jc w:val="center"/>
              <w:rPr>
                <w:rFonts w:cs="Arial"/>
                <w:sz w:val="18"/>
                <w:szCs w:val="18"/>
              </w:rPr>
            </w:pPr>
          </w:p>
        </w:tc>
        <w:tc>
          <w:tcPr>
            <w:tcW w:w="1758" w:type="dxa"/>
          </w:tcPr>
          <w:p w:rsidR="00881B5F" w:rsidRDefault="00DA6763" w:rsidP="003643CB">
            <w:pPr>
              <w:keepNext/>
              <w:jc w:val="center"/>
              <w:rPr>
                <w:rFonts w:cs="Arial"/>
                <w:sz w:val="18"/>
                <w:szCs w:val="18"/>
              </w:rPr>
            </w:pPr>
            <w:r>
              <w:rPr>
                <w:rFonts w:cs="Arial"/>
                <w:sz w:val="18"/>
                <w:szCs w:val="18"/>
              </w:rPr>
              <w:t>X</w:t>
            </w:r>
          </w:p>
        </w:tc>
      </w:tr>
    </w:tbl>
    <w:p w:rsidR="00CD4A9F" w:rsidRPr="00CD4A9F" w:rsidRDefault="003643CB" w:rsidP="00566E5D">
      <w:pPr>
        <w:pStyle w:val="Caption"/>
        <w:ind w:left="207" w:firstLine="360"/>
      </w:pPr>
      <w:r>
        <w:t xml:space="preserve">Table </w:t>
      </w:r>
      <w:r w:rsidR="0067196C">
        <w:fldChar w:fldCharType="begin"/>
      </w:r>
      <w:r w:rsidR="0067196C">
        <w:instrText xml:space="preserve"> SEQ Table \* ARABIC </w:instrText>
      </w:r>
      <w:r w:rsidR="0067196C">
        <w:fldChar w:fldCharType="separate"/>
      </w:r>
      <w:r w:rsidR="00CB2020">
        <w:rPr>
          <w:noProof/>
        </w:rPr>
        <w:t>2</w:t>
      </w:r>
      <w:r w:rsidR="0067196C">
        <w:rPr>
          <w:noProof/>
        </w:rPr>
        <w:fldChar w:fldCharType="end"/>
      </w:r>
      <w:r>
        <w:t xml:space="preserve"> - Safer staffing hotspots</w:t>
      </w:r>
    </w:p>
    <w:p w:rsidR="00EA072E" w:rsidRDefault="00124FCD" w:rsidP="0090086E">
      <w:pPr>
        <w:pStyle w:val="ListParagraph"/>
        <w:numPr>
          <w:ilvl w:val="0"/>
          <w:numId w:val="1"/>
        </w:numPr>
        <w:ind w:left="567"/>
        <w:jc w:val="both"/>
        <w:rPr>
          <w:rFonts w:cs="Arial"/>
        </w:rPr>
      </w:pPr>
      <w:r>
        <w:rPr>
          <w:rFonts w:cs="Arial"/>
        </w:rPr>
        <w:t>Number of occupied beds, p</w:t>
      </w:r>
      <w:r w:rsidRPr="003643CB">
        <w:rPr>
          <w:rFonts w:cs="Arial"/>
        </w:rPr>
        <w:t xml:space="preserve">lanned </w:t>
      </w:r>
      <w:r>
        <w:rPr>
          <w:rFonts w:cs="Arial"/>
        </w:rPr>
        <w:t xml:space="preserve">staffing levels </w:t>
      </w:r>
      <w:r w:rsidRPr="003643CB">
        <w:rPr>
          <w:rFonts w:cs="Arial"/>
        </w:rPr>
        <w:t xml:space="preserve">versus actual staffing </w:t>
      </w:r>
      <w:r>
        <w:rPr>
          <w:rFonts w:cs="Arial"/>
        </w:rPr>
        <w:t>levels</w:t>
      </w:r>
      <w:r w:rsidR="00EA072E">
        <w:rPr>
          <w:rFonts w:cs="Arial"/>
        </w:rPr>
        <w:t xml:space="preserve">, nurse vacancy factor and percentage of temporary staff utilised is </w:t>
      </w:r>
      <w:r w:rsidR="003643CB" w:rsidRPr="003643CB">
        <w:rPr>
          <w:rFonts w:cs="Arial"/>
        </w:rPr>
        <w:t>presented in the tables below</w:t>
      </w:r>
      <w:r w:rsidR="00325A91">
        <w:rPr>
          <w:rFonts w:cs="Arial"/>
        </w:rPr>
        <w:t xml:space="preserve"> per </w:t>
      </w:r>
      <w:r w:rsidR="00EA072E">
        <w:rPr>
          <w:rFonts w:cs="Arial"/>
        </w:rPr>
        <w:t xml:space="preserve">in-patient area by </w:t>
      </w:r>
      <w:r w:rsidR="00325A91">
        <w:rPr>
          <w:rFonts w:cs="Arial"/>
        </w:rPr>
        <w:t>service and directorate</w:t>
      </w:r>
      <w:r w:rsidR="003643CB" w:rsidRPr="003643CB">
        <w:rPr>
          <w:rFonts w:cs="Arial"/>
        </w:rPr>
        <w:t xml:space="preserve">.  </w:t>
      </w:r>
    </w:p>
    <w:p w:rsidR="00EA072E" w:rsidRDefault="00EA072E" w:rsidP="00EA072E">
      <w:pPr>
        <w:pStyle w:val="ListParagraph"/>
        <w:numPr>
          <w:ilvl w:val="0"/>
          <w:numId w:val="25"/>
        </w:numPr>
        <w:ind w:left="1080"/>
        <w:jc w:val="both"/>
        <w:rPr>
          <w:rFonts w:cs="Arial"/>
        </w:rPr>
      </w:pPr>
      <w:r>
        <w:rPr>
          <w:rFonts w:cs="Arial"/>
        </w:rPr>
        <w:t xml:space="preserve">For planned versus actual levels; </w:t>
      </w:r>
      <w:r w:rsidR="00EF504A">
        <w:rPr>
          <w:rFonts w:cs="Arial"/>
        </w:rPr>
        <w:t xml:space="preserve">Green indicates threshold achieved and red indicates an exception. </w:t>
      </w:r>
    </w:p>
    <w:p w:rsidR="00EA072E" w:rsidRDefault="00EA072E" w:rsidP="00EA072E">
      <w:pPr>
        <w:pStyle w:val="ListParagraph"/>
        <w:numPr>
          <w:ilvl w:val="0"/>
          <w:numId w:val="25"/>
        </w:numPr>
        <w:ind w:left="1080"/>
        <w:jc w:val="both"/>
        <w:rPr>
          <w:rFonts w:cs="Arial"/>
        </w:rPr>
      </w:pPr>
      <w:r>
        <w:rPr>
          <w:rFonts w:cs="Arial"/>
        </w:rPr>
        <w:t xml:space="preserve">For temporary workers; </w:t>
      </w:r>
      <w:r w:rsidR="00175055">
        <w:rPr>
          <w:rFonts w:cs="Arial"/>
        </w:rPr>
        <w:t xml:space="preserve">green indicates threshold achieved, amber is above 20% utilisation and red above 50% utilisation. </w:t>
      </w:r>
    </w:p>
    <w:p w:rsidR="00CD1F5C" w:rsidRPr="00566E5D" w:rsidRDefault="00A87BB6" w:rsidP="00566E5D">
      <w:pPr>
        <w:pStyle w:val="ListParagraph"/>
        <w:numPr>
          <w:ilvl w:val="0"/>
          <w:numId w:val="25"/>
        </w:numPr>
        <w:ind w:left="1080"/>
        <w:jc w:val="both"/>
        <w:rPr>
          <w:rFonts w:cs="Arial"/>
        </w:rPr>
      </w:pPr>
      <w:r>
        <w:rPr>
          <w:rFonts w:cs="Arial"/>
        </w:rPr>
        <w:t xml:space="preserve">The </w:t>
      </w:r>
      <w:r w:rsidR="00BF5AFC">
        <w:rPr>
          <w:rFonts w:cs="Arial"/>
        </w:rPr>
        <w:t>NSIs that capture care or</w:t>
      </w:r>
      <w:r w:rsidR="003643CB" w:rsidRPr="003643CB">
        <w:rPr>
          <w:rFonts w:cs="Arial"/>
        </w:rPr>
        <w:t xml:space="preserve"> outcom</w:t>
      </w:r>
      <w:r w:rsidR="000A4FE9">
        <w:rPr>
          <w:rFonts w:cs="Arial"/>
        </w:rPr>
        <w:t xml:space="preserve">es </w:t>
      </w:r>
      <w:r>
        <w:rPr>
          <w:rFonts w:cs="Arial"/>
        </w:rPr>
        <w:t>most affected by nursing</w:t>
      </w:r>
      <w:r w:rsidR="000A4FE9">
        <w:rPr>
          <w:rFonts w:cs="Arial"/>
        </w:rPr>
        <w:t xml:space="preserve"> staffing levels</w:t>
      </w:r>
      <w:r>
        <w:rPr>
          <w:rFonts w:cs="Arial"/>
        </w:rPr>
        <w:t xml:space="preserve"> are also presented in conjunction with patient experience feedback</w:t>
      </w:r>
      <w:r w:rsidR="003643CB" w:rsidRPr="003643CB">
        <w:rPr>
          <w:rFonts w:cs="Arial"/>
        </w:rPr>
        <w:t>. This report indicates if there has been an increase or decrease in the indicator position against the previous month</w:t>
      </w:r>
      <w:r>
        <w:rPr>
          <w:rFonts w:cs="Arial"/>
        </w:rPr>
        <w:t xml:space="preserve"> for the NSIs and patient experience feedback</w:t>
      </w:r>
      <w:r w:rsidR="003643CB" w:rsidRPr="003643CB">
        <w:rPr>
          <w:rFonts w:cs="Arial"/>
        </w:rPr>
        <w:t xml:space="preserve">. </w:t>
      </w:r>
    </w:p>
    <w:p w:rsidR="00A000BC" w:rsidRDefault="00A000BC" w:rsidP="00DE1C44">
      <w:pPr>
        <w:rPr>
          <w:rFonts w:cs="Arial"/>
          <w:b/>
          <w:u w:val="single"/>
        </w:rPr>
      </w:pPr>
    </w:p>
    <w:p w:rsidR="00B46937" w:rsidRDefault="00B46937" w:rsidP="00DE1C44">
      <w:pPr>
        <w:rPr>
          <w:rFonts w:cs="Arial"/>
          <w:b/>
          <w:u w:val="single"/>
        </w:rPr>
      </w:pPr>
    </w:p>
    <w:p w:rsidR="00B46937" w:rsidRDefault="00B46937" w:rsidP="00DE1C44">
      <w:pPr>
        <w:rPr>
          <w:rFonts w:cs="Arial"/>
          <w:b/>
          <w:u w:val="single"/>
        </w:rPr>
      </w:pPr>
    </w:p>
    <w:p w:rsidR="00B46937" w:rsidRDefault="00B46937" w:rsidP="00DE1C44">
      <w:pPr>
        <w:rPr>
          <w:rFonts w:cs="Arial"/>
          <w:b/>
          <w:u w:val="single"/>
        </w:rPr>
      </w:pPr>
    </w:p>
    <w:p w:rsidR="00B46937" w:rsidRDefault="00B46937" w:rsidP="00DE1C44">
      <w:pPr>
        <w:rPr>
          <w:rFonts w:cs="Arial"/>
          <w:b/>
          <w:u w:val="single"/>
        </w:rPr>
      </w:pPr>
    </w:p>
    <w:p w:rsidR="00B46937" w:rsidRDefault="00B46937"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CD1F5C" w:rsidRPr="002738CE" w:rsidRDefault="003643CB" w:rsidP="002738CE">
      <w:pPr>
        <w:pStyle w:val="ListParagraph"/>
        <w:ind w:hanging="720"/>
        <w:jc w:val="both"/>
        <w:rPr>
          <w:rFonts w:cs="Arial"/>
          <w:b/>
        </w:rPr>
      </w:pPr>
      <w:r w:rsidRPr="003643CB">
        <w:rPr>
          <w:rFonts w:cs="Arial"/>
          <w:b/>
        </w:rPr>
        <w:t>Acute Inpatient Wards</w:t>
      </w:r>
    </w:p>
    <w:tbl>
      <w:tblPr>
        <w:tblW w:w="539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706"/>
        <w:gridCol w:w="994"/>
        <w:gridCol w:w="978"/>
        <w:gridCol w:w="850"/>
        <w:gridCol w:w="987"/>
        <w:gridCol w:w="746"/>
        <w:gridCol w:w="942"/>
        <w:gridCol w:w="850"/>
        <w:gridCol w:w="798"/>
        <w:gridCol w:w="594"/>
        <w:gridCol w:w="542"/>
        <w:gridCol w:w="708"/>
      </w:tblGrid>
      <w:tr w:rsidR="00705C6C" w:rsidRPr="0011352D" w:rsidTr="002433F6">
        <w:trPr>
          <w:cantSplit/>
          <w:trHeight w:val="177"/>
          <w:tblHeader/>
          <w:jc w:val="center"/>
        </w:trPr>
        <w:tc>
          <w:tcPr>
            <w:tcW w:w="688" w:type="pct"/>
            <w:vMerge w:val="restart"/>
            <w:shd w:val="clear" w:color="auto" w:fill="548DD4" w:themeFill="text2" w:themeFillTint="99"/>
            <w:noWrap/>
            <w:vAlign w:val="center"/>
          </w:tcPr>
          <w:p w:rsidR="00705C6C" w:rsidRPr="003643CB" w:rsidRDefault="00705C6C"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14" w:type="pct"/>
            <w:vMerge w:val="restart"/>
            <w:shd w:val="clear" w:color="auto" w:fill="548DD4" w:themeFill="text2" w:themeFillTint="99"/>
            <w:textDirection w:val="btLr"/>
            <w:vAlign w:val="center"/>
          </w:tcPr>
          <w:p w:rsidR="00705C6C" w:rsidRPr="003643CB" w:rsidRDefault="00705C6C"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42" w:type="pct"/>
            <w:shd w:val="clear" w:color="auto" w:fill="548DD4" w:themeFill="text2" w:themeFillTint="99"/>
            <w:noWrap/>
            <w:vAlign w:val="center"/>
          </w:tcPr>
          <w:p w:rsidR="00705C6C" w:rsidRPr="003643CB" w:rsidRDefault="00705C6C"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35" w:type="pct"/>
            <w:shd w:val="clear" w:color="auto" w:fill="548DD4" w:themeFill="text2" w:themeFillTint="99"/>
            <w:noWrap/>
            <w:vAlign w:val="center"/>
          </w:tcPr>
          <w:p w:rsidR="00705C6C" w:rsidRPr="003643CB" w:rsidRDefault="00705C6C"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78" w:type="pct"/>
            <w:shd w:val="clear" w:color="auto" w:fill="548DD4" w:themeFill="text2" w:themeFillTint="99"/>
            <w:noWrap/>
            <w:vAlign w:val="center"/>
          </w:tcPr>
          <w:p w:rsidR="00705C6C" w:rsidRPr="003643CB" w:rsidRDefault="00705C6C"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39" w:type="pct"/>
            <w:shd w:val="clear" w:color="auto" w:fill="548DD4" w:themeFill="text2" w:themeFillTint="99"/>
            <w:noWrap/>
            <w:vAlign w:val="center"/>
          </w:tcPr>
          <w:p w:rsidR="00705C6C" w:rsidRPr="003643CB" w:rsidRDefault="00705C6C"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32" w:type="pct"/>
            <w:vMerge w:val="restart"/>
            <w:shd w:val="clear" w:color="auto" w:fill="548DD4" w:themeFill="text2" w:themeFillTint="99"/>
            <w:noWrap/>
            <w:vAlign w:val="center"/>
          </w:tcPr>
          <w:p w:rsidR="00705C6C" w:rsidRPr="003643CB" w:rsidRDefault="00705C6C"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19" w:type="pct"/>
            <w:shd w:val="clear" w:color="auto" w:fill="548DD4" w:themeFill="text2" w:themeFillTint="99"/>
            <w:vAlign w:val="center"/>
          </w:tcPr>
          <w:p w:rsidR="00705C6C" w:rsidRPr="003643CB" w:rsidRDefault="00705C6C"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78" w:type="pct"/>
            <w:shd w:val="clear" w:color="auto" w:fill="548DD4" w:themeFill="text2" w:themeFillTint="99"/>
            <w:textDirection w:val="btLr"/>
          </w:tcPr>
          <w:p w:rsidR="00705C6C" w:rsidRPr="003643CB" w:rsidRDefault="00705C6C" w:rsidP="00D93F3A">
            <w:pPr>
              <w:ind w:left="30" w:right="113"/>
              <w:jc w:val="center"/>
              <w:rPr>
                <w:rFonts w:cs="Arial"/>
                <w:b/>
                <w:color w:val="FFFFFF" w:themeColor="background1"/>
                <w:sz w:val="18"/>
                <w:szCs w:val="18"/>
              </w:rPr>
            </w:pPr>
          </w:p>
        </w:tc>
        <w:tc>
          <w:tcPr>
            <w:tcW w:w="355" w:type="pct"/>
            <w:vMerge w:val="restart"/>
            <w:shd w:val="clear" w:color="auto" w:fill="548DD4" w:themeFill="text2" w:themeFillTint="99"/>
            <w:textDirection w:val="btLr"/>
            <w:vAlign w:val="center"/>
          </w:tcPr>
          <w:p w:rsidR="00705C6C" w:rsidRPr="003643CB" w:rsidRDefault="00705C6C"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264" w:type="pct"/>
            <w:vMerge w:val="restart"/>
            <w:shd w:val="clear" w:color="auto" w:fill="548DD4" w:themeFill="text2" w:themeFillTint="99"/>
            <w:textDirection w:val="btLr"/>
            <w:vAlign w:val="center"/>
          </w:tcPr>
          <w:p w:rsidR="00705C6C" w:rsidRPr="003643CB" w:rsidRDefault="00705C6C"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241" w:type="pct"/>
            <w:vMerge w:val="restart"/>
            <w:shd w:val="clear" w:color="auto" w:fill="548DD4" w:themeFill="text2" w:themeFillTint="99"/>
            <w:textDirection w:val="btLr"/>
            <w:vAlign w:val="center"/>
          </w:tcPr>
          <w:p w:rsidR="00705C6C" w:rsidRPr="003643CB" w:rsidRDefault="00705C6C"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15" w:type="pct"/>
            <w:vMerge w:val="restart"/>
            <w:shd w:val="clear" w:color="auto" w:fill="548DD4" w:themeFill="text2" w:themeFillTint="99"/>
            <w:textDirection w:val="btLr"/>
            <w:vAlign w:val="center"/>
          </w:tcPr>
          <w:p w:rsidR="00705C6C" w:rsidRPr="003643CB" w:rsidRDefault="00705C6C"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2433F6" w:rsidRPr="00B265EB" w:rsidTr="002433F6">
        <w:trPr>
          <w:cantSplit/>
          <w:trHeight w:val="1970"/>
          <w:tblHeader/>
          <w:jc w:val="center"/>
        </w:trPr>
        <w:tc>
          <w:tcPr>
            <w:tcW w:w="688" w:type="pct"/>
            <w:vMerge/>
            <w:shd w:val="clear" w:color="auto" w:fill="C6D9F1"/>
            <w:noWrap/>
          </w:tcPr>
          <w:p w:rsidR="00705C6C" w:rsidRPr="003643CB" w:rsidRDefault="00705C6C" w:rsidP="009305B6">
            <w:pPr>
              <w:ind w:left="30"/>
              <w:rPr>
                <w:rFonts w:cs="Arial"/>
                <w:b/>
                <w:sz w:val="18"/>
                <w:szCs w:val="18"/>
              </w:rPr>
            </w:pPr>
          </w:p>
        </w:tc>
        <w:tc>
          <w:tcPr>
            <w:tcW w:w="314" w:type="pct"/>
            <w:vMerge/>
            <w:shd w:val="clear" w:color="auto" w:fill="C6D9F1"/>
            <w:textDirection w:val="btLr"/>
          </w:tcPr>
          <w:p w:rsidR="00705C6C" w:rsidRPr="003643CB" w:rsidRDefault="00705C6C" w:rsidP="009305B6">
            <w:pPr>
              <w:ind w:left="30" w:right="113"/>
              <w:rPr>
                <w:rFonts w:cs="Arial"/>
                <w:b/>
                <w:sz w:val="18"/>
                <w:szCs w:val="18"/>
              </w:rPr>
            </w:pPr>
          </w:p>
        </w:tc>
        <w:tc>
          <w:tcPr>
            <w:tcW w:w="442" w:type="pct"/>
            <w:shd w:val="clear" w:color="auto" w:fill="548DD4" w:themeFill="text2" w:themeFillTint="99"/>
            <w:noWrap/>
          </w:tcPr>
          <w:p w:rsidR="00705C6C" w:rsidRPr="003643CB" w:rsidRDefault="00705C6C" w:rsidP="009305B6">
            <w:pPr>
              <w:ind w:left="30"/>
              <w:rPr>
                <w:rFonts w:cs="Arial"/>
                <w:b/>
                <w:color w:val="FFFFFF"/>
                <w:sz w:val="18"/>
                <w:szCs w:val="18"/>
              </w:rPr>
            </w:pPr>
            <w:r w:rsidRPr="003643CB">
              <w:rPr>
                <w:rFonts w:cs="Arial"/>
                <w:b/>
                <w:color w:val="FFFFFF"/>
                <w:sz w:val="18"/>
                <w:szCs w:val="18"/>
              </w:rPr>
              <w:t>% of actual vs total planned shifts RN</w:t>
            </w:r>
          </w:p>
        </w:tc>
        <w:tc>
          <w:tcPr>
            <w:tcW w:w="435" w:type="pct"/>
            <w:shd w:val="clear" w:color="auto" w:fill="548DD4" w:themeFill="text2" w:themeFillTint="99"/>
            <w:noWrap/>
          </w:tcPr>
          <w:p w:rsidR="00705C6C" w:rsidRPr="003643CB" w:rsidRDefault="00705C6C" w:rsidP="009305B6">
            <w:pPr>
              <w:ind w:left="46"/>
              <w:rPr>
                <w:rFonts w:cs="Arial"/>
                <w:b/>
                <w:color w:val="FFFFFF"/>
                <w:sz w:val="18"/>
                <w:szCs w:val="18"/>
              </w:rPr>
            </w:pPr>
            <w:r w:rsidRPr="003643CB">
              <w:rPr>
                <w:rFonts w:cs="Arial"/>
                <w:b/>
                <w:color w:val="FFFFFF"/>
                <w:sz w:val="18"/>
                <w:szCs w:val="18"/>
              </w:rPr>
              <w:t>% of actual vs total planned shifts care</w:t>
            </w:r>
          </w:p>
          <w:p w:rsidR="00705C6C" w:rsidRPr="003643CB" w:rsidRDefault="00705C6C" w:rsidP="009305B6">
            <w:pPr>
              <w:ind w:left="30"/>
              <w:rPr>
                <w:rFonts w:cs="Arial"/>
                <w:b/>
                <w:color w:val="FFFFFF"/>
                <w:sz w:val="18"/>
                <w:szCs w:val="18"/>
              </w:rPr>
            </w:pPr>
            <w:r w:rsidRPr="003643CB">
              <w:rPr>
                <w:rFonts w:cs="Arial"/>
                <w:b/>
                <w:color w:val="FFFFFF"/>
                <w:sz w:val="18"/>
                <w:szCs w:val="18"/>
              </w:rPr>
              <w:t>HCSW</w:t>
            </w:r>
          </w:p>
        </w:tc>
        <w:tc>
          <w:tcPr>
            <w:tcW w:w="378" w:type="pct"/>
            <w:shd w:val="clear" w:color="auto" w:fill="548DD4" w:themeFill="text2" w:themeFillTint="99"/>
            <w:noWrap/>
          </w:tcPr>
          <w:p w:rsidR="00705C6C" w:rsidRPr="003643CB" w:rsidRDefault="00705C6C" w:rsidP="009305B6">
            <w:pPr>
              <w:ind w:left="30"/>
              <w:rPr>
                <w:rFonts w:cs="Arial"/>
                <w:b/>
                <w:color w:val="FFFFFF"/>
                <w:sz w:val="18"/>
                <w:szCs w:val="18"/>
              </w:rPr>
            </w:pPr>
            <w:r w:rsidRPr="003643CB">
              <w:rPr>
                <w:rFonts w:cs="Arial"/>
                <w:b/>
                <w:color w:val="FFFFFF"/>
                <w:sz w:val="18"/>
                <w:szCs w:val="18"/>
              </w:rPr>
              <w:t>% of actual vs total planned shifts RN</w:t>
            </w:r>
          </w:p>
          <w:p w:rsidR="00705C6C" w:rsidRPr="003643CB" w:rsidRDefault="00705C6C" w:rsidP="009305B6">
            <w:pPr>
              <w:ind w:left="30"/>
              <w:rPr>
                <w:rFonts w:cs="Arial"/>
                <w:b/>
                <w:color w:val="FFFFFF"/>
                <w:sz w:val="18"/>
                <w:szCs w:val="18"/>
              </w:rPr>
            </w:pPr>
          </w:p>
        </w:tc>
        <w:tc>
          <w:tcPr>
            <w:tcW w:w="439" w:type="pct"/>
            <w:shd w:val="clear" w:color="auto" w:fill="548DD4" w:themeFill="text2" w:themeFillTint="99"/>
            <w:noWrap/>
          </w:tcPr>
          <w:p w:rsidR="00705C6C" w:rsidRPr="003643CB" w:rsidRDefault="00705C6C" w:rsidP="009305B6">
            <w:pPr>
              <w:ind w:left="30"/>
              <w:rPr>
                <w:rFonts w:cs="Arial"/>
                <w:b/>
                <w:color w:val="FFFFFF"/>
                <w:sz w:val="18"/>
                <w:szCs w:val="18"/>
              </w:rPr>
            </w:pPr>
            <w:r w:rsidRPr="003643CB">
              <w:rPr>
                <w:rFonts w:cs="Arial"/>
                <w:b/>
                <w:color w:val="FFFFFF"/>
                <w:sz w:val="18"/>
                <w:szCs w:val="18"/>
              </w:rPr>
              <w:t>% of actual vs total planned shifts care</w:t>
            </w:r>
          </w:p>
          <w:p w:rsidR="00705C6C" w:rsidRPr="003643CB" w:rsidRDefault="00705C6C" w:rsidP="009305B6">
            <w:pPr>
              <w:ind w:left="30"/>
              <w:rPr>
                <w:rFonts w:cs="Arial"/>
                <w:b/>
                <w:color w:val="FFFFFF"/>
                <w:sz w:val="18"/>
                <w:szCs w:val="18"/>
              </w:rPr>
            </w:pPr>
            <w:r w:rsidRPr="003643CB">
              <w:rPr>
                <w:rFonts w:cs="Arial"/>
                <w:b/>
                <w:color w:val="FFFFFF"/>
                <w:sz w:val="18"/>
                <w:szCs w:val="18"/>
              </w:rPr>
              <w:t>HCSW</w:t>
            </w:r>
          </w:p>
        </w:tc>
        <w:tc>
          <w:tcPr>
            <w:tcW w:w="332" w:type="pct"/>
            <w:vMerge/>
            <w:shd w:val="clear" w:color="auto" w:fill="548DD4" w:themeFill="text2" w:themeFillTint="99"/>
            <w:noWrap/>
          </w:tcPr>
          <w:p w:rsidR="00705C6C" w:rsidRPr="003643CB" w:rsidRDefault="00705C6C" w:rsidP="009305B6">
            <w:pPr>
              <w:ind w:left="30"/>
              <w:rPr>
                <w:rFonts w:cs="Arial"/>
                <w:b/>
                <w:color w:val="FFFFFF"/>
                <w:sz w:val="18"/>
                <w:szCs w:val="18"/>
              </w:rPr>
            </w:pPr>
          </w:p>
        </w:tc>
        <w:tc>
          <w:tcPr>
            <w:tcW w:w="419" w:type="pct"/>
            <w:shd w:val="clear" w:color="auto" w:fill="548DD4" w:themeFill="text2" w:themeFillTint="99"/>
          </w:tcPr>
          <w:p w:rsidR="00705C6C" w:rsidRPr="003643CB" w:rsidRDefault="00705C6C" w:rsidP="009305B6">
            <w:pPr>
              <w:ind w:left="30"/>
              <w:rPr>
                <w:rFonts w:cs="Arial"/>
                <w:b/>
                <w:color w:val="FFFFFF"/>
                <w:sz w:val="18"/>
                <w:szCs w:val="18"/>
              </w:rPr>
            </w:pPr>
            <w:r w:rsidRPr="003643CB">
              <w:rPr>
                <w:rFonts w:cs="Arial"/>
                <w:b/>
                <w:color w:val="FFFFFF"/>
                <w:sz w:val="18"/>
                <w:szCs w:val="18"/>
              </w:rPr>
              <w:t>Care Hours</w:t>
            </w:r>
          </w:p>
          <w:p w:rsidR="00705C6C" w:rsidRPr="003643CB" w:rsidRDefault="00705C6C" w:rsidP="009305B6">
            <w:pPr>
              <w:ind w:left="30"/>
              <w:rPr>
                <w:rFonts w:cs="Arial"/>
                <w:b/>
                <w:color w:val="FFFFFF"/>
                <w:sz w:val="18"/>
                <w:szCs w:val="18"/>
              </w:rPr>
            </w:pPr>
            <w:r w:rsidRPr="003643CB">
              <w:rPr>
                <w:rFonts w:cs="Arial"/>
                <w:b/>
                <w:color w:val="FFFFFF"/>
                <w:sz w:val="18"/>
                <w:szCs w:val="18"/>
              </w:rPr>
              <w:t>Per Patient Day</w:t>
            </w:r>
          </w:p>
        </w:tc>
        <w:tc>
          <w:tcPr>
            <w:tcW w:w="378" w:type="pct"/>
            <w:shd w:val="clear" w:color="auto" w:fill="548DD4" w:themeFill="text2" w:themeFillTint="99"/>
            <w:textDirection w:val="btLr"/>
          </w:tcPr>
          <w:p w:rsidR="00705C6C" w:rsidRPr="00705C6C" w:rsidRDefault="00705C6C" w:rsidP="009305B6">
            <w:pPr>
              <w:ind w:left="30" w:right="113"/>
              <w:jc w:val="right"/>
              <w:rPr>
                <w:rFonts w:cs="Arial"/>
                <w:b/>
                <w:sz w:val="18"/>
                <w:szCs w:val="18"/>
              </w:rPr>
            </w:pPr>
            <w:r w:rsidRPr="00705C6C">
              <w:rPr>
                <w:rFonts w:cs="Arial"/>
                <w:b/>
                <w:color w:val="FFFFFF" w:themeColor="background1"/>
                <w:sz w:val="18"/>
                <w:szCs w:val="18"/>
              </w:rPr>
              <w:t>Vacancy rate %</w:t>
            </w:r>
          </w:p>
        </w:tc>
        <w:tc>
          <w:tcPr>
            <w:tcW w:w="355" w:type="pct"/>
            <w:vMerge/>
            <w:shd w:val="clear" w:color="auto" w:fill="95B3D7"/>
            <w:textDirection w:val="btLr"/>
          </w:tcPr>
          <w:p w:rsidR="00705C6C" w:rsidRPr="003643CB" w:rsidRDefault="00705C6C" w:rsidP="009305B6">
            <w:pPr>
              <w:ind w:left="30" w:right="113"/>
              <w:jc w:val="right"/>
              <w:rPr>
                <w:rFonts w:cs="Arial"/>
                <w:sz w:val="18"/>
                <w:szCs w:val="18"/>
              </w:rPr>
            </w:pPr>
          </w:p>
        </w:tc>
        <w:tc>
          <w:tcPr>
            <w:tcW w:w="264" w:type="pct"/>
            <w:vMerge/>
            <w:shd w:val="clear" w:color="auto" w:fill="95B3D7"/>
            <w:textDirection w:val="btLr"/>
          </w:tcPr>
          <w:p w:rsidR="00705C6C" w:rsidRPr="003643CB" w:rsidRDefault="00705C6C" w:rsidP="009305B6">
            <w:pPr>
              <w:ind w:left="46" w:right="113"/>
              <w:jc w:val="right"/>
              <w:rPr>
                <w:rFonts w:cs="Arial"/>
                <w:sz w:val="18"/>
                <w:szCs w:val="18"/>
              </w:rPr>
            </w:pPr>
          </w:p>
        </w:tc>
        <w:tc>
          <w:tcPr>
            <w:tcW w:w="241" w:type="pct"/>
            <w:vMerge/>
            <w:shd w:val="clear" w:color="auto" w:fill="95B3D7"/>
            <w:textDirection w:val="btLr"/>
          </w:tcPr>
          <w:p w:rsidR="00705C6C" w:rsidRPr="003643CB" w:rsidRDefault="00705C6C" w:rsidP="009305B6">
            <w:pPr>
              <w:ind w:left="30" w:right="113"/>
              <w:jc w:val="right"/>
              <w:rPr>
                <w:rFonts w:cs="Arial"/>
                <w:sz w:val="18"/>
                <w:szCs w:val="18"/>
              </w:rPr>
            </w:pPr>
          </w:p>
        </w:tc>
        <w:tc>
          <w:tcPr>
            <w:tcW w:w="315" w:type="pct"/>
            <w:vMerge/>
            <w:shd w:val="clear" w:color="auto" w:fill="95B3D7"/>
            <w:textDirection w:val="btLr"/>
          </w:tcPr>
          <w:p w:rsidR="00705C6C" w:rsidRPr="003643CB" w:rsidRDefault="00705C6C" w:rsidP="009305B6">
            <w:pPr>
              <w:ind w:left="30" w:right="113"/>
              <w:jc w:val="right"/>
              <w:rPr>
                <w:rFonts w:cs="Arial"/>
                <w:sz w:val="18"/>
                <w:szCs w:val="18"/>
              </w:rPr>
            </w:pP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Ashby</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17</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115.3%</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150.9%</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94.6%</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139.3%</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24.6%</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6.7</w:t>
            </w:r>
          </w:p>
        </w:tc>
        <w:tc>
          <w:tcPr>
            <w:tcW w:w="378" w:type="pct"/>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18.0↑</w:t>
            </w:r>
          </w:p>
        </w:tc>
        <w:tc>
          <w:tcPr>
            <w:tcW w:w="355" w:type="pct"/>
            <w:vAlign w:val="center"/>
          </w:tcPr>
          <w:p w:rsidR="00705C6C" w:rsidRPr="00705C6C" w:rsidRDefault="00705C6C"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64" w:type="pct"/>
            <w:vAlign w:val="center"/>
          </w:tcPr>
          <w:p w:rsidR="00705C6C" w:rsidRPr="00705C6C" w:rsidRDefault="00705C6C" w:rsidP="007C369F">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241"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315" w:type="pct"/>
            <w:vAlign w:val="center"/>
          </w:tcPr>
          <w:p w:rsidR="00705C6C" w:rsidRPr="00705C6C" w:rsidRDefault="00705C6C" w:rsidP="007C369F">
            <w:pPr>
              <w:jc w:val="center"/>
              <w:rPr>
                <w:rFonts w:asciiTheme="minorHAnsi" w:hAnsiTheme="minorHAnsi" w:cs="Arial"/>
                <w:sz w:val="18"/>
                <w:szCs w:val="18"/>
              </w:rPr>
            </w:pPr>
            <w:r>
              <w:rPr>
                <w:rFonts w:asciiTheme="minorHAnsi" w:hAnsiTheme="minorHAnsi" w:cs="Arial"/>
                <w:sz w:val="18"/>
                <w:szCs w:val="18"/>
              </w:rPr>
              <w:t>nil</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Aston</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18</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88.6%</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136.6%</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103.6%</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210.7%</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35.3%</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6.2</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18.4</w:t>
            </w:r>
            <w:r w:rsidRPr="00705C6C">
              <w:rPr>
                <w:rFonts w:asciiTheme="minorHAnsi" w:hAnsiTheme="minorHAnsi" w:cs="Arial"/>
                <w:sz w:val="18"/>
                <w:szCs w:val="18"/>
              </w:rPr>
              <w:t>↓</w:t>
            </w:r>
          </w:p>
        </w:tc>
        <w:tc>
          <w:tcPr>
            <w:tcW w:w="355"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264"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6</w:t>
            </w:r>
            <w:r w:rsidRPr="00705C6C">
              <w:rPr>
                <w:rFonts w:asciiTheme="minorHAnsi" w:hAnsiTheme="minorHAnsi" w:cs="Arial"/>
                <w:sz w:val="18"/>
                <w:szCs w:val="18"/>
              </w:rPr>
              <w:t>↑</w:t>
            </w:r>
          </w:p>
        </w:tc>
        <w:tc>
          <w:tcPr>
            <w:tcW w:w="241"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315"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100</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Beaumont</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20</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95.2%</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207.1%</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135.7%</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417.9%</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46.2%</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7.4</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0.1</w:t>
            </w:r>
            <w:r w:rsidRPr="00705C6C">
              <w:rPr>
                <w:rFonts w:asciiTheme="minorHAnsi" w:hAnsiTheme="minorHAnsi" w:cs="Arial"/>
                <w:sz w:val="18"/>
                <w:szCs w:val="18"/>
              </w:rPr>
              <w:t>↓</w:t>
            </w:r>
          </w:p>
        </w:tc>
        <w:tc>
          <w:tcPr>
            <w:tcW w:w="355"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64"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241"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1</w:t>
            </w:r>
          </w:p>
        </w:tc>
        <w:tc>
          <w:tcPr>
            <w:tcW w:w="315"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Belvoir Unit</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10</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96.4%</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275.2%</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185.7%</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280.4%</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36.9%</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16.8</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35.7</w:t>
            </w:r>
            <w:r w:rsidRPr="00705C6C">
              <w:rPr>
                <w:rFonts w:asciiTheme="minorHAnsi" w:hAnsiTheme="minorHAnsi" w:cs="Arial"/>
                <w:sz w:val="18"/>
                <w:szCs w:val="18"/>
              </w:rPr>
              <w:t>↑</w:t>
            </w:r>
          </w:p>
        </w:tc>
        <w:tc>
          <w:tcPr>
            <w:tcW w:w="355"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64"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241"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315"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Bosworth</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19</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95.5%</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167.9%</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96.4%</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189.3%</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31.0%</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6.3</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22.8</w:t>
            </w:r>
            <w:r w:rsidRPr="00705C6C">
              <w:rPr>
                <w:rFonts w:asciiTheme="minorHAnsi" w:hAnsiTheme="minorHAnsi" w:cs="Arial"/>
                <w:sz w:val="18"/>
                <w:szCs w:val="18"/>
              </w:rPr>
              <w:t>↑</w:t>
            </w:r>
          </w:p>
        </w:tc>
        <w:tc>
          <w:tcPr>
            <w:tcW w:w="355" w:type="pct"/>
            <w:shd w:val="clear" w:color="auto" w:fill="auto"/>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64" w:type="pct"/>
            <w:shd w:val="clear" w:color="auto" w:fill="auto"/>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41" w:type="pct"/>
            <w:shd w:val="clear" w:color="auto" w:fill="auto"/>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315" w:type="pct"/>
            <w:shd w:val="clear" w:color="auto" w:fill="auto"/>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100%</w:t>
            </w:r>
          </w:p>
        </w:tc>
      </w:tr>
      <w:tr w:rsidR="00705C6C" w:rsidRPr="00610167"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Heather</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17</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88.0%</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144.6%</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91.1%</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182.1%</w:t>
            </w:r>
          </w:p>
        </w:tc>
        <w:tc>
          <w:tcPr>
            <w:tcW w:w="33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16.5%</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6.2</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21.9</w:t>
            </w:r>
            <w:r w:rsidRPr="00705C6C">
              <w:rPr>
                <w:rFonts w:asciiTheme="minorHAnsi" w:hAnsiTheme="minorHAnsi" w:cs="Arial"/>
                <w:sz w:val="18"/>
                <w:szCs w:val="18"/>
              </w:rPr>
              <w:t>↑</w:t>
            </w:r>
          </w:p>
        </w:tc>
        <w:tc>
          <w:tcPr>
            <w:tcW w:w="355"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64"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241"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2</w:t>
            </w:r>
            <w:r w:rsidRPr="00705C6C">
              <w:rPr>
                <w:rFonts w:asciiTheme="minorHAnsi" w:hAnsiTheme="minorHAnsi" w:cs="Arial"/>
                <w:sz w:val="18"/>
                <w:szCs w:val="18"/>
              </w:rPr>
              <w:t>↑</w:t>
            </w:r>
          </w:p>
        </w:tc>
        <w:tc>
          <w:tcPr>
            <w:tcW w:w="315" w:type="pct"/>
            <w:vAlign w:val="center"/>
          </w:tcPr>
          <w:p w:rsidR="00705C6C" w:rsidRPr="00705C6C" w:rsidRDefault="00705C6C" w:rsidP="007C369F">
            <w:pPr>
              <w:tabs>
                <w:tab w:val="center" w:pos="264"/>
              </w:tabs>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Thornton</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19</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86.7%</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167.0%</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98.2%</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150.0%</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37.7%</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6.4</w:t>
            </w:r>
          </w:p>
        </w:tc>
        <w:tc>
          <w:tcPr>
            <w:tcW w:w="378" w:type="pct"/>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8.9</w:t>
            </w:r>
          </w:p>
        </w:tc>
        <w:tc>
          <w:tcPr>
            <w:tcW w:w="355"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64"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41" w:type="pct"/>
            <w:vAlign w:val="center"/>
          </w:tcPr>
          <w:p w:rsidR="00705C6C" w:rsidRPr="00705C6C" w:rsidRDefault="002433F6" w:rsidP="007C369F">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315"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365739"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Watermead</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20</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91.1%</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175.9%</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96.4%</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260.7%</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41.7%</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6.5</w:t>
            </w:r>
          </w:p>
        </w:tc>
        <w:tc>
          <w:tcPr>
            <w:tcW w:w="378" w:type="pct"/>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17.5</w:t>
            </w:r>
            <w:r w:rsidRPr="00705C6C">
              <w:rPr>
                <w:rFonts w:asciiTheme="minorHAnsi" w:hAnsiTheme="minorHAnsi" w:cs="Arial"/>
                <w:sz w:val="18"/>
                <w:szCs w:val="18"/>
              </w:rPr>
              <w:t>↓</w:t>
            </w:r>
          </w:p>
        </w:tc>
        <w:tc>
          <w:tcPr>
            <w:tcW w:w="355" w:type="pct"/>
            <w:shd w:val="clear" w:color="auto" w:fill="auto"/>
            <w:vAlign w:val="center"/>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3</w:t>
            </w:r>
            <w:r w:rsidR="00705C6C" w:rsidRPr="00705C6C">
              <w:rPr>
                <w:rFonts w:asciiTheme="minorHAnsi" w:hAnsiTheme="minorHAnsi" w:cs="Arial"/>
                <w:sz w:val="18"/>
                <w:szCs w:val="18"/>
              </w:rPr>
              <w:t>↑</w:t>
            </w:r>
          </w:p>
        </w:tc>
        <w:tc>
          <w:tcPr>
            <w:tcW w:w="264" w:type="pct"/>
            <w:shd w:val="clear" w:color="auto" w:fill="auto"/>
            <w:vAlign w:val="center"/>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1</w:t>
            </w:r>
            <w:r w:rsidRPr="00705C6C">
              <w:rPr>
                <w:rFonts w:asciiTheme="minorHAnsi" w:hAnsiTheme="minorHAnsi" w:cs="Arial"/>
                <w:sz w:val="18"/>
                <w:szCs w:val="18"/>
              </w:rPr>
              <w:t>↓</w:t>
            </w:r>
          </w:p>
        </w:tc>
        <w:tc>
          <w:tcPr>
            <w:tcW w:w="241" w:type="pct"/>
            <w:shd w:val="clear" w:color="auto" w:fill="auto"/>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315" w:type="pct"/>
            <w:shd w:val="clear" w:color="auto" w:fill="auto"/>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D76EE2" w:rsidTr="002433F6">
        <w:trPr>
          <w:trHeight w:val="113"/>
          <w:tblHeader/>
          <w:jc w:val="center"/>
        </w:trPr>
        <w:tc>
          <w:tcPr>
            <w:tcW w:w="688" w:type="pct"/>
            <w:shd w:val="clear" w:color="000000" w:fill="FFFFFF"/>
            <w:noWrap/>
            <w:vAlign w:val="center"/>
          </w:tcPr>
          <w:p w:rsidR="00705C6C" w:rsidRPr="0087500B" w:rsidRDefault="00705C6C" w:rsidP="009305B6">
            <w:pPr>
              <w:ind w:left="30"/>
              <w:rPr>
                <w:rFonts w:cs="Arial"/>
                <w:sz w:val="18"/>
                <w:szCs w:val="18"/>
              </w:rPr>
            </w:pPr>
            <w:r w:rsidRPr="0087500B">
              <w:rPr>
                <w:rFonts w:cs="Arial"/>
                <w:sz w:val="18"/>
                <w:szCs w:val="18"/>
              </w:rPr>
              <w:t>Griffin F  PICU</w:t>
            </w:r>
          </w:p>
        </w:tc>
        <w:tc>
          <w:tcPr>
            <w:tcW w:w="314" w:type="pct"/>
            <w:vAlign w:val="bottom"/>
          </w:tcPr>
          <w:p w:rsidR="00705C6C" w:rsidRPr="00EF504A" w:rsidRDefault="00705C6C" w:rsidP="00D177B4">
            <w:pPr>
              <w:jc w:val="center"/>
              <w:rPr>
                <w:rFonts w:ascii="Calibri" w:hAnsi="Calibri"/>
                <w:color w:val="000000"/>
                <w:sz w:val="18"/>
                <w:szCs w:val="18"/>
              </w:rPr>
            </w:pPr>
            <w:r w:rsidRPr="00EF504A">
              <w:rPr>
                <w:rFonts w:ascii="Calibri" w:hAnsi="Calibri"/>
                <w:color w:val="000000"/>
                <w:sz w:val="18"/>
                <w:szCs w:val="18"/>
              </w:rPr>
              <w:t>5</w:t>
            </w:r>
          </w:p>
        </w:tc>
        <w:tc>
          <w:tcPr>
            <w:tcW w:w="442"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194.9%</w:t>
            </w:r>
          </w:p>
        </w:tc>
        <w:tc>
          <w:tcPr>
            <w:tcW w:w="435"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325.8%</w:t>
            </w:r>
          </w:p>
        </w:tc>
        <w:tc>
          <w:tcPr>
            <w:tcW w:w="378"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192.9%</w:t>
            </w:r>
          </w:p>
        </w:tc>
        <w:tc>
          <w:tcPr>
            <w:tcW w:w="439" w:type="pct"/>
            <w:shd w:val="clear" w:color="auto" w:fill="92D05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253.6%</w:t>
            </w:r>
          </w:p>
        </w:tc>
        <w:tc>
          <w:tcPr>
            <w:tcW w:w="332" w:type="pct"/>
            <w:shd w:val="clear" w:color="auto" w:fill="FFC000"/>
            <w:noWrap/>
            <w:vAlign w:val="bottom"/>
          </w:tcPr>
          <w:p w:rsidR="00705C6C" w:rsidRPr="00CE2962" w:rsidRDefault="00705C6C" w:rsidP="00D177B4">
            <w:pPr>
              <w:jc w:val="center"/>
              <w:rPr>
                <w:rFonts w:ascii="Calibri" w:hAnsi="Calibri"/>
                <w:b/>
                <w:color w:val="000000"/>
                <w:sz w:val="18"/>
                <w:szCs w:val="18"/>
              </w:rPr>
            </w:pPr>
            <w:r w:rsidRPr="00CE2962">
              <w:rPr>
                <w:rFonts w:ascii="Calibri" w:hAnsi="Calibri"/>
                <w:b/>
                <w:color w:val="000000"/>
                <w:sz w:val="18"/>
                <w:szCs w:val="18"/>
              </w:rPr>
              <w:t>41.4%</w:t>
            </w:r>
          </w:p>
        </w:tc>
        <w:tc>
          <w:tcPr>
            <w:tcW w:w="419" w:type="pct"/>
            <w:vAlign w:val="center"/>
          </w:tcPr>
          <w:p w:rsidR="00705C6C" w:rsidRPr="00175055" w:rsidRDefault="00705C6C" w:rsidP="00D177B4">
            <w:pPr>
              <w:jc w:val="center"/>
              <w:rPr>
                <w:rFonts w:ascii="Calibri" w:hAnsi="Calibri" w:cs="Arial"/>
                <w:color w:val="000000"/>
                <w:sz w:val="18"/>
                <w:szCs w:val="18"/>
              </w:rPr>
            </w:pPr>
            <w:r w:rsidRPr="00175055">
              <w:rPr>
                <w:rFonts w:ascii="Calibri" w:hAnsi="Calibri" w:cs="Arial"/>
                <w:color w:val="000000"/>
                <w:sz w:val="18"/>
                <w:szCs w:val="18"/>
              </w:rPr>
              <w:t>20.5</w:t>
            </w:r>
          </w:p>
        </w:tc>
        <w:tc>
          <w:tcPr>
            <w:tcW w:w="378" w:type="pct"/>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30.9</w:t>
            </w:r>
            <w:r w:rsidRPr="00705C6C">
              <w:rPr>
                <w:rFonts w:asciiTheme="minorHAnsi" w:hAnsiTheme="minorHAnsi" w:cs="Arial"/>
                <w:sz w:val="18"/>
                <w:szCs w:val="18"/>
              </w:rPr>
              <w:t>↑</w:t>
            </w:r>
          </w:p>
        </w:tc>
        <w:tc>
          <w:tcPr>
            <w:tcW w:w="355" w:type="pct"/>
            <w:vAlign w:val="center"/>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0</w:t>
            </w:r>
          </w:p>
        </w:tc>
        <w:tc>
          <w:tcPr>
            <w:tcW w:w="264" w:type="pct"/>
            <w:vAlign w:val="center"/>
          </w:tcPr>
          <w:p w:rsidR="00705C6C" w:rsidRPr="00705C6C" w:rsidRDefault="008D5B9A" w:rsidP="007C369F">
            <w:pPr>
              <w:jc w:val="center"/>
              <w:rPr>
                <w:rFonts w:asciiTheme="minorHAnsi" w:hAnsiTheme="minorHAnsi" w:cs="Arial"/>
                <w:sz w:val="18"/>
                <w:szCs w:val="18"/>
              </w:rPr>
            </w:pPr>
            <w:r>
              <w:rPr>
                <w:rFonts w:asciiTheme="minorHAnsi" w:hAnsiTheme="minorHAnsi" w:cs="Arial"/>
                <w:sz w:val="18"/>
                <w:szCs w:val="18"/>
              </w:rPr>
              <w:t>0</w:t>
            </w:r>
          </w:p>
        </w:tc>
        <w:tc>
          <w:tcPr>
            <w:tcW w:w="241"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0</w:t>
            </w:r>
          </w:p>
        </w:tc>
        <w:tc>
          <w:tcPr>
            <w:tcW w:w="315" w:type="pct"/>
            <w:vAlign w:val="center"/>
          </w:tcPr>
          <w:p w:rsidR="00705C6C" w:rsidRPr="00705C6C" w:rsidRDefault="00705C6C" w:rsidP="007C369F">
            <w:pPr>
              <w:jc w:val="center"/>
              <w:rPr>
                <w:rFonts w:asciiTheme="minorHAnsi" w:hAnsiTheme="minorHAnsi" w:cs="Arial"/>
                <w:sz w:val="18"/>
                <w:szCs w:val="18"/>
              </w:rPr>
            </w:pPr>
            <w:r w:rsidRPr="00705C6C">
              <w:rPr>
                <w:rFonts w:asciiTheme="minorHAnsi" w:hAnsiTheme="minorHAnsi" w:cs="Arial"/>
                <w:sz w:val="18"/>
                <w:szCs w:val="18"/>
              </w:rPr>
              <w:t>nil</w:t>
            </w:r>
          </w:p>
        </w:tc>
      </w:tr>
      <w:tr w:rsidR="00705C6C" w:rsidRPr="00365739" w:rsidTr="002433F6">
        <w:trPr>
          <w:trHeight w:val="225"/>
          <w:tblHeader/>
          <w:jc w:val="center"/>
        </w:trPr>
        <w:tc>
          <w:tcPr>
            <w:tcW w:w="688" w:type="pct"/>
            <w:shd w:val="clear" w:color="000000" w:fill="FFFFFF"/>
            <w:noWrap/>
            <w:vAlign w:val="center"/>
          </w:tcPr>
          <w:p w:rsidR="00705C6C" w:rsidRPr="0087500B" w:rsidRDefault="00705C6C" w:rsidP="009305B6">
            <w:pPr>
              <w:ind w:left="30"/>
              <w:rPr>
                <w:rFonts w:cs="Arial"/>
                <w:b/>
                <w:sz w:val="18"/>
                <w:szCs w:val="18"/>
              </w:rPr>
            </w:pPr>
            <w:r w:rsidRPr="0087500B">
              <w:rPr>
                <w:rFonts w:cs="Arial"/>
                <w:b/>
                <w:sz w:val="18"/>
                <w:szCs w:val="18"/>
              </w:rPr>
              <w:t>TOTALS</w:t>
            </w:r>
          </w:p>
        </w:tc>
        <w:tc>
          <w:tcPr>
            <w:tcW w:w="314" w:type="pct"/>
            <w:shd w:val="clear" w:color="auto" w:fill="A6A6A6" w:themeFill="background1" w:themeFillShade="A6"/>
            <w:vAlign w:val="center"/>
          </w:tcPr>
          <w:p w:rsidR="00705C6C" w:rsidRPr="0087500B" w:rsidRDefault="00705C6C" w:rsidP="003643CB">
            <w:pPr>
              <w:jc w:val="center"/>
              <w:rPr>
                <w:rFonts w:cs="Arial"/>
                <w:b/>
                <w:color w:val="FF0000"/>
                <w:sz w:val="18"/>
                <w:szCs w:val="18"/>
              </w:rPr>
            </w:pPr>
          </w:p>
        </w:tc>
        <w:tc>
          <w:tcPr>
            <w:tcW w:w="442" w:type="pct"/>
            <w:shd w:val="clear" w:color="auto" w:fill="A6A6A6" w:themeFill="background1" w:themeFillShade="A6"/>
            <w:noWrap/>
            <w:vAlign w:val="center"/>
          </w:tcPr>
          <w:p w:rsidR="00705C6C" w:rsidRPr="0087500B" w:rsidRDefault="00705C6C" w:rsidP="003643CB">
            <w:pPr>
              <w:jc w:val="center"/>
              <w:rPr>
                <w:rFonts w:cs="Arial"/>
                <w:b/>
                <w:color w:val="FF0000"/>
                <w:sz w:val="18"/>
                <w:szCs w:val="18"/>
              </w:rPr>
            </w:pPr>
          </w:p>
        </w:tc>
        <w:tc>
          <w:tcPr>
            <w:tcW w:w="435" w:type="pct"/>
            <w:shd w:val="clear" w:color="auto" w:fill="A6A6A6" w:themeFill="background1" w:themeFillShade="A6"/>
            <w:noWrap/>
            <w:vAlign w:val="center"/>
          </w:tcPr>
          <w:p w:rsidR="00705C6C" w:rsidRPr="0087500B" w:rsidRDefault="00705C6C" w:rsidP="003643CB">
            <w:pPr>
              <w:jc w:val="center"/>
              <w:rPr>
                <w:rFonts w:cs="Arial"/>
                <w:b/>
                <w:color w:val="FF0000"/>
                <w:sz w:val="18"/>
                <w:szCs w:val="18"/>
              </w:rPr>
            </w:pPr>
          </w:p>
        </w:tc>
        <w:tc>
          <w:tcPr>
            <w:tcW w:w="378" w:type="pct"/>
            <w:shd w:val="clear" w:color="auto" w:fill="A6A6A6" w:themeFill="background1" w:themeFillShade="A6"/>
            <w:noWrap/>
            <w:vAlign w:val="center"/>
          </w:tcPr>
          <w:p w:rsidR="00705C6C" w:rsidRPr="0087500B" w:rsidRDefault="00705C6C" w:rsidP="003643CB">
            <w:pPr>
              <w:jc w:val="center"/>
              <w:rPr>
                <w:rFonts w:cs="Arial"/>
                <w:b/>
                <w:color w:val="FF0000"/>
                <w:sz w:val="18"/>
                <w:szCs w:val="18"/>
              </w:rPr>
            </w:pPr>
          </w:p>
        </w:tc>
        <w:tc>
          <w:tcPr>
            <w:tcW w:w="439" w:type="pct"/>
            <w:shd w:val="clear" w:color="auto" w:fill="A6A6A6" w:themeFill="background1" w:themeFillShade="A6"/>
            <w:noWrap/>
            <w:vAlign w:val="center"/>
          </w:tcPr>
          <w:p w:rsidR="00705C6C" w:rsidRPr="0087500B" w:rsidRDefault="00705C6C" w:rsidP="003643CB">
            <w:pPr>
              <w:jc w:val="center"/>
              <w:rPr>
                <w:rFonts w:cs="Arial"/>
                <w:b/>
                <w:color w:val="FF0000"/>
                <w:sz w:val="18"/>
                <w:szCs w:val="18"/>
              </w:rPr>
            </w:pPr>
          </w:p>
        </w:tc>
        <w:tc>
          <w:tcPr>
            <w:tcW w:w="332" w:type="pct"/>
            <w:shd w:val="clear" w:color="auto" w:fill="A6A6A6" w:themeFill="background1" w:themeFillShade="A6"/>
            <w:noWrap/>
            <w:vAlign w:val="center"/>
          </w:tcPr>
          <w:p w:rsidR="00705C6C" w:rsidRPr="0087500B" w:rsidRDefault="00705C6C" w:rsidP="003643CB">
            <w:pPr>
              <w:jc w:val="center"/>
              <w:rPr>
                <w:rFonts w:cs="Arial"/>
                <w:color w:val="FF0000"/>
                <w:sz w:val="18"/>
                <w:szCs w:val="18"/>
              </w:rPr>
            </w:pPr>
          </w:p>
        </w:tc>
        <w:tc>
          <w:tcPr>
            <w:tcW w:w="419" w:type="pct"/>
            <w:shd w:val="clear" w:color="auto" w:fill="A6A6A6" w:themeFill="background1" w:themeFillShade="A6"/>
            <w:vAlign w:val="center"/>
          </w:tcPr>
          <w:p w:rsidR="00705C6C" w:rsidRPr="0087500B" w:rsidRDefault="00705C6C" w:rsidP="003643CB">
            <w:pPr>
              <w:jc w:val="center"/>
              <w:rPr>
                <w:rFonts w:cs="Arial"/>
                <w:sz w:val="18"/>
                <w:szCs w:val="18"/>
              </w:rPr>
            </w:pPr>
          </w:p>
        </w:tc>
        <w:tc>
          <w:tcPr>
            <w:tcW w:w="378" w:type="pct"/>
          </w:tcPr>
          <w:p w:rsidR="00705C6C" w:rsidRPr="00705C6C" w:rsidRDefault="00705C6C" w:rsidP="007C369F">
            <w:pPr>
              <w:jc w:val="center"/>
              <w:rPr>
                <w:rFonts w:asciiTheme="minorHAnsi" w:hAnsiTheme="minorHAnsi" w:cs="Arial"/>
                <w:b/>
                <w:sz w:val="18"/>
                <w:szCs w:val="18"/>
              </w:rPr>
            </w:pPr>
          </w:p>
        </w:tc>
        <w:tc>
          <w:tcPr>
            <w:tcW w:w="355" w:type="pct"/>
            <w:vAlign w:val="center"/>
          </w:tcPr>
          <w:p w:rsidR="00705C6C" w:rsidRPr="008D5B9A" w:rsidRDefault="008D5B9A" w:rsidP="007C369F">
            <w:pPr>
              <w:jc w:val="center"/>
              <w:rPr>
                <w:rFonts w:asciiTheme="minorHAnsi" w:hAnsiTheme="minorHAnsi" w:cs="Arial"/>
                <w:b/>
                <w:sz w:val="18"/>
                <w:szCs w:val="18"/>
              </w:rPr>
            </w:pPr>
            <w:r w:rsidRPr="008D5B9A">
              <w:rPr>
                <w:rFonts w:asciiTheme="minorHAnsi" w:hAnsiTheme="minorHAnsi" w:cs="Arial"/>
                <w:b/>
                <w:sz w:val="18"/>
                <w:szCs w:val="18"/>
              </w:rPr>
              <w:t>5↓</w:t>
            </w:r>
          </w:p>
        </w:tc>
        <w:tc>
          <w:tcPr>
            <w:tcW w:w="264" w:type="pct"/>
            <w:vAlign w:val="center"/>
          </w:tcPr>
          <w:p w:rsidR="00705C6C" w:rsidRPr="008D5B9A" w:rsidRDefault="008D5B9A" w:rsidP="007C369F">
            <w:pPr>
              <w:jc w:val="center"/>
              <w:rPr>
                <w:rFonts w:asciiTheme="minorHAnsi" w:hAnsiTheme="minorHAnsi" w:cs="Arial"/>
                <w:b/>
                <w:sz w:val="18"/>
                <w:szCs w:val="18"/>
              </w:rPr>
            </w:pPr>
            <w:r w:rsidRPr="008D5B9A">
              <w:rPr>
                <w:rFonts w:asciiTheme="minorHAnsi" w:hAnsiTheme="minorHAnsi" w:cs="Arial"/>
                <w:b/>
                <w:sz w:val="18"/>
                <w:szCs w:val="18"/>
              </w:rPr>
              <w:t>11↓</w:t>
            </w:r>
          </w:p>
        </w:tc>
        <w:tc>
          <w:tcPr>
            <w:tcW w:w="241" w:type="pct"/>
            <w:vAlign w:val="center"/>
          </w:tcPr>
          <w:p w:rsidR="00705C6C" w:rsidRPr="008D5B9A" w:rsidRDefault="008D5B9A" w:rsidP="007C369F">
            <w:pPr>
              <w:jc w:val="center"/>
              <w:rPr>
                <w:rFonts w:asciiTheme="minorHAnsi" w:hAnsiTheme="minorHAnsi" w:cs="Arial"/>
                <w:b/>
                <w:sz w:val="18"/>
                <w:szCs w:val="18"/>
              </w:rPr>
            </w:pPr>
            <w:r w:rsidRPr="008D5B9A">
              <w:rPr>
                <w:rFonts w:asciiTheme="minorHAnsi" w:hAnsiTheme="minorHAnsi" w:cs="Arial"/>
                <w:b/>
                <w:sz w:val="18"/>
                <w:szCs w:val="18"/>
              </w:rPr>
              <w:t>5↑</w:t>
            </w:r>
          </w:p>
        </w:tc>
        <w:tc>
          <w:tcPr>
            <w:tcW w:w="315" w:type="pct"/>
            <w:shd w:val="clear" w:color="auto" w:fill="A6A6A6" w:themeFill="background1" w:themeFillShade="A6"/>
            <w:vAlign w:val="center"/>
          </w:tcPr>
          <w:p w:rsidR="00705C6C" w:rsidRPr="00705C6C" w:rsidRDefault="00705C6C" w:rsidP="007C369F">
            <w:pPr>
              <w:keepNext/>
              <w:jc w:val="center"/>
              <w:rPr>
                <w:rFonts w:asciiTheme="minorHAnsi" w:hAnsiTheme="minorHAnsi" w:cs="Arial"/>
                <w:color w:val="FF0000"/>
                <w:sz w:val="18"/>
                <w:szCs w:val="18"/>
                <w:highlight w:val="yellow"/>
              </w:rPr>
            </w:pPr>
          </w:p>
        </w:tc>
      </w:tr>
    </w:tbl>
    <w:p w:rsidR="00875842" w:rsidRPr="00875842" w:rsidRDefault="003643CB" w:rsidP="00566E5D">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3</w:t>
      </w:r>
      <w:r w:rsidR="0067196C">
        <w:rPr>
          <w:noProof/>
        </w:rPr>
        <w:fldChar w:fldCharType="end"/>
      </w:r>
      <w:r>
        <w:t xml:space="preserve"> - Acute inpatient ward safer staffing</w:t>
      </w:r>
    </w:p>
    <w:p w:rsidR="00F87919" w:rsidRPr="00F87919" w:rsidRDefault="00F87919" w:rsidP="00F87919">
      <w:pPr>
        <w:ind w:left="207"/>
        <w:jc w:val="both"/>
        <w:rPr>
          <w:rFonts w:cs="Arial"/>
        </w:rPr>
      </w:pPr>
    </w:p>
    <w:p w:rsidR="00BF602D" w:rsidRPr="00EA072E" w:rsidRDefault="009F000A" w:rsidP="00BF602D">
      <w:pPr>
        <w:pStyle w:val="ListParagraph"/>
        <w:numPr>
          <w:ilvl w:val="0"/>
          <w:numId w:val="1"/>
        </w:numPr>
        <w:ind w:left="567"/>
        <w:jc w:val="both"/>
        <w:rPr>
          <w:rFonts w:cs="Arial"/>
        </w:rPr>
      </w:pPr>
      <w:r w:rsidRPr="00EA072E">
        <w:rPr>
          <w:rFonts w:cs="Arial"/>
        </w:rPr>
        <w:t>T</w:t>
      </w:r>
      <w:r w:rsidR="003643CB" w:rsidRPr="00EA072E">
        <w:rPr>
          <w:rFonts w:cs="Arial"/>
        </w:rPr>
        <w:t>empo</w:t>
      </w:r>
      <w:r w:rsidR="008E74C3" w:rsidRPr="00EA072E">
        <w:rPr>
          <w:rFonts w:cs="Arial"/>
        </w:rPr>
        <w:t>rary worker utilisation</w:t>
      </w:r>
      <w:r w:rsidR="000C0F4E" w:rsidRPr="00EA072E">
        <w:rPr>
          <w:rFonts w:cs="Arial"/>
        </w:rPr>
        <w:t xml:space="preserve"> is Green for Heather ward and Amber for all other wards</w:t>
      </w:r>
      <w:r w:rsidR="003643CB" w:rsidRPr="00EA072E">
        <w:rPr>
          <w:rFonts w:cs="Arial"/>
        </w:rPr>
        <w:t xml:space="preserve">. The increased utilisation is due </w:t>
      </w:r>
      <w:r w:rsidR="007455CB" w:rsidRPr="00EA072E">
        <w:rPr>
          <w:rFonts w:cs="Arial"/>
        </w:rPr>
        <w:t xml:space="preserve">to </w:t>
      </w:r>
      <w:r w:rsidR="004624B1">
        <w:rPr>
          <w:rFonts w:cs="Arial"/>
        </w:rPr>
        <w:t>a combination of high nurse vacancy factor</w:t>
      </w:r>
      <w:r w:rsidR="007455CB" w:rsidRPr="00EA072E">
        <w:rPr>
          <w:rFonts w:cs="Arial"/>
        </w:rPr>
        <w:t xml:space="preserve">, </w:t>
      </w:r>
      <w:r w:rsidR="004624B1">
        <w:rPr>
          <w:rFonts w:cs="Arial"/>
        </w:rPr>
        <w:t xml:space="preserve">increased staff </w:t>
      </w:r>
      <w:r w:rsidR="007455CB" w:rsidRPr="00EA072E">
        <w:rPr>
          <w:rFonts w:cs="Arial"/>
        </w:rPr>
        <w:t>sickness and</w:t>
      </w:r>
      <w:r w:rsidR="003643CB" w:rsidRPr="00EA072E">
        <w:rPr>
          <w:rFonts w:cs="Arial"/>
        </w:rPr>
        <w:t xml:space="preserve"> increased levels of patient acuity requiring observation support.</w:t>
      </w:r>
      <w:r w:rsidR="00EA072E">
        <w:rPr>
          <w:rFonts w:cs="Arial"/>
        </w:rPr>
        <w:t xml:space="preserve"> </w:t>
      </w:r>
    </w:p>
    <w:p w:rsidR="00BF602D" w:rsidRDefault="00BF602D" w:rsidP="00BF602D">
      <w:pPr>
        <w:pStyle w:val="ListParagraph"/>
        <w:ind w:left="567"/>
        <w:jc w:val="both"/>
        <w:rPr>
          <w:rFonts w:cs="Arial"/>
        </w:rPr>
      </w:pPr>
    </w:p>
    <w:p w:rsidR="00BF5AFC" w:rsidRDefault="00EA072E" w:rsidP="00BF602D">
      <w:pPr>
        <w:pStyle w:val="ListParagraph"/>
        <w:numPr>
          <w:ilvl w:val="0"/>
          <w:numId w:val="1"/>
        </w:numPr>
        <w:ind w:left="567"/>
        <w:jc w:val="both"/>
        <w:rPr>
          <w:rFonts w:cs="Arial"/>
        </w:rPr>
      </w:pPr>
      <w:r>
        <w:rPr>
          <w:rFonts w:cs="Arial"/>
        </w:rPr>
        <w:t>To mitigate the risk</w:t>
      </w:r>
      <w:r w:rsidR="004624B1">
        <w:rPr>
          <w:rFonts w:cs="Arial"/>
        </w:rPr>
        <w:t xml:space="preserve">s associated with utilising higher numbers of temporary staff and the impact on quality and patient experience </w:t>
      </w:r>
      <w:r>
        <w:rPr>
          <w:rFonts w:cs="Arial"/>
        </w:rPr>
        <w:t>, the service block book regular</w:t>
      </w:r>
      <w:r w:rsidR="003643CB" w:rsidRPr="00BF602D">
        <w:rPr>
          <w:rFonts w:cs="Arial"/>
        </w:rPr>
        <w:t xml:space="preserve"> bank and agency RNs</w:t>
      </w:r>
      <w:r>
        <w:rPr>
          <w:rFonts w:cs="Arial"/>
        </w:rPr>
        <w:t xml:space="preserve"> and HCSWs </w:t>
      </w:r>
      <w:r w:rsidR="003643CB" w:rsidRPr="00BF602D">
        <w:rPr>
          <w:rFonts w:cs="Arial"/>
        </w:rPr>
        <w:t>across the acute inp</w:t>
      </w:r>
      <w:r w:rsidR="000C0F4E">
        <w:rPr>
          <w:rFonts w:cs="Arial"/>
        </w:rPr>
        <w:t>atient wards</w:t>
      </w:r>
      <w:r>
        <w:rPr>
          <w:rFonts w:cs="Arial"/>
        </w:rPr>
        <w:t xml:space="preserve">, substantive staff are also moved across areas dependant on the skill mix and patient need </w:t>
      </w:r>
      <w:r w:rsidR="000C0F4E">
        <w:rPr>
          <w:rFonts w:cs="Arial"/>
        </w:rPr>
        <w:t>. This enables safe</w:t>
      </w:r>
      <w:r w:rsidR="003643CB" w:rsidRPr="00BF602D">
        <w:rPr>
          <w:rFonts w:cs="Arial"/>
        </w:rPr>
        <w:t xml:space="preserve"> staffing levels to be maintained or risk assessed within a safe pa</w:t>
      </w:r>
      <w:r w:rsidR="000C0F4E">
        <w:rPr>
          <w:rFonts w:cs="Arial"/>
        </w:rPr>
        <w:t xml:space="preserve">rameter and </w:t>
      </w:r>
      <w:r>
        <w:rPr>
          <w:rFonts w:cs="Arial"/>
        </w:rPr>
        <w:t>also to improve</w:t>
      </w:r>
      <w:r w:rsidR="000C0F4E">
        <w:rPr>
          <w:rFonts w:cs="Arial"/>
        </w:rPr>
        <w:t xml:space="preserve"> continuity</w:t>
      </w:r>
      <w:r w:rsidR="003643CB" w:rsidRPr="00BF602D">
        <w:rPr>
          <w:rFonts w:cs="Arial"/>
        </w:rPr>
        <w:t xml:space="preserve"> of patient care. </w:t>
      </w:r>
    </w:p>
    <w:p w:rsidR="004624B1" w:rsidRPr="004624B1" w:rsidRDefault="004624B1" w:rsidP="004624B1">
      <w:pPr>
        <w:pStyle w:val="ListParagraph"/>
        <w:rPr>
          <w:rFonts w:cs="Arial"/>
        </w:rPr>
      </w:pPr>
    </w:p>
    <w:p w:rsidR="004624B1" w:rsidRPr="00BF602D" w:rsidRDefault="004624B1" w:rsidP="00BF602D">
      <w:pPr>
        <w:pStyle w:val="ListParagraph"/>
        <w:numPr>
          <w:ilvl w:val="0"/>
          <w:numId w:val="1"/>
        </w:numPr>
        <w:ind w:left="567"/>
        <w:jc w:val="both"/>
        <w:rPr>
          <w:rFonts w:cs="Arial"/>
        </w:rPr>
      </w:pPr>
      <w:r>
        <w:rPr>
          <w:rFonts w:cs="Arial"/>
        </w:rPr>
        <w:t>A review of the NSIs and patient feedback has not identified any staffing impact on the quality and safety of patient care/outcomes.</w:t>
      </w:r>
    </w:p>
    <w:p w:rsidR="00BF5AFC" w:rsidRPr="00587E30" w:rsidRDefault="00BF5AFC" w:rsidP="00BF5AFC">
      <w:pPr>
        <w:pStyle w:val="ListParagraph"/>
        <w:ind w:left="567"/>
        <w:jc w:val="both"/>
        <w:rPr>
          <w:rFonts w:cs="Arial"/>
        </w:rPr>
      </w:pPr>
    </w:p>
    <w:p w:rsidR="00CC28E4" w:rsidRPr="00975D80" w:rsidRDefault="00CC28E4"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387" w:type="pct"/>
        <w:jc w:val="center"/>
        <w:tblInd w:w="56" w:type="dxa"/>
        <w:tblLayout w:type="fixed"/>
        <w:tblLook w:val="04A0" w:firstRow="1" w:lastRow="0" w:firstColumn="1" w:lastColumn="0" w:noHBand="0" w:noVBand="1"/>
      </w:tblPr>
      <w:tblGrid>
        <w:gridCol w:w="1627"/>
        <w:gridCol w:w="585"/>
        <w:gridCol w:w="997"/>
        <w:gridCol w:w="972"/>
        <w:gridCol w:w="925"/>
        <w:gridCol w:w="981"/>
        <w:gridCol w:w="981"/>
        <w:gridCol w:w="903"/>
        <w:gridCol w:w="766"/>
        <w:gridCol w:w="707"/>
        <w:gridCol w:w="566"/>
        <w:gridCol w:w="568"/>
        <w:gridCol w:w="651"/>
      </w:tblGrid>
      <w:tr w:rsidR="00276013" w:rsidRPr="00CE2873" w:rsidTr="00276013">
        <w:trPr>
          <w:cantSplit/>
          <w:trHeight w:val="211"/>
          <w:tblHeader/>
          <w:jc w:val="center"/>
        </w:trPr>
        <w:tc>
          <w:tcPr>
            <w:tcW w:w="72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276013" w:rsidRPr="00CE2873" w:rsidRDefault="0027601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6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276013" w:rsidRPr="00CE2873" w:rsidRDefault="0027601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276013" w:rsidRPr="00CE2873" w:rsidRDefault="0027601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02" w:type="pct"/>
            <w:tcBorders>
              <w:top w:val="single" w:sz="4" w:space="0" w:color="auto"/>
              <w:left w:val="nil"/>
              <w:bottom w:val="single" w:sz="4" w:space="0" w:color="auto"/>
              <w:right w:val="single" w:sz="4" w:space="0" w:color="auto"/>
            </w:tcBorders>
            <w:shd w:val="clear" w:color="auto" w:fill="548DD4" w:themeFill="text2" w:themeFillTint="99"/>
            <w:vAlign w:val="center"/>
          </w:tcPr>
          <w:p w:rsidR="00276013" w:rsidRPr="00CE2873" w:rsidRDefault="0027601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1" w:type="pct"/>
            <w:tcBorders>
              <w:top w:val="single" w:sz="4" w:space="0" w:color="auto"/>
              <w:left w:val="single" w:sz="4" w:space="0" w:color="auto"/>
              <w:right w:val="single" w:sz="4" w:space="0" w:color="auto"/>
            </w:tcBorders>
            <w:shd w:val="clear" w:color="auto" w:fill="548DD4" w:themeFill="text2" w:themeFillTint="99"/>
            <w:textDirection w:val="btLr"/>
          </w:tcPr>
          <w:p w:rsidR="00276013" w:rsidRPr="00CE2873" w:rsidRDefault="00276013" w:rsidP="00CE2873">
            <w:pPr>
              <w:ind w:left="30" w:right="113"/>
              <w:jc w:val="center"/>
              <w:rPr>
                <w:rFonts w:cs="Arial"/>
                <w:b/>
                <w:color w:val="FFFFFF" w:themeColor="background1"/>
                <w:sz w:val="18"/>
                <w:szCs w:val="18"/>
              </w:rPr>
            </w:pPr>
          </w:p>
        </w:tc>
        <w:tc>
          <w:tcPr>
            <w:tcW w:w="31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276013" w:rsidRPr="00CE2873" w:rsidRDefault="0027601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2"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276013" w:rsidRPr="00CE2873" w:rsidRDefault="0027601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276013" w:rsidRPr="00CE2873" w:rsidRDefault="0027601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9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276013" w:rsidRPr="00CE2873" w:rsidRDefault="0027601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276013" w:rsidRPr="00CE2873" w:rsidTr="00276013">
        <w:trPr>
          <w:cantSplit/>
          <w:trHeight w:val="850"/>
          <w:tblHeader/>
          <w:jc w:val="center"/>
        </w:trPr>
        <w:tc>
          <w:tcPr>
            <w:tcW w:w="724" w:type="pct"/>
            <w:vMerge/>
            <w:tcBorders>
              <w:left w:val="single" w:sz="4" w:space="0" w:color="auto"/>
              <w:bottom w:val="single" w:sz="4" w:space="0" w:color="auto"/>
              <w:right w:val="single" w:sz="4" w:space="0" w:color="auto"/>
            </w:tcBorders>
            <w:shd w:val="clear" w:color="auto" w:fill="C6D9F1"/>
            <w:noWrap/>
            <w:vAlign w:val="center"/>
          </w:tcPr>
          <w:p w:rsidR="00276013" w:rsidRPr="00CE2873" w:rsidRDefault="00276013" w:rsidP="00CE2873">
            <w:pPr>
              <w:jc w:val="center"/>
              <w:rPr>
                <w:rFonts w:cs="Arial"/>
                <w:b/>
                <w:sz w:val="18"/>
                <w:szCs w:val="18"/>
              </w:rPr>
            </w:pPr>
          </w:p>
        </w:tc>
        <w:tc>
          <w:tcPr>
            <w:tcW w:w="260" w:type="pct"/>
            <w:vMerge/>
            <w:tcBorders>
              <w:left w:val="nil"/>
              <w:bottom w:val="single" w:sz="4" w:space="0" w:color="auto"/>
              <w:right w:val="single" w:sz="4" w:space="0" w:color="auto"/>
            </w:tcBorders>
            <w:shd w:val="clear" w:color="auto" w:fill="C6D9F1"/>
            <w:textDirection w:val="btLr"/>
            <w:vAlign w:val="center"/>
          </w:tcPr>
          <w:p w:rsidR="00276013" w:rsidRPr="00CE2873" w:rsidRDefault="00276013" w:rsidP="00CE2873">
            <w:pPr>
              <w:ind w:left="113" w:right="113"/>
              <w:jc w:val="center"/>
              <w:rPr>
                <w:rFonts w:cs="Arial"/>
                <w:b/>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3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276013" w:rsidRPr="00CE2873" w:rsidRDefault="00276013" w:rsidP="00CE2873">
            <w:pPr>
              <w:ind w:left="30"/>
              <w:jc w:val="center"/>
              <w:rPr>
                <w:rFonts w:cs="Arial"/>
                <w:b/>
                <w:color w:val="FFFFFF"/>
                <w:sz w:val="18"/>
                <w:szCs w:val="18"/>
              </w:rPr>
            </w:pPr>
            <w:r w:rsidRPr="00CE2873">
              <w:rPr>
                <w:rFonts w:cs="Arial"/>
                <w:b/>
                <w:color w:val="FFFFFF"/>
                <w:sz w:val="18"/>
                <w:szCs w:val="18"/>
              </w:rPr>
              <w:t>HCSW</w:t>
            </w:r>
          </w:p>
        </w:tc>
        <w:tc>
          <w:tcPr>
            <w:tcW w:w="41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30"/>
              <w:jc w:val="center"/>
              <w:rPr>
                <w:rFonts w:cs="Arial"/>
                <w:b/>
                <w:color w:val="FFFFFF"/>
                <w:sz w:val="18"/>
                <w:szCs w:val="18"/>
              </w:rPr>
            </w:pPr>
            <w:r w:rsidRPr="00CE2873">
              <w:rPr>
                <w:rFonts w:cs="Arial"/>
                <w:b/>
                <w:color w:val="FFFFFF"/>
                <w:sz w:val="18"/>
                <w:szCs w:val="18"/>
              </w:rPr>
              <w:t>% of actual vs total planned shifts RN</w:t>
            </w:r>
          </w:p>
          <w:p w:rsidR="00276013" w:rsidRPr="00CE2873" w:rsidRDefault="00276013" w:rsidP="00CE2873">
            <w:pPr>
              <w:ind w:left="30"/>
              <w:jc w:val="center"/>
              <w:rPr>
                <w:rFonts w:cs="Arial"/>
                <w:b/>
                <w:color w:val="FFFFFF"/>
                <w:sz w:val="18"/>
                <w:szCs w:val="18"/>
              </w:rPr>
            </w:pP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276013" w:rsidRPr="00CE2873" w:rsidRDefault="00276013" w:rsidP="00CE2873">
            <w:pPr>
              <w:ind w:left="30"/>
              <w:jc w:val="center"/>
              <w:rPr>
                <w:rFonts w:cs="Arial"/>
                <w:b/>
                <w:color w:val="FFFFFF"/>
                <w:sz w:val="18"/>
                <w:szCs w:val="18"/>
              </w:rPr>
            </w:pPr>
            <w:r w:rsidRPr="00CE2873">
              <w:rPr>
                <w:rFonts w:cs="Arial"/>
                <w:b/>
                <w:color w:val="FFFFFF"/>
                <w:sz w:val="18"/>
                <w:szCs w:val="18"/>
              </w:rPr>
              <w:t>HCSW</w:t>
            </w:r>
          </w:p>
          <w:p w:rsidR="00276013" w:rsidRPr="00CE2873" w:rsidRDefault="00276013" w:rsidP="00CE2873">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276013" w:rsidRPr="00CE2873" w:rsidRDefault="00276013" w:rsidP="00CE2873">
            <w:pPr>
              <w:ind w:left="30"/>
              <w:jc w:val="center"/>
              <w:rPr>
                <w:rFonts w:cs="Arial"/>
                <w:b/>
                <w:color w:val="FFFFFF"/>
                <w:sz w:val="18"/>
                <w:szCs w:val="18"/>
              </w:rPr>
            </w:pPr>
          </w:p>
        </w:tc>
        <w:tc>
          <w:tcPr>
            <w:tcW w:w="402" w:type="pct"/>
            <w:tcBorders>
              <w:top w:val="single" w:sz="4" w:space="0" w:color="auto"/>
              <w:left w:val="nil"/>
              <w:bottom w:val="single" w:sz="4" w:space="0" w:color="auto"/>
              <w:right w:val="single" w:sz="4" w:space="0" w:color="auto"/>
            </w:tcBorders>
            <w:shd w:val="clear" w:color="auto" w:fill="548DD4" w:themeFill="text2" w:themeFillTint="99"/>
            <w:vAlign w:val="center"/>
          </w:tcPr>
          <w:p w:rsidR="00276013" w:rsidRPr="00CE2873" w:rsidRDefault="00276013" w:rsidP="00CE2873">
            <w:pPr>
              <w:ind w:left="30"/>
              <w:jc w:val="center"/>
              <w:rPr>
                <w:rFonts w:cs="Arial"/>
                <w:b/>
                <w:color w:val="FFFFFF"/>
                <w:sz w:val="18"/>
                <w:szCs w:val="18"/>
              </w:rPr>
            </w:pPr>
            <w:r w:rsidRPr="00CE2873">
              <w:rPr>
                <w:rFonts w:cs="Arial"/>
                <w:b/>
                <w:color w:val="FFFFFF"/>
                <w:sz w:val="18"/>
                <w:szCs w:val="18"/>
              </w:rPr>
              <w:t>Care Hours</w:t>
            </w:r>
          </w:p>
          <w:p w:rsidR="00276013" w:rsidRPr="00CE2873" w:rsidRDefault="00276013" w:rsidP="00CE2873">
            <w:pPr>
              <w:ind w:left="30"/>
              <w:jc w:val="center"/>
              <w:rPr>
                <w:rFonts w:cs="Arial"/>
                <w:b/>
                <w:color w:val="FFFFFF"/>
                <w:sz w:val="18"/>
                <w:szCs w:val="18"/>
              </w:rPr>
            </w:pPr>
            <w:r w:rsidRPr="00CE2873">
              <w:rPr>
                <w:rFonts w:cs="Arial"/>
                <w:b/>
                <w:color w:val="FFFFFF"/>
                <w:sz w:val="18"/>
                <w:szCs w:val="18"/>
              </w:rPr>
              <w:t>Per Patient Day</w:t>
            </w:r>
          </w:p>
        </w:tc>
        <w:tc>
          <w:tcPr>
            <w:tcW w:w="341" w:type="pct"/>
            <w:tcBorders>
              <w:left w:val="single" w:sz="4" w:space="0" w:color="auto"/>
              <w:bottom w:val="single" w:sz="4" w:space="0" w:color="auto"/>
              <w:right w:val="single" w:sz="4" w:space="0" w:color="auto"/>
            </w:tcBorders>
            <w:shd w:val="clear" w:color="auto" w:fill="548DD4" w:themeFill="text2" w:themeFillTint="99"/>
            <w:textDirection w:val="btLr"/>
          </w:tcPr>
          <w:p w:rsidR="00276013" w:rsidRPr="00CE2873" w:rsidRDefault="00276013" w:rsidP="00CE2873">
            <w:pPr>
              <w:ind w:left="30" w:right="113"/>
              <w:jc w:val="center"/>
              <w:rPr>
                <w:rFonts w:cs="Arial"/>
                <w:b/>
                <w:sz w:val="18"/>
                <w:szCs w:val="18"/>
              </w:rPr>
            </w:pPr>
            <w:r w:rsidRPr="00276013">
              <w:rPr>
                <w:rFonts w:cs="Arial"/>
                <w:b/>
                <w:color w:val="FFFFFF" w:themeColor="background1"/>
                <w:sz w:val="18"/>
                <w:szCs w:val="18"/>
              </w:rPr>
              <w:t>Vacancy rate %</w:t>
            </w:r>
          </w:p>
        </w:tc>
        <w:tc>
          <w:tcPr>
            <w:tcW w:w="315" w:type="pct"/>
            <w:vMerge/>
            <w:tcBorders>
              <w:left w:val="single" w:sz="4" w:space="0" w:color="auto"/>
              <w:bottom w:val="single" w:sz="4" w:space="0" w:color="auto"/>
              <w:right w:val="single" w:sz="4" w:space="0" w:color="auto"/>
            </w:tcBorders>
            <w:shd w:val="clear" w:color="auto" w:fill="95B3D7"/>
            <w:noWrap/>
            <w:textDirection w:val="btLr"/>
            <w:vAlign w:val="center"/>
          </w:tcPr>
          <w:p w:rsidR="00276013" w:rsidRPr="00CE2873" w:rsidRDefault="00276013" w:rsidP="00CE2873">
            <w:pPr>
              <w:ind w:left="30" w:right="113"/>
              <w:jc w:val="center"/>
              <w:rPr>
                <w:rFonts w:cs="Arial"/>
                <w:b/>
                <w:sz w:val="18"/>
                <w:szCs w:val="18"/>
              </w:rPr>
            </w:pPr>
          </w:p>
        </w:tc>
        <w:tc>
          <w:tcPr>
            <w:tcW w:w="252" w:type="pct"/>
            <w:vMerge/>
            <w:tcBorders>
              <w:left w:val="single" w:sz="4" w:space="0" w:color="auto"/>
              <w:bottom w:val="single" w:sz="4" w:space="0" w:color="auto"/>
              <w:right w:val="single" w:sz="4" w:space="0" w:color="auto"/>
            </w:tcBorders>
            <w:shd w:val="clear" w:color="auto" w:fill="95B3D7"/>
            <w:noWrap/>
            <w:textDirection w:val="btLr"/>
            <w:vAlign w:val="center"/>
          </w:tcPr>
          <w:p w:rsidR="00276013" w:rsidRPr="00CE2873" w:rsidRDefault="00276013" w:rsidP="00CE2873">
            <w:pPr>
              <w:ind w:left="46" w:right="113"/>
              <w:jc w:val="center"/>
              <w:rPr>
                <w:rFonts w:cs="Arial"/>
                <w:b/>
                <w:sz w:val="18"/>
                <w:szCs w:val="18"/>
              </w:rPr>
            </w:pPr>
          </w:p>
        </w:tc>
        <w:tc>
          <w:tcPr>
            <w:tcW w:w="253" w:type="pct"/>
            <w:vMerge/>
            <w:tcBorders>
              <w:left w:val="nil"/>
              <w:bottom w:val="single" w:sz="4" w:space="0" w:color="auto"/>
              <w:right w:val="single" w:sz="4" w:space="0" w:color="auto"/>
            </w:tcBorders>
            <w:shd w:val="clear" w:color="auto" w:fill="95B3D7"/>
            <w:textDirection w:val="btLr"/>
            <w:vAlign w:val="center"/>
          </w:tcPr>
          <w:p w:rsidR="00276013" w:rsidRPr="00CE2873" w:rsidRDefault="00276013" w:rsidP="00CE2873">
            <w:pPr>
              <w:ind w:left="30" w:right="113"/>
              <w:jc w:val="center"/>
              <w:rPr>
                <w:rFonts w:cs="Arial"/>
                <w:b/>
                <w:sz w:val="18"/>
                <w:szCs w:val="18"/>
              </w:rPr>
            </w:pPr>
          </w:p>
        </w:tc>
        <w:tc>
          <w:tcPr>
            <w:tcW w:w="290" w:type="pct"/>
            <w:vMerge/>
            <w:tcBorders>
              <w:left w:val="nil"/>
              <w:bottom w:val="single" w:sz="4" w:space="0" w:color="auto"/>
              <w:right w:val="single" w:sz="4" w:space="0" w:color="auto"/>
            </w:tcBorders>
            <w:shd w:val="clear" w:color="auto" w:fill="95B3D7"/>
            <w:textDirection w:val="btLr"/>
            <w:vAlign w:val="center"/>
          </w:tcPr>
          <w:p w:rsidR="00276013" w:rsidRPr="00CE2873" w:rsidRDefault="00276013" w:rsidP="00CE2873">
            <w:pPr>
              <w:ind w:left="30" w:right="113"/>
              <w:jc w:val="center"/>
              <w:rPr>
                <w:rFonts w:cs="Arial"/>
                <w:b/>
                <w:sz w:val="18"/>
                <w:szCs w:val="18"/>
              </w:rPr>
            </w:pPr>
          </w:p>
        </w:tc>
      </w:tr>
      <w:tr w:rsidR="00276013" w:rsidRPr="00CE2873" w:rsidTr="00276013">
        <w:trPr>
          <w:trHeight w:val="225"/>
          <w:tblHeader/>
          <w:jc w:val="center"/>
        </w:trPr>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013" w:rsidRPr="00CE2873" w:rsidRDefault="00276013" w:rsidP="00D65624">
            <w:pPr>
              <w:jc w:val="center"/>
              <w:rPr>
                <w:rFonts w:cs="Arial"/>
                <w:sz w:val="18"/>
                <w:szCs w:val="18"/>
              </w:rPr>
            </w:pPr>
            <w:r w:rsidRPr="00CE2873">
              <w:rPr>
                <w:rFonts w:cs="Arial"/>
                <w:sz w:val="18"/>
                <w:szCs w:val="18"/>
              </w:rPr>
              <w:t>3 Rubicon Close</w:t>
            </w:r>
          </w:p>
        </w:tc>
        <w:tc>
          <w:tcPr>
            <w:tcW w:w="260" w:type="pct"/>
            <w:tcBorders>
              <w:top w:val="single" w:sz="4" w:space="0" w:color="auto"/>
              <w:left w:val="nil"/>
              <w:bottom w:val="single" w:sz="4" w:space="0" w:color="auto"/>
              <w:right w:val="single" w:sz="4" w:space="0" w:color="auto"/>
            </w:tcBorders>
            <w:vAlign w:val="bottom"/>
          </w:tcPr>
          <w:p w:rsidR="00276013" w:rsidRPr="00CC28E4" w:rsidRDefault="00276013" w:rsidP="00D65624">
            <w:pPr>
              <w:jc w:val="center"/>
              <w:rPr>
                <w:rFonts w:ascii="Calibri" w:hAnsi="Calibri"/>
                <w:color w:val="000000"/>
                <w:sz w:val="18"/>
                <w:szCs w:val="18"/>
              </w:rPr>
            </w:pPr>
            <w:r w:rsidRPr="00CC28E4">
              <w:rPr>
                <w:rFonts w:ascii="Calibri" w:hAnsi="Calibri"/>
                <w:color w:val="000000"/>
                <w:sz w:val="18"/>
                <w:szCs w:val="18"/>
              </w:rPr>
              <w:t>3</w:t>
            </w:r>
          </w:p>
        </w:tc>
        <w:tc>
          <w:tcPr>
            <w:tcW w:w="44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116.1%</w:t>
            </w:r>
          </w:p>
        </w:tc>
        <w:tc>
          <w:tcPr>
            <w:tcW w:w="433"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164.3%</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89.3%</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110.7%</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13.6%</w:t>
            </w:r>
          </w:p>
        </w:tc>
        <w:tc>
          <w:tcPr>
            <w:tcW w:w="402" w:type="pct"/>
            <w:tcBorders>
              <w:top w:val="single" w:sz="4" w:space="0" w:color="auto"/>
              <w:left w:val="nil"/>
              <w:bottom w:val="single" w:sz="4" w:space="0" w:color="auto"/>
              <w:right w:val="single" w:sz="4" w:space="0" w:color="auto"/>
            </w:tcBorders>
            <w:shd w:val="clear" w:color="auto" w:fill="FFFFFF"/>
            <w:vAlign w:val="center"/>
          </w:tcPr>
          <w:p w:rsidR="00276013" w:rsidRPr="00CE2962" w:rsidRDefault="00276013" w:rsidP="00D65624">
            <w:pPr>
              <w:jc w:val="center"/>
              <w:rPr>
                <w:rFonts w:ascii="Calibri" w:hAnsi="Calibri" w:cs="Arial"/>
                <w:color w:val="000000"/>
                <w:sz w:val="18"/>
                <w:szCs w:val="18"/>
              </w:rPr>
            </w:pPr>
            <w:r w:rsidRPr="00CE2962">
              <w:rPr>
                <w:rFonts w:ascii="Calibri" w:hAnsi="Calibri" w:cs="Arial"/>
                <w:color w:val="000000"/>
                <w:sz w:val="18"/>
                <w:szCs w:val="18"/>
              </w:rPr>
              <w:t>17.9</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276013" w:rsidRPr="00D65624" w:rsidRDefault="00D65624" w:rsidP="00D65624">
            <w:pPr>
              <w:jc w:val="center"/>
              <w:rPr>
                <w:rFonts w:asciiTheme="minorHAnsi" w:hAnsiTheme="minorHAnsi" w:cs="Arial"/>
                <w:sz w:val="18"/>
                <w:szCs w:val="18"/>
              </w:rPr>
            </w:pPr>
            <w:r w:rsidRPr="00D65624">
              <w:rPr>
                <w:rFonts w:asciiTheme="minorHAnsi" w:hAnsiTheme="minorHAnsi" w:cs="Arial"/>
                <w:sz w:val="18"/>
                <w:szCs w:val="18"/>
              </w:rPr>
              <w:t>-1.2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53"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90"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276013" w:rsidRPr="00FE15A4" w:rsidTr="00276013">
        <w:trPr>
          <w:trHeight w:val="225"/>
          <w:tblHeader/>
          <w:jc w:val="center"/>
        </w:trPr>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013" w:rsidRPr="00CE2873" w:rsidRDefault="00276013" w:rsidP="00D65624">
            <w:pPr>
              <w:jc w:val="center"/>
              <w:rPr>
                <w:rFonts w:cs="Arial"/>
                <w:sz w:val="18"/>
                <w:szCs w:val="18"/>
              </w:rPr>
            </w:pPr>
            <w:r w:rsidRPr="00CE2873">
              <w:rPr>
                <w:rFonts w:cs="Arial"/>
                <w:sz w:val="18"/>
                <w:szCs w:val="18"/>
              </w:rPr>
              <w:t>Agnes Unit</w:t>
            </w:r>
          </w:p>
        </w:tc>
        <w:tc>
          <w:tcPr>
            <w:tcW w:w="260" w:type="pct"/>
            <w:tcBorders>
              <w:top w:val="single" w:sz="4" w:space="0" w:color="auto"/>
              <w:left w:val="nil"/>
              <w:bottom w:val="single" w:sz="4" w:space="0" w:color="auto"/>
              <w:right w:val="single" w:sz="4" w:space="0" w:color="auto"/>
            </w:tcBorders>
            <w:vAlign w:val="bottom"/>
          </w:tcPr>
          <w:p w:rsidR="00276013" w:rsidRPr="00CC28E4" w:rsidRDefault="00276013" w:rsidP="00D65624">
            <w:pPr>
              <w:jc w:val="center"/>
              <w:rPr>
                <w:rFonts w:ascii="Calibri" w:hAnsi="Calibri"/>
                <w:color w:val="000000"/>
                <w:sz w:val="18"/>
                <w:szCs w:val="18"/>
              </w:rPr>
            </w:pPr>
            <w:r w:rsidRPr="00CC28E4">
              <w:rPr>
                <w:rFonts w:ascii="Calibri" w:hAnsi="Calibri"/>
                <w:color w:val="000000"/>
                <w:sz w:val="18"/>
                <w:szCs w:val="18"/>
              </w:rPr>
              <w:t>9</w:t>
            </w:r>
          </w:p>
        </w:tc>
        <w:tc>
          <w:tcPr>
            <w:tcW w:w="44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133.3%</w:t>
            </w:r>
          </w:p>
        </w:tc>
        <w:tc>
          <w:tcPr>
            <w:tcW w:w="433"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579.3%</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87.5%</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450.0%</w:t>
            </w:r>
          </w:p>
        </w:tc>
        <w:tc>
          <w:tcPr>
            <w:tcW w:w="437" w:type="pct"/>
            <w:tcBorders>
              <w:top w:val="single" w:sz="4" w:space="0" w:color="auto"/>
              <w:left w:val="nil"/>
              <w:bottom w:val="single" w:sz="4" w:space="0" w:color="auto"/>
              <w:right w:val="single" w:sz="4" w:space="0" w:color="auto"/>
            </w:tcBorders>
            <w:shd w:val="clear" w:color="auto" w:fill="FF000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50.1%</w:t>
            </w:r>
          </w:p>
        </w:tc>
        <w:tc>
          <w:tcPr>
            <w:tcW w:w="402" w:type="pct"/>
            <w:tcBorders>
              <w:top w:val="single" w:sz="4" w:space="0" w:color="auto"/>
              <w:left w:val="nil"/>
              <w:bottom w:val="single" w:sz="4" w:space="0" w:color="auto"/>
              <w:right w:val="single" w:sz="4" w:space="0" w:color="auto"/>
            </w:tcBorders>
            <w:shd w:val="clear" w:color="auto" w:fill="FFFFFF"/>
            <w:vAlign w:val="center"/>
          </w:tcPr>
          <w:p w:rsidR="00276013" w:rsidRPr="00CE2962" w:rsidRDefault="00276013" w:rsidP="00D65624">
            <w:pPr>
              <w:jc w:val="center"/>
              <w:rPr>
                <w:rFonts w:ascii="Calibri" w:hAnsi="Calibri" w:cs="Arial"/>
                <w:color w:val="000000"/>
                <w:sz w:val="18"/>
                <w:szCs w:val="18"/>
              </w:rPr>
            </w:pPr>
            <w:r w:rsidRPr="00CE2962">
              <w:rPr>
                <w:rFonts w:ascii="Calibri" w:hAnsi="Calibri" w:cs="Arial"/>
                <w:color w:val="000000"/>
                <w:sz w:val="18"/>
                <w:szCs w:val="18"/>
              </w:rPr>
              <w:t>32.5</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276013" w:rsidRPr="00D65624" w:rsidRDefault="00D65624" w:rsidP="00D65624">
            <w:pPr>
              <w:jc w:val="center"/>
              <w:rPr>
                <w:rFonts w:asciiTheme="minorHAnsi" w:hAnsiTheme="minorHAnsi" w:cs="Arial"/>
                <w:sz w:val="18"/>
                <w:szCs w:val="18"/>
              </w:rPr>
            </w:pPr>
            <w:r w:rsidRPr="00D65624">
              <w:rPr>
                <w:rFonts w:asciiTheme="minorHAnsi" w:hAnsiTheme="minorHAnsi" w:cs="Arial"/>
                <w:sz w:val="18"/>
                <w:szCs w:val="18"/>
              </w:rPr>
              <w:t>17.3↑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1</w:t>
            </w:r>
          </w:p>
        </w:tc>
        <w:tc>
          <w:tcPr>
            <w:tcW w:w="253"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90"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276013" w:rsidRPr="00CE2873" w:rsidTr="00276013">
        <w:trPr>
          <w:trHeight w:val="225"/>
          <w:tblHeader/>
          <w:jc w:val="center"/>
        </w:trPr>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013" w:rsidRPr="00CE2873" w:rsidRDefault="00276013" w:rsidP="00D65624">
            <w:pPr>
              <w:jc w:val="center"/>
              <w:rPr>
                <w:rFonts w:cs="Arial"/>
                <w:sz w:val="18"/>
                <w:szCs w:val="18"/>
              </w:rPr>
            </w:pPr>
            <w:r w:rsidRPr="00CE2873">
              <w:rPr>
                <w:rFonts w:cs="Arial"/>
                <w:sz w:val="18"/>
                <w:szCs w:val="18"/>
              </w:rPr>
              <w:t>The Gillivers</w:t>
            </w:r>
          </w:p>
        </w:tc>
        <w:tc>
          <w:tcPr>
            <w:tcW w:w="260" w:type="pct"/>
            <w:tcBorders>
              <w:top w:val="single" w:sz="4" w:space="0" w:color="auto"/>
              <w:left w:val="nil"/>
              <w:bottom w:val="single" w:sz="4" w:space="0" w:color="auto"/>
              <w:right w:val="single" w:sz="4" w:space="0" w:color="auto"/>
            </w:tcBorders>
            <w:vAlign w:val="bottom"/>
          </w:tcPr>
          <w:p w:rsidR="00276013" w:rsidRPr="00CC28E4" w:rsidRDefault="00276013" w:rsidP="00D65624">
            <w:pPr>
              <w:jc w:val="center"/>
              <w:rPr>
                <w:rFonts w:ascii="Calibri" w:hAnsi="Calibri"/>
                <w:color w:val="000000"/>
                <w:sz w:val="18"/>
                <w:szCs w:val="18"/>
              </w:rPr>
            </w:pPr>
            <w:r w:rsidRPr="00CC28E4">
              <w:rPr>
                <w:rFonts w:ascii="Calibri" w:hAnsi="Calibri"/>
                <w:color w:val="000000"/>
                <w:sz w:val="18"/>
                <w:szCs w:val="18"/>
              </w:rPr>
              <w:t>3</w:t>
            </w:r>
          </w:p>
        </w:tc>
        <w:tc>
          <w:tcPr>
            <w:tcW w:w="44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116.1%</w:t>
            </w:r>
          </w:p>
        </w:tc>
        <w:tc>
          <w:tcPr>
            <w:tcW w:w="433"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201.8%</w:t>
            </w:r>
          </w:p>
        </w:tc>
        <w:tc>
          <w:tcPr>
            <w:tcW w:w="412" w:type="pct"/>
            <w:tcBorders>
              <w:top w:val="single" w:sz="4" w:space="0" w:color="auto"/>
              <w:left w:val="nil"/>
              <w:bottom w:val="single" w:sz="4" w:space="0" w:color="auto"/>
              <w:right w:val="single" w:sz="4" w:space="0" w:color="auto"/>
            </w:tcBorders>
            <w:shd w:val="clear" w:color="auto" w:fill="FF000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42.9%</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182.1%</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18.7%</w:t>
            </w:r>
          </w:p>
        </w:tc>
        <w:tc>
          <w:tcPr>
            <w:tcW w:w="402" w:type="pct"/>
            <w:tcBorders>
              <w:top w:val="single" w:sz="4" w:space="0" w:color="auto"/>
              <w:left w:val="nil"/>
              <w:bottom w:val="single" w:sz="4" w:space="0" w:color="auto"/>
              <w:right w:val="single" w:sz="4" w:space="0" w:color="auto"/>
            </w:tcBorders>
            <w:shd w:val="clear" w:color="auto" w:fill="FFFFFF"/>
            <w:vAlign w:val="center"/>
          </w:tcPr>
          <w:p w:rsidR="00276013" w:rsidRPr="00CE2962" w:rsidRDefault="00276013" w:rsidP="00D65624">
            <w:pPr>
              <w:jc w:val="center"/>
              <w:rPr>
                <w:rFonts w:ascii="Calibri" w:hAnsi="Calibri" w:cs="Arial"/>
                <w:color w:val="000000"/>
                <w:sz w:val="18"/>
                <w:szCs w:val="18"/>
              </w:rPr>
            </w:pPr>
            <w:r w:rsidRPr="00CE2962">
              <w:rPr>
                <w:rFonts w:ascii="Calibri" w:hAnsi="Calibri" w:cs="Arial"/>
                <w:color w:val="000000"/>
                <w:sz w:val="18"/>
                <w:szCs w:val="18"/>
              </w:rPr>
              <w:t>20.5</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0.4</w:t>
            </w:r>
            <w:r w:rsidRPr="00705C6C">
              <w:rPr>
                <w:rFonts w:asciiTheme="minorHAnsi" w:hAnsiTheme="minorHAnsi" w:cs="Arial"/>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2</w:t>
            </w:r>
            <w:r w:rsidRPr="00D65624">
              <w:rPr>
                <w:rFonts w:asciiTheme="minorHAnsi" w:hAnsiTheme="minorHAnsi" w:cs="Arial"/>
                <w:sz w:val="18"/>
                <w:szCs w:val="18"/>
              </w:rPr>
              <w:t>↑</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53"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90"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276013" w:rsidRPr="00CE2873" w:rsidTr="00276013">
        <w:trPr>
          <w:trHeight w:val="225"/>
          <w:tblHeader/>
          <w:jc w:val="center"/>
        </w:trPr>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013" w:rsidRPr="00CE2873" w:rsidRDefault="00276013" w:rsidP="00D65624">
            <w:pPr>
              <w:jc w:val="center"/>
              <w:rPr>
                <w:rFonts w:cs="Arial"/>
                <w:sz w:val="18"/>
                <w:szCs w:val="18"/>
              </w:rPr>
            </w:pPr>
            <w:r w:rsidRPr="00CE2873">
              <w:rPr>
                <w:rFonts w:cs="Arial"/>
                <w:sz w:val="18"/>
                <w:szCs w:val="18"/>
              </w:rPr>
              <w:t>The Grange</w:t>
            </w:r>
          </w:p>
        </w:tc>
        <w:tc>
          <w:tcPr>
            <w:tcW w:w="260" w:type="pct"/>
            <w:tcBorders>
              <w:top w:val="single" w:sz="4" w:space="0" w:color="auto"/>
              <w:left w:val="nil"/>
              <w:bottom w:val="single" w:sz="4" w:space="0" w:color="auto"/>
              <w:right w:val="single" w:sz="4" w:space="0" w:color="auto"/>
            </w:tcBorders>
            <w:vAlign w:val="bottom"/>
          </w:tcPr>
          <w:p w:rsidR="00276013" w:rsidRPr="00CC28E4" w:rsidRDefault="00276013" w:rsidP="00D65624">
            <w:pPr>
              <w:jc w:val="center"/>
              <w:rPr>
                <w:rFonts w:ascii="Calibri" w:hAnsi="Calibri"/>
                <w:color w:val="000000"/>
                <w:sz w:val="18"/>
                <w:szCs w:val="18"/>
              </w:rPr>
            </w:pPr>
            <w:r w:rsidRPr="00CC28E4">
              <w:rPr>
                <w:rFonts w:ascii="Calibri" w:hAnsi="Calibri"/>
                <w:color w:val="000000"/>
                <w:sz w:val="18"/>
                <w:szCs w:val="18"/>
              </w:rPr>
              <w:t>3</w:t>
            </w:r>
          </w:p>
        </w:tc>
        <w:tc>
          <w:tcPr>
            <w:tcW w:w="44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w:t>
            </w:r>
          </w:p>
        </w:tc>
        <w:tc>
          <w:tcPr>
            <w:tcW w:w="433"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158.1%</w:t>
            </w:r>
          </w:p>
        </w:tc>
        <w:tc>
          <w:tcPr>
            <w:tcW w:w="412"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w:t>
            </w:r>
          </w:p>
        </w:tc>
        <w:tc>
          <w:tcPr>
            <w:tcW w:w="437" w:type="pct"/>
            <w:tcBorders>
              <w:top w:val="single" w:sz="4" w:space="0" w:color="auto"/>
              <w:left w:val="nil"/>
              <w:bottom w:val="single" w:sz="4" w:space="0" w:color="auto"/>
              <w:right w:val="single" w:sz="4" w:space="0" w:color="auto"/>
            </w:tcBorders>
            <w:shd w:val="clear" w:color="auto" w:fill="92D05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231.0%</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276013" w:rsidRPr="00CE2962" w:rsidRDefault="00276013" w:rsidP="00D65624">
            <w:pPr>
              <w:jc w:val="center"/>
              <w:rPr>
                <w:rFonts w:ascii="Calibri" w:hAnsi="Calibri"/>
                <w:b/>
                <w:color w:val="000000"/>
                <w:sz w:val="18"/>
                <w:szCs w:val="18"/>
              </w:rPr>
            </w:pPr>
            <w:r w:rsidRPr="00CE2962">
              <w:rPr>
                <w:rFonts w:ascii="Calibri" w:hAnsi="Calibri"/>
                <w:b/>
                <w:color w:val="000000"/>
                <w:sz w:val="18"/>
                <w:szCs w:val="18"/>
              </w:rPr>
              <w:t>23.9%</w:t>
            </w:r>
          </w:p>
        </w:tc>
        <w:tc>
          <w:tcPr>
            <w:tcW w:w="402" w:type="pct"/>
            <w:tcBorders>
              <w:top w:val="single" w:sz="4" w:space="0" w:color="auto"/>
              <w:left w:val="nil"/>
              <w:bottom w:val="single" w:sz="4" w:space="0" w:color="auto"/>
              <w:right w:val="single" w:sz="4" w:space="0" w:color="auto"/>
            </w:tcBorders>
            <w:shd w:val="clear" w:color="auto" w:fill="FFFFFF"/>
            <w:vAlign w:val="center"/>
          </w:tcPr>
          <w:p w:rsidR="00276013" w:rsidRPr="00CE2962" w:rsidRDefault="00276013" w:rsidP="00D65624">
            <w:pPr>
              <w:jc w:val="center"/>
              <w:rPr>
                <w:rFonts w:ascii="Calibri" w:hAnsi="Calibri" w:cs="Arial"/>
                <w:color w:val="000000"/>
                <w:sz w:val="18"/>
                <w:szCs w:val="18"/>
              </w:rPr>
            </w:pPr>
            <w:r w:rsidRPr="00CE2962">
              <w:rPr>
                <w:rFonts w:ascii="Calibri" w:hAnsi="Calibri" w:cs="Arial"/>
                <w:color w:val="000000"/>
                <w:sz w:val="18"/>
                <w:szCs w:val="18"/>
              </w:rPr>
              <w:t>17.4</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30.0</w:t>
            </w:r>
            <w:r w:rsidRPr="00D65624">
              <w:rPr>
                <w:rFonts w:asciiTheme="minorHAnsi" w:hAnsiTheme="minorHAnsi" w:cs="Arial"/>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0</w:t>
            </w:r>
            <w:r w:rsidRPr="00705C6C">
              <w:rPr>
                <w:rFonts w:asciiTheme="minorHAnsi" w:hAnsiTheme="minorHAnsi" w:cs="Arial"/>
                <w:sz w:val="18"/>
                <w:szCs w:val="18"/>
              </w:rPr>
              <w:t>↓</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sz w:val="18"/>
                <w:szCs w:val="18"/>
              </w:rPr>
            </w:pPr>
            <w:r>
              <w:rPr>
                <w:rFonts w:asciiTheme="minorHAnsi" w:hAnsiTheme="minorHAnsi" w:cs="Arial"/>
                <w:sz w:val="18"/>
                <w:szCs w:val="18"/>
              </w:rPr>
              <w:t>3</w:t>
            </w:r>
            <w:r w:rsidRPr="00D65624">
              <w:rPr>
                <w:rFonts w:asciiTheme="minorHAnsi" w:hAnsiTheme="minorHAnsi" w:cs="Arial"/>
                <w:sz w:val="18"/>
                <w:szCs w:val="18"/>
              </w:rPr>
              <w:t>↑</w:t>
            </w:r>
          </w:p>
        </w:tc>
        <w:tc>
          <w:tcPr>
            <w:tcW w:w="253"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0</w:t>
            </w:r>
          </w:p>
        </w:tc>
        <w:tc>
          <w:tcPr>
            <w:tcW w:w="290"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sz w:val="18"/>
                <w:szCs w:val="18"/>
              </w:rPr>
            </w:pPr>
            <w:r w:rsidRPr="00D65624">
              <w:rPr>
                <w:rFonts w:asciiTheme="minorHAnsi" w:hAnsiTheme="minorHAnsi" w:cs="Arial"/>
                <w:sz w:val="18"/>
                <w:szCs w:val="18"/>
              </w:rPr>
              <w:t>nil</w:t>
            </w:r>
          </w:p>
        </w:tc>
      </w:tr>
      <w:tr w:rsidR="00276013" w:rsidRPr="00CE2873" w:rsidTr="00276013">
        <w:trPr>
          <w:trHeight w:val="225"/>
          <w:tblHeader/>
          <w:jc w:val="center"/>
        </w:trPr>
        <w:tc>
          <w:tcPr>
            <w:tcW w:w="7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76013" w:rsidRPr="009305B6" w:rsidRDefault="00276013" w:rsidP="00D65624">
            <w:pPr>
              <w:jc w:val="center"/>
              <w:rPr>
                <w:rFonts w:cs="Arial"/>
                <w:b/>
                <w:sz w:val="18"/>
                <w:szCs w:val="18"/>
              </w:rPr>
            </w:pPr>
            <w:r w:rsidRPr="009305B6">
              <w:rPr>
                <w:rFonts w:cs="Arial"/>
                <w:b/>
                <w:sz w:val="18"/>
                <w:szCs w:val="18"/>
              </w:rPr>
              <w:t>TOTALS</w:t>
            </w:r>
          </w:p>
        </w:tc>
        <w:tc>
          <w:tcPr>
            <w:tcW w:w="26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276013" w:rsidRPr="0087500B" w:rsidRDefault="00276013" w:rsidP="00D65624">
            <w:pPr>
              <w:jc w:val="center"/>
              <w:rPr>
                <w:rFonts w:cs="Arial"/>
                <w:b/>
                <w:color w:val="FF0000"/>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76013" w:rsidRPr="0087500B" w:rsidRDefault="00276013" w:rsidP="00D65624">
            <w:pPr>
              <w:jc w:val="center"/>
              <w:rPr>
                <w:rFonts w:cs="Arial"/>
                <w:b/>
                <w:color w:val="FF0000"/>
                <w:sz w:val="18"/>
                <w:szCs w:val="18"/>
              </w:rPr>
            </w:pPr>
          </w:p>
        </w:tc>
        <w:tc>
          <w:tcPr>
            <w:tcW w:w="43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76013" w:rsidRPr="0087500B" w:rsidRDefault="00276013" w:rsidP="00D6562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76013" w:rsidRPr="0087500B" w:rsidRDefault="00276013" w:rsidP="00D65624">
            <w:pPr>
              <w:jc w:val="center"/>
              <w:rPr>
                <w:rFonts w:cs="Arial"/>
                <w:b/>
                <w:color w:val="FF0000"/>
                <w:sz w:val="18"/>
                <w:szCs w:val="18"/>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76013" w:rsidRPr="0087500B" w:rsidRDefault="00276013" w:rsidP="00D65624">
            <w:pPr>
              <w:jc w:val="center"/>
              <w:rPr>
                <w:rFonts w:cs="Arial"/>
                <w:b/>
                <w:color w:val="FF0000"/>
                <w:sz w:val="18"/>
                <w:szCs w:val="18"/>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76013" w:rsidRPr="0087500B" w:rsidRDefault="00276013" w:rsidP="00D65624">
            <w:pPr>
              <w:jc w:val="center"/>
              <w:rPr>
                <w:rFonts w:cs="Arial"/>
                <w:b/>
                <w:color w:val="FF0000"/>
                <w:sz w:val="18"/>
                <w:szCs w:val="18"/>
              </w:rPr>
            </w:pPr>
          </w:p>
        </w:tc>
        <w:tc>
          <w:tcPr>
            <w:tcW w:w="40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276013" w:rsidRPr="0087500B" w:rsidRDefault="00276013" w:rsidP="00D65624">
            <w:pPr>
              <w:jc w:val="center"/>
              <w:rPr>
                <w:rFonts w:cs="Arial"/>
                <w:b/>
                <w:sz w:val="18"/>
                <w:szCs w:val="18"/>
              </w:rPr>
            </w:pPr>
          </w:p>
        </w:tc>
        <w:tc>
          <w:tcPr>
            <w:tcW w:w="34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76013" w:rsidRPr="00D65624" w:rsidRDefault="00276013" w:rsidP="00D65624">
            <w:pPr>
              <w:jc w:val="center"/>
              <w:rPr>
                <w:rFonts w:asciiTheme="minorHAnsi" w:hAnsiTheme="minorHAnsi" w:cs="Arial"/>
                <w:b/>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b/>
                <w:sz w:val="18"/>
                <w:szCs w:val="18"/>
              </w:rPr>
            </w:pPr>
            <w:r w:rsidRPr="00D65624">
              <w:rPr>
                <w:rFonts w:asciiTheme="minorHAnsi" w:hAnsiTheme="minorHAnsi" w:cs="Arial"/>
                <w:b/>
                <w:sz w:val="18"/>
                <w:szCs w:val="18"/>
              </w:rPr>
              <w:t>2↓</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013" w:rsidRPr="00D65624" w:rsidRDefault="00D65624" w:rsidP="00D65624">
            <w:pPr>
              <w:jc w:val="center"/>
              <w:rPr>
                <w:rFonts w:asciiTheme="minorHAnsi" w:hAnsiTheme="minorHAnsi" w:cs="Arial"/>
                <w:b/>
                <w:sz w:val="18"/>
                <w:szCs w:val="18"/>
              </w:rPr>
            </w:pPr>
            <w:r w:rsidRPr="00D65624">
              <w:rPr>
                <w:rFonts w:asciiTheme="minorHAnsi" w:hAnsiTheme="minorHAnsi" w:cs="Arial"/>
                <w:b/>
                <w:sz w:val="18"/>
                <w:szCs w:val="18"/>
              </w:rPr>
              <w:t>4</w:t>
            </w:r>
            <w:r w:rsidR="00276013" w:rsidRPr="00D65624">
              <w:rPr>
                <w:rFonts w:asciiTheme="minorHAnsi" w:hAnsiTheme="minorHAnsi" w:cs="Arial"/>
                <w:b/>
                <w:sz w:val="18"/>
                <w:szCs w:val="18"/>
              </w:rPr>
              <w:t>↑</w:t>
            </w:r>
          </w:p>
        </w:tc>
        <w:tc>
          <w:tcPr>
            <w:tcW w:w="253" w:type="pct"/>
            <w:tcBorders>
              <w:top w:val="single" w:sz="4" w:space="0" w:color="auto"/>
              <w:left w:val="nil"/>
              <w:bottom w:val="single" w:sz="4" w:space="0" w:color="auto"/>
              <w:right w:val="single" w:sz="4" w:space="0" w:color="auto"/>
            </w:tcBorders>
            <w:vAlign w:val="center"/>
          </w:tcPr>
          <w:p w:rsidR="00276013" w:rsidRPr="00D65624" w:rsidRDefault="00276013" w:rsidP="00D65624">
            <w:pPr>
              <w:jc w:val="center"/>
              <w:rPr>
                <w:rFonts w:asciiTheme="minorHAnsi" w:hAnsiTheme="minorHAnsi" w:cs="Arial"/>
                <w:b/>
                <w:sz w:val="18"/>
                <w:szCs w:val="18"/>
              </w:rPr>
            </w:pPr>
            <w:r w:rsidRPr="00D65624">
              <w:rPr>
                <w:rFonts w:asciiTheme="minorHAnsi" w:hAnsiTheme="minorHAnsi" w:cs="Arial"/>
                <w:b/>
                <w:sz w:val="18"/>
                <w:szCs w:val="18"/>
              </w:rPr>
              <w:t>0</w:t>
            </w:r>
          </w:p>
        </w:tc>
        <w:tc>
          <w:tcPr>
            <w:tcW w:w="29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276013" w:rsidRPr="00D65624" w:rsidRDefault="00276013" w:rsidP="00D65624">
            <w:pPr>
              <w:keepNext/>
              <w:jc w:val="center"/>
              <w:rPr>
                <w:rFonts w:asciiTheme="minorHAnsi" w:hAnsiTheme="minorHAnsi" w:cs="Arial"/>
                <w:b/>
                <w:color w:val="FF0000"/>
                <w:sz w:val="18"/>
                <w:szCs w:val="18"/>
              </w:rPr>
            </w:pPr>
          </w:p>
        </w:tc>
      </w:tr>
    </w:tbl>
    <w:p w:rsidR="003643CB" w:rsidRDefault="00092D5B" w:rsidP="00D65624">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4</w:t>
      </w:r>
      <w:r w:rsidR="0067196C">
        <w:rPr>
          <w:noProof/>
        </w:rPr>
        <w:fldChar w:fldCharType="end"/>
      </w:r>
      <w:r>
        <w:t xml:space="preserve"> - Learning disabilities safer staffing</w:t>
      </w:r>
    </w:p>
    <w:p w:rsidR="00B27EBF" w:rsidRPr="00B27EBF" w:rsidRDefault="00B27EBF" w:rsidP="00B27EBF"/>
    <w:p w:rsidR="009305B6" w:rsidRDefault="0012455F" w:rsidP="0090086E">
      <w:pPr>
        <w:pStyle w:val="ListParagraph"/>
        <w:numPr>
          <w:ilvl w:val="0"/>
          <w:numId w:val="1"/>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004624B1">
        <w:rPr>
          <w:rFonts w:cs="Arial"/>
        </w:rPr>
        <w:t xml:space="preserve">. </w:t>
      </w:r>
      <w:r w:rsidRPr="001637E0">
        <w:rPr>
          <w:rFonts w:cs="Arial"/>
        </w:rPr>
        <w:t>The Gillivers and t</w:t>
      </w:r>
      <w:r w:rsidR="009305B6" w:rsidRPr="001637E0">
        <w:rPr>
          <w:rFonts w:cs="Arial"/>
        </w:rPr>
        <w:t>he Grange suppo</w:t>
      </w:r>
      <w:r w:rsidRPr="001637E0">
        <w:rPr>
          <w:rFonts w:cs="Arial"/>
        </w:rPr>
        <w:t>rt each other with RN day cover. N</w:t>
      </w:r>
      <w:r w:rsidR="009305B6" w:rsidRPr="001637E0">
        <w:rPr>
          <w:rFonts w:cs="Arial"/>
        </w:rPr>
        <w:t xml:space="preserve">ight cover is shared across the site as the homes are situated </w:t>
      </w:r>
      <w:r w:rsidR="009305B6" w:rsidRPr="006D7D17">
        <w:rPr>
          <w:rFonts w:cs="Arial"/>
        </w:rPr>
        <w:t>next to each other</w:t>
      </w:r>
      <w:r w:rsidRPr="006D7D17">
        <w:rPr>
          <w:rFonts w:cs="Arial"/>
        </w:rPr>
        <w:t xml:space="preserve"> in conjunction with utilisation of additionally trained HCSWs</w:t>
      </w:r>
      <w:r w:rsidR="009305B6" w:rsidRPr="006D7D17">
        <w:rPr>
          <w:rFonts w:cs="Arial"/>
        </w:rPr>
        <w:t xml:space="preserve">. </w:t>
      </w:r>
    </w:p>
    <w:p w:rsidR="00C165B1" w:rsidRDefault="00C165B1" w:rsidP="00C165B1">
      <w:pPr>
        <w:pStyle w:val="ListParagraph"/>
        <w:ind w:left="567"/>
        <w:jc w:val="both"/>
        <w:rPr>
          <w:rFonts w:cs="Arial"/>
        </w:rPr>
      </w:pPr>
    </w:p>
    <w:p w:rsidR="0071004F" w:rsidRPr="00A000BC" w:rsidRDefault="004624B1" w:rsidP="0071004F">
      <w:pPr>
        <w:pStyle w:val="ListParagraph"/>
        <w:numPr>
          <w:ilvl w:val="0"/>
          <w:numId w:val="1"/>
        </w:numPr>
        <w:ind w:left="567"/>
        <w:jc w:val="both"/>
        <w:rPr>
          <w:rFonts w:cs="Arial"/>
        </w:rPr>
      </w:pPr>
      <w:r>
        <w:rPr>
          <w:rFonts w:cs="Arial"/>
        </w:rPr>
        <w:t>A review of the NSIs and patient feedback has not identified any staffing impact on the quality and safety of patient care/outcomes.</w:t>
      </w:r>
    </w:p>
    <w:p w:rsidR="0071004F" w:rsidRPr="0071004F" w:rsidRDefault="0071004F" w:rsidP="0071004F">
      <w:pPr>
        <w:jc w:val="both"/>
        <w:rPr>
          <w:rFonts w:cs="Arial"/>
        </w:rPr>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339" w:type="pct"/>
        <w:jc w:val="center"/>
        <w:tblInd w:w="56" w:type="dxa"/>
        <w:tblLayout w:type="fixed"/>
        <w:tblLook w:val="04A0" w:firstRow="1" w:lastRow="0" w:firstColumn="1" w:lastColumn="0" w:noHBand="0" w:noVBand="1"/>
      </w:tblPr>
      <w:tblGrid>
        <w:gridCol w:w="1333"/>
        <w:gridCol w:w="579"/>
        <w:gridCol w:w="997"/>
        <w:gridCol w:w="975"/>
        <w:gridCol w:w="984"/>
        <w:gridCol w:w="984"/>
        <w:gridCol w:w="984"/>
        <w:gridCol w:w="1075"/>
        <w:gridCol w:w="741"/>
        <w:gridCol w:w="741"/>
        <w:gridCol w:w="525"/>
        <w:gridCol w:w="574"/>
        <w:gridCol w:w="637"/>
      </w:tblGrid>
      <w:tr w:rsidR="00D65624" w:rsidRPr="00CE2873" w:rsidTr="00D65624">
        <w:trPr>
          <w:cantSplit/>
          <w:trHeight w:val="211"/>
          <w:tblHeader/>
          <w:jc w:val="center"/>
        </w:trPr>
        <w:tc>
          <w:tcPr>
            <w:tcW w:w="59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65624" w:rsidRPr="00CE2873" w:rsidRDefault="00D65624"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65624" w:rsidRPr="00CE2873" w:rsidRDefault="00D65624"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vMerge w:val="restart"/>
            <w:tcBorders>
              <w:top w:val="single" w:sz="4" w:space="0" w:color="auto"/>
              <w:left w:val="nil"/>
              <w:right w:val="single" w:sz="4" w:space="0" w:color="auto"/>
            </w:tcBorders>
            <w:shd w:val="clear" w:color="auto" w:fill="548DD4" w:themeFill="text2" w:themeFillTint="99"/>
            <w:noWrap/>
            <w:vAlign w:val="center"/>
          </w:tcPr>
          <w:p w:rsidR="00D65624" w:rsidRPr="00CE2873" w:rsidRDefault="00D65624"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83" w:type="pct"/>
            <w:tcBorders>
              <w:top w:val="single" w:sz="4" w:space="0" w:color="auto"/>
              <w:left w:val="nil"/>
              <w:bottom w:val="single" w:sz="4" w:space="0" w:color="auto"/>
              <w:right w:val="single" w:sz="4" w:space="0" w:color="auto"/>
            </w:tcBorders>
            <w:shd w:val="clear" w:color="auto" w:fill="548DD4" w:themeFill="text2" w:themeFillTint="99"/>
            <w:vAlign w:val="center"/>
          </w:tcPr>
          <w:p w:rsidR="00D65624" w:rsidRPr="00CE2873" w:rsidRDefault="00D65624"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33" w:type="pct"/>
            <w:tcBorders>
              <w:top w:val="single" w:sz="4" w:space="0" w:color="auto"/>
              <w:left w:val="single" w:sz="4" w:space="0" w:color="auto"/>
              <w:right w:val="single" w:sz="4" w:space="0" w:color="auto"/>
            </w:tcBorders>
            <w:shd w:val="clear" w:color="auto" w:fill="548DD4" w:themeFill="text2" w:themeFillTint="99"/>
            <w:textDirection w:val="btLr"/>
          </w:tcPr>
          <w:p w:rsidR="00D65624" w:rsidRPr="00CE2873" w:rsidRDefault="00D65624" w:rsidP="009305B6">
            <w:pPr>
              <w:ind w:left="30" w:right="113"/>
              <w:jc w:val="center"/>
              <w:rPr>
                <w:rFonts w:cs="Arial"/>
                <w:b/>
                <w:color w:val="FFFFFF" w:themeColor="background1"/>
                <w:sz w:val="18"/>
                <w:szCs w:val="18"/>
              </w:rPr>
            </w:pPr>
          </w:p>
        </w:tc>
        <w:tc>
          <w:tcPr>
            <w:tcW w:w="33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65624" w:rsidRPr="00CE2873" w:rsidRDefault="00D65624"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65624" w:rsidRPr="00CE2873" w:rsidRDefault="00D65624"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65624" w:rsidRPr="00CE2873" w:rsidRDefault="00D65624"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8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65624" w:rsidRPr="00CE2873" w:rsidRDefault="00D65624"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65624" w:rsidRPr="00CE2873" w:rsidTr="00D65624">
        <w:trPr>
          <w:cantSplit/>
          <w:trHeight w:val="850"/>
          <w:tblHeader/>
          <w:jc w:val="center"/>
        </w:trPr>
        <w:tc>
          <w:tcPr>
            <w:tcW w:w="599" w:type="pct"/>
            <w:vMerge/>
            <w:tcBorders>
              <w:left w:val="single" w:sz="4" w:space="0" w:color="auto"/>
              <w:bottom w:val="single" w:sz="4" w:space="0" w:color="auto"/>
              <w:right w:val="single" w:sz="4" w:space="0" w:color="auto"/>
            </w:tcBorders>
            <w:shd w:val="clear" w:color="auto" w:fill="C6D9F1"/>
            <w:noWrap/>
            <w:vAlign w:val="center"/>
          </w:tcPr>
          <w:p w:rsidR="00D65624" w:rsidRPr="00CE2873" w:rsidRDefault="00D65624" w:rsidP="009305B6">
            <w:pPr>
              <w:jc w:val="center"/>
              <w:rPr>
                <w:rFonts w:cs="Arial"/>
                <w:b/>
                <w:sz w:val="18"/>
                <w:szCs w:val="18"/>
              </w:rPr>
            </w:pPr>
          </w:p>
        </w:tc>
        <w:tc>
          <w:tcPr>
            <w:tcW w:w="260" w:type="pct"/>
            <w:vMerge/>
            <w:tcBorders>
              <w:left w:val="nil"/>
              <w:bottom w:val="single" w:sz="4" w:space="0" w:color="auto"/>
              <w:right w:val="single" w:sz="4" w:space="0" w:color="auto"/>
            </w:tcBorders>
            <w:shd w:val="clear" w:color="auto" w:fill="C6D9F1"/>
            <w:textDirection w:val="btLr"/>
            <w:vAlign w:val="center"/>
          </w:tcPr>
          <w:p w:rsidR="00D65624" w:rsidRPr="00CE2873" w:rsidRDefault="00D65624" w:rsidP="009305B6">
            <w:pPr>
              <w:ind w:left="113" w:right="113"/>
              <w:jc w:val="center"/>
              <w:rPr>
                <w:rFonts w:cs="Arial"/>
                <w:b/>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65624" w:rsidRPr="00CE2873" w:rsidRDefault="00D65624" w:rsidP="009305B6">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30"/>
              <w:jc w:val="center"/>
              <w:rPr>
                <w:rFonts w:cs="Arial"/>
                <w:b/>
                <w:color w:val="FFFFFF"/>
                <w:sz w:val="18"/>
                <w:szCs w:val="18"/>
              </w:rPr>
            </w:pPr>
            <w:r w:rsidRPr="00CE2873">
              <w:rPr>
                <w:rFonts w:cs="Arial"/>
                <w:b/>
                <w:color w:val="FFFFFF"/>
                <w:sz w:val="18"/>
                <w:szCs w:val="18"/>
              </w:rPr>
              <w:t>% of actual vs total planned shifts RN</w:t>
            </w:r>
          </w:p>
          <w:p w:rsidR="00D65624" w:rsidRPr="00CE2873" w:rsidRDefault="00D65624"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65624" w:rsidRPr="00CE2873" w:rsidRDefault="00D65624" w:rsidP="009305B6">
            <w:pPr>
              <w:ind w:left="30"/>
              <w:jc w:val="center"/>
              <w:rPr>
                <w:rFonts w:cs="Arial"/>
                <w:b/>
                <w:color w:val="FFFFFF"/>
                <w:sz w:val="18"/>
                <w:szCs w:val="18"/>
              </w:rPr>
            </w:pPr>
            <w:r w:rsidRPr="00CE2873">
              <w:rPr>
                <w:rFonts w:cs="Arial"/>
                <w:b/>
                <w:color w:val="FFFFFF"/>
                <w:sz w:val="18"/>
                <w:szCs w:val="18"/>
              </w:rPr>
              <w:t>HCSW</w:t>
            </w:r>
          </w:p>
          <w:p w:rsidR="00D65624" w:rsidRPr="00CE2873" w:rsidRDefault="00D65624" w:rsidP="009305B6">
            <w:pPr>
              <w:ind w:left="30"/>
              <w:jc w:val="center"/>
              <w:rPr>
                <w:rFonts w:cs="Arial"/>
                <w:b/>
                <w:color w:val="FFFFFF"/>
                <w:sz w:val="18"/>
                <w:szCs w:val="18"/>
              </w:rPr>
            </w:pPr>
          </w:p>
        </w:tc>
        <w:tc>
          <w:tcPr>
            <w:tcW w:w="442" w:type="pct"/>
            <w:vMerge/>
            <w:tcBorders>
              <w:left w:val="nil"/>
              <w:bottom w:val="single" w:sz="4" w:space="0" w:color="auto"/>
              <w:right w:val="single" w:sz="4" w:space="0" w:color="auto"/>
            </w:tcBorders>
            <w:shd w:val="clear" w:color="auto" w:fill="548DD4" w:themeFill="text2" w:themeFillTint="99"/>
            <w:noWrap/>
            <w:vAlign w:val="center"/>
          </w:tcPr>
          <w:p w:rsidR="00D65624" w:rsidRPr="00CE2873" w:rsidRDefault="00D65624" w:rsidP="009305B6">
            <w:pPr>
              <w:ind w:left="30"/>
              <w:jc w:val="center"/>
              <w:rPr>
                <w:rFonts w:cs="Arial"/>
                <w:b/>
                <w:color w:val="FFFFFF"/>
                <w:sz w:val="18"/>
                <w:szCs w:val="18"/>
              </w:rPr>
            </w:pPr>
          </w:p>
        </w:tc>
        <w:tc>
          <w:tcPr>
            <w:tcW w:w="483" w:type="pct"/>
            <w:tcBorders>
              <w:top w:val="single" w:sz="4" w:space="0" w:color="auto"/>
              <w:left w:val="nil"/>
              <w:bottom w:val="single" w:sz="4" w:space="0" w:color="auto"/>
              <w:right w:val="single" w:sz="4" w:space="0" w:color="auto"/>
            </w:tcBorders>
            <w:shd w:val="clear" w:color="auto" w:fill="548DD4" w:themeFill="text2" w:themeFillTint="99"/>
            <w:vAlign w:val="center"/>
          </w:tcPr>
          <w:p w:rsidR="00D65624" w:rsidRPr="00CE2873" w:rsidRDefault="00D65624" w:rsidP="009305B6">
            <w:pPr>
              <w:ind w:left="30"/>
              <w:jc w:val="center"/>
              <w:rPr>
                <w:rFonts w:cs="Arial"/>
                <w:b/>
                <w:color w:val="FFFFFF"/>
                <w:sz w:val="18"/>
                <w:szCs w:val="18"/>
              </w:rPr>
            </w:pPr>
            <w:r w:rsidRPr="00CE2873">
              <w:rPr>
                <w:rFonts w:cs="Arial"/>
                <w:b/>
                <w:color w:val="FFFFFF"/>
                <w:sz w:val="18"/>
                <w:szCs w:val="18"/>
              </w:rPr>
              <w:t>Care Hours</w:t>
            </w:r>
          </w:p>
          <w:p w:rsidR="00D65624" w:rsidRPr="00CE2873" w:rsidRDefault="00D65624" w:rsidP="009305B6">
            <w:pPr>
              <w:ind w:left="30"/>
              <w:jc w:val="center"/>
              <w:rPr>
                <w:rFonts w:cs="Arial"/>
                <w:b/>
                <w:color w:val="FFFFFF"/>
                <w:sz w:val="18"/>
                <w:szCs w:val="18"/>
              </w:rPr>
            </w:pPr>
            <w:r w:rsidRPr="00CE2873">
              <w:rPr>
                <w:rFonts w:cs="Arial"/>
                <w:b/>
                <w:color w:val="FFFFFF"/>
                <w:sz w:val="18"/>
                <w:szCs w:val="18"/>
              </w:rPr>
              <w:t>Per Patient Day</w:t>
            </w:r>
          </w:p>
        </w:tc>
        <w:tc>
          <w:tcPr>
            <w:tcW w:w="333" w:type="pct"/>
            <w:tcBorders>
              <w:left w:val="single" w:sz="4" w:space="0" w:color="auto"/>
              <w:bottom w:val="single" w:sz="4" w:space="0" w:color="auto"/>
              <w:right w:val="single" w:sz="4" w:space="0" w:color="auto"/>
            </w:tcBorders>
            <w:shd w:val="clear" w:color="auto" w:fill="548DD4" w:themeFill="text2" w:themeFillTint="99"/>
            <w:textDirection w:val="btLr"/>
          </w:tcPr>
          <w:p w:rsidR="00D65624" w:rsidRPr="00CE2873" w:rsidRDefault="00D65624" w:rsidP="009305B6">
            <w:pPr>
              <w:ind w:left="30" w:right="113"/>
              <w:jc w:val="center"/>
              <w:rPr>
                <w:rFonts w:cs="Arial"/>
                <w:b/>
                <w:sz w:val="18"/>
                <w:szCs w:val="18"/>
              </w:rPr>
            </w:pPr>
            <w:r w:rsidRPr="00D65624">
              <w:rPr>
                <w:rFonts w:cs="Arial"/>
                <w:b/>
                <w:color w:val="FFFFFF" w:themeColor="background1"/>
                <w:sz w:val="18"/>
                <w:szCs w:val="18"/>
              </w:rPr>
              <w:t>Vacancy rate %</w:t>
            </w:r>
          </w:p>
        </w:tc>
        <w:tc>
          <w:tcPr>
            <w:tcW w:w="333" w:type="pct"/>
            <w:vMerge/>
            <w:tcBorders>
              <w:left w:val="single" w:sz="4" w:space="0" w:color="auto"/>
              <w:bottom w:val="single" w:sz="4" w:space="0" w:color="auto"/>
              <w:right w:val="single" w:sz="4" w:space="0" w:color="auto"/>
            </w:tcBorders>
            <w:shd w:val="clear" w:color="auto" w:fill="95B3D7"/>
            <w:noWrap/>
            <w:textDirection w:val="btLr"/>
            <w:vAlign w:val="center"/>
          </w:tcPr>
          <w:p w:rsidR="00D65624" w:rsidRPr="00CE2873" w:rsidRDefault="00D65624" w:rsidP="009305B6">
            <w:pPr>
              <w:ind w:left="30" w:right="113"/>
              <w:jc w:val="center"/>
              <w:rPr>
                <w:rFonts w:cs="Arial"/>
                <w:b/>
                <w:sz w:val="18"/>
                <w:szCs w:val="18"/>
              </w:rPr>
            </w:pPr>
          </w:p>
        </w:tc>
        <w:tc>
          <w:tcPr>
            <w:tcW w:w="236" w:type="pct"/>
            <w:vMerge/>
            <w:tcBorders>
              <w:left w:val="single" w:sz="4" w:space="0" w:color="auto"/>
              <w:bottom w:val="single" w:sz="4" w:space="0" w:color="auto"/>
              <w:right w:val="single" w:sz="4" w:space="0" w:color="auto"/>
            </w:tcBorders>
            <w:shd w:val="clear" w:color="auto" w:fill="95B3D7"/>
            <w:noWrap/>
            <w:textDirection w:val="btLr"/>
            <w:vAlign w:val="center"/>
          </w:tcPr>
          <w:p w:rsidR="00D65624" w:rsidRPr="00CE2873" w:rsidRDefault="00D65624" w:rsidP="009305B6">
            <w:pPr>
              <w:ind w:left="46" w:right="113"/>
              <w:jc w:val="center"/>
              <w:rPr>
                <w:rFonts w:cs="Arial"/>
                <w:b/>
                <w:sz w:val="18"/>
                <w:szCs w:val="18"/>
              </w:rPr>
            </w:pPr>
          </w:p>
        </w:tc>
        <w:tc>
          <w:tcPr>
            <w:tcW w:w="258" w:type="pct"/>
            <w:vMerge/>
            <w:tcBorders>
              <w:left w:val="nil"/>
              <w:bottom w:val="single" w:sz="4" w:space="0" w:color="auto"/>
              <w:right w:val="single" w:sz="4" w:space="0" w:color="auto"/>
            </w:tcBorders>
            <w:shd w:val="clear" w:color="auto" w:fill="95B3D7"/>
            <w:textDirection w:val="btLr"/>
            <w:vAlign w:val="center"/>
          </w:tcPr>
          <w:p w:rsidR="00D65624" w:rsidRPr="00CE2873" w:rsidRDefault="00D65624" w:rsidP="009305B6">
            <w:pPr>
              <w:ind w:left="30" w:right="113"/>
              <w:jc w:val="center"/>
              <w:rPr>
                <w:rFonts w:cs="Arial"/>
                <w:b/>
                <w:sz w:val="18"/>
                <w:szCs w:val="18"/>
              </w:rPr>
            </w:pPr>
          </w:p>
        </w:tc>
        <w:tc>
          <w:tcPr>
            <w:tcW w:w="286" w:type="pct"/>
            <w:vMerge/>
            <w:tcBorders>
              <w:left w:val="nil"/>
              <w:bottom w:val="single" w:sz="4" w:space="0" w:color="auto"/>
              <w:right w:val="single" w:sz="4" w:space="0" w:color="auto"/>
            </w:tcBorders>
            <w:shd w:val="clear" w:color="auto" w:fill="95B3D7"/>
            <w:textDirection w:val="btLr"/>
            <w:vAlign w:val="center"/>
          </w:tcPr>
          <w:p w:rsidR="00D65624" w:rsidRPr="00CE2873" w:rsidRDefault="00D65624" w:rsidP="009305B6">
            <w:pPr>
              <w:ind w:left="30" w:right="113"/>
              <w:jc w:val="center"/>
              <w:rPr>
                <w:rFonts w:cs="Arial"/>
                <w:b/>
                <w:sz w:val="18"/>
                <w:szCs w:val="18"/>
              </w:rPr>
            </w:pPr>
          </w:p>
        </w:tc>
      </w:tr>
      <w:tr w:rsidR="00D65624" w:rsidRPr="00CE2873" w:rsidTr="00D65624">
        <w:trPr>
          <w:trHeight w:val="225"/>
          <w:tblHeader/>
          <w:jc w:val="center"/>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65624" w:rsidRPr="000E136D" w:rsidRDefault="00D65624" w:rsidP="000E136D">
            <w:pPr>
              <w:jc w:val="center"/>
              <w:rPr>
                <w:rFonts w:cs="Arial"/>
                <w:sz w:val="20"/>
                <w:szCs w:val="20"/>
              </w:rPr>
            </w:pPr>
            <w:r w:rsidRPr="000E136D">
              <w:rPr>
                <w:rFonts w:cs="Arial"/>
                <w:sz w:val="20"/>
                <w:szCs w:val="20"/>
              </w:rPr>
              <w:t>HP Phoenix</w:t>
            </w:r>
          </w:p>
        </w:tc>
        <w:tc>
          <w:tcPr>
            <w:tcW w:w="260" w:type="pct"/>
            <w:tcBorders>
              <w:top w:val="single" w:sz="4" w:space="0" w:color="auto"/>
              <w:left w:val="nil"/>
              <w:bottom w:val="single" w:sz="4" w:space="0" w:color="auto"/>
              <w:right w:val="single" w:sz="4" w:space="0" w:color="auto"/>
            </w:tcBorders>
            <w:vAlign w:val="bottom"/>
          </w:tcPr>
          <w:p w:rsidR="00D65624" w:rsidRPr="00F30796" w:rsidRDefault="00D65624" w:rsidP="00D177B4">
            <w:pPr>
              <w:jc w:val="center"/>
              <w:rPr>
                <w:rFonts w:ascii="Calibri" w:hAnsi="Calibri"/>
                <w:color w:val="000000"/>
                <w:sz w:val="18"/>
                <w:szCs w:val="18"/>
              </w:rPr>
            </w:pPr>
            <w:r w:rsidRPr="00F30796">
              <w:rPr>
                <w:rFonts w:ascii="Calibri" w:hAnsi="Calibri"/>
                <w:color w:val="000000"/>
                <w:sz w:val="18"/>
                <w:szCs w:val="18"/>
              </w:rPr>
              <w:t>11</w:t>
            </w:r>
          </w:p>
        </w:tc>
        <w:tc>
          <w:tcPr>
            <w:tcW w:w="448"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65624" w:rsidRPr="00F30796" w:rsidRDefault="00D65624" w:rsidP="00D177B4">
            <w:pPr>
              <w:jc w:val="center"/>
              <w:rPr>
                <w:rFonts w:ascii="Calibri" w:hAnsi="Calibri"/>
                <w:b/>
                <w:color w:val="000000"/>
                <w:sz w:val="18"/>
                <w:szCs w:val="18"/>
              </w:rPr>
            </w:pPr>
            <w:r w:rsidRPr="00F30796">
              <w:rPr>
                <w:rFonts w:ascii="Calibri" w:hAnsi="Calibri"/>
                <w:b/>
                <w:color w:val="000000"/>
                <w:sz w:val="18"/>
                <w:szCs w:val="18"/>
              </w:rPr>
              <w:t>108.9%</w:t>
            </w:r>
          </w:p>
        </w:tc>
        <w:tc>
          <w:tcPr>
            <w:tcW w:w="438" w:type="pct"/>
            <w:tcBorders>
              <w:top w:val="single" w:sz="4" w:space="0" w:color="auto"/>
              <w:left w:val="nil"/>
              <w:bottom w:val="single" w:sz="4" w:space="0" w:color="auto"/>
              <w:right w:val="single" w:sz="4" w:space="0" w:color="auto"/>
            </w:tcBorders>
            <w:shd w:val="clear" w:color="auto" w:fill="92D050"/>
            <w:noWrap/>
            <w:vAlign w:val="bottom"/>
          </w:tcPr>
          <w:p w:rsidR="00D65624" w:rsidRPr="00F30796" w:rsidRDefault="00D65624" w:rsidP="00D177B4">
            <w:pPr>
              <w:jc w:val="center"/>
              <w:rPr>
                <w:rFonts w:ascii="Calibri" w:hAnsi="Calibri"/>
                <w:b/>
                <w:color w:val="000000"/>
                <w:sz w:val="18"/>
                <w:szCs w:val="18"/>
              </w:rPr>
            </w:pPr>
            <w:r w:rsidRPr="00F30796">
              <w:rPr>
                <w:rFonts w:ascii="Calibri" w:hAnsi="Calibri"/>
                <w:b/>
                <w:color w:val="000000"/>
                <w:sz w:val="18"/>
                <w:szCs w:val="18"/>
              </w:rPr>
              <w:t>129.8%</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D65624" w:rsidRPr="00F30796" w:rsidRDefault="00D65624" w:rsidP="00D177B4">
            <w:pPr>
              <w:jc w:val="center"/>
              <w:rPr>
                <w:rFonts w:ascii="Calibri" w:hAnsi="Calibri"/>
                <w:b/>
                <w:color w:val="000000"/>
                <w:sz w:val="18"/>
                <w:szCs w:val="18"/>
              </w:rPr>
            </w:pPr>
            <w:r w:rsidRPr="00F30796">
              <w:rPr>
                <w:rFonts w:ascii="Calibri" w:hAnsi="Calibri"/>
                <w:b/>
                <w:color w:val="000000"/>
                <w:sz w:val="18"/>
                <w:szCs w:val="18"/>
              </w:rPr>
              <w:t>100.0%</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D65624" w:rsidRPr="00F30796" w:rsidRDefault="00D65624" w:rsidP="00D177B4">
            <w:pPr>
              <w:jc w:val="center"/>
              <w:rPr>
                <w:rFonts w:ascii="Calibri" w:hAnsi="Calibri"/>
                <w:b/>
                <w:color w:val="000000"/>
                <w:sz w:val="18"/>
                <w:szCs w:val="18"/>
              </w:rPr>
            </w:pPr>
            <w:r w:rsidRPr="00F30796">
              <w:rPr>
                <w:rFonts w:ascii="Calibri" w:hAnsi="Calibri"/>
                <w:b/>
                <w:color w:val="000000"/>
                <w:sz w:val="18"/>
                <w:szCs w:val="18"/>
              </w:rPr>
              <w:t>148.2%</w:t>
            </w:r>
          </w:p>
        </w:tc>
        <w:tc>
          <w:tcPr>
            <w:tcW w:w="442" w:type="pct"/>
            <w:tcBorders>
              <w:top w:val="single" w:sz="4" w:space="0" w:color="auto"/>
              <w:left w:val="nil"/>
              <w:bottom w:val="single" w:sz="4" w:space="0" w:color="auto"/>
              <w:right w:val="single" w:sz="4" w:space="0" w:color="auto"/>
            </w:tcBorders>
            <w:shd w:val="clear" w:color="auto" w:fill="92D050"/>
            <w:noWrap/>
            <w:vAlign w:val="bottom"/>
          </w:tcPr>
          <w:p w:rsidR="00D65624" w:rsidRPr="00F30796" w:rsidRDefault="00D65624" w:rsidP="000E136D">
            <w:pPr>
              <w:rPr>
                <w:rFonts w:cs="Arial"/>
                <w:b/>
                <w:color w:val="000000"/>
                <w:sz w:val="18"/>
                <w:szCs w:val="18"/>
              </w:rPr>
            </w:pPr>
            <w:r w:rsidRPr="00F30796">
              <w:rPr>
                <w:rFonts w:ascii="Calibri" w:hAnsi="Calibri"/>
                <w:b/>
                <w:color w:val="000000"/>
                <w:sz w:val="18"/>
                <w:szCs w:val="18"/>
              </w:rPr>
              <w:t>18.7%</w:t>
            </w:r>
          </w:p>
        </w:tc>
        <w:tc>
          <w:tcPr>
            <w:tcW w:w="483" w:type="pct"/>
            <w:tcBorders>
              <w:top w:val="single" w:sz="4" w:space="0" w:color="auto"/>
              <w:left w:val="nil"/>
              <w:bottom w:val="single" w:sz="4" w:space="0" w:color="auto"/>
              <w:right w:val="single" w:sz="4" w:space="0" w:color="auto"/>
            </w:tcBorders>
            <w:shd w:val="clear" w:color="auto" w:fill="FFFFFF"/>
            <w:vAlign w:val="center"/>
          </w:tcPr>
          <w:p w:rsidR="00D65624" w:rsidRPr="00F30796" w:rsidRDefault="00D65624" w:rsidP="000E136D">
            <w:pPr>
              <w:jc w:val="center"/>
              <w:rPr>
                <w:rFonts w:cs="Arial"/>
                <w:color w:val="000000"/>
                <w:sz w:val="18"/>
                <w:szCs w:val="18"/>
                <w:highlight w:val="yellow"/>
              </w:rPr>
            </w:pPr>
            <w:r w:rsidRPr="00F30796">
              <w:rPr>
                <w:rFonts w:ascii="Calibri" w:hAnsi="Calibri" w:cs="Arial"/>
                <w:color w:val="000000"/>
                <w:sz w:val="18"/>
                <w:szCs w:val="18"/>
              </w:rPr>
              <w:t>8.8</w:t>
            </w:r>
          </w:p>
        </w:tc>
        <w:tc>
          <w:tcPr>
            <w:tcW w:w="333" w:type="pct"/>
            <w:tcBorders>
              <w:top w:val="single" w:sz="4" w:space="0" w:color="auto"/>
              <w:left w:val="single" w:sz="4" w:space="0" w:color="auto"/>
              <w:bottom w:val="single" w:sz="4" w:space="0" w:color="auto"/>
              <w:right w:val="single" w:sz="4" w:space="0" w:color="auto"/>
            </w:tcBorders>
          </w:tcPr>
          <w:p w:rsidR="00D65624" w:rsidRPr="00D65624" w:rsidRDefault="00D65624" w:rsidP="000E136D">
            <w:pPr>
              <w:jc w:val="center"/>
              <w:rPr>
                <w:rFonts w:asciiTheme="minorHAnsi" w:hAnsiTheme="minorHAnsi" w:cs="Arial"/>
                <w:sz w:val="20"/>
                <w:szCs w:val="20"/>
              </w:rPr>
            </w:pPr>
            <w:r w:rsidRPr="00D65624">
              <w:rPr>
                <w:rFonts w:asciiTheme="minorHAnsi" w:hAnsiTheme="minorHAnsi" w:cs="Arial"/>
                <w:sz w:val="20"/>
                <w:szCs w:val="20"/>
              </w:rPr>
              <w:t>15.5</w:t>
            </w:r>
            <w:r w:rsidRPr="00D65624">
              <w:rPr>
                <w:rFonts w:asciiTheme="minorHAnsi" w:hAnsiTheme="minorHAnsi" w:cs="Arial"/>
                <w:sz w:val="18"/>
                <w:szCs w:val="18"/>
              </w:rPr>
              <w:t>↓</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5624" w:rsidRPr="00D65624" w:rsidRDefault="00D65624" w:rsidP="000E136D">
            <w:pPr>
              <w:jc w:val="center"/>
              <w:rPr>
                <w:rFonts w:asciiTheme="minorHAnsi" w:hAnsiTheme="minorHAnsi" w:cs="Arial"/>
                <w:sz w:val="20"/>
                <w:szCs w:val="20"/>
              </w:rPr>
            </w:pPr>
            <w:r w:rsidRPr="00D65624">
              <w:rPr>
                <w:rFonts w:asciiTheme="minorHAnsi" w:hAnsiTheme="minorHAnsi" w:cs="Arial"/>
                <w:sz w:val="20"/>
                <w:szCs w:val="20"/>
              </w:rPr>
              <w:t>0</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5624" w:rsidRPr="00D65624" w:rsidRDefault="00D65624" w:rsidP="000E136D">
            <w:pPr>
              <w:jc w:val="center"/>
              <w:rPr>
                <w:rFonts w:asciiTheme="minorHAnsi" w:hAnsiTheme="minorHAnsi" w:cs="Arial"/>
                <w:sz w:val="20"/>
                <w:szCs w:val="20"/>
              </w:rPr>
            </w:pPr>
            <w:r>
              <w:rPr>
                <w:rFonts w:asciiTheme="minorHAnsi" w:hAnsiTheme="minorHAnsi" w:cs="Arial"/>
                <w:sz w:val="20"/>
                <w:szCs w:val="20"/>
              </w:rPr>
              <w:t>1</w:t>
            </w:r>
            <w:r w:rsidRPr="00D65624">
              <w:rPr>
                <w:rFonts w:asciiTheme="minorHAnsi" w:hAnsiTheme="minorHAnsi" w:cs="Arial"/>
                <w:sz w:val="18"/>
                <w:szCs w:val="18"/>
              </w:rPr>
              <w:t>↑</w:t>
            </w:r>
          </w:p>
        </w:tc>
        <w:tc>
          <w:tcPr>
            <w:tcW w:w="258" w:type="pct"/>
            <w:tcBorders>
              <w:top w:val="single" w:sz="4" w:space="0" w:color="auto"/>
              <w:left w:val="nil"/>
              <w:bottom w:val="single" w:sz="4" w:space="0" w:color="auto"/>
              <w:right w:val="single" w:sz="4" w:space="0" w:color="auto"/>
            </w:tcBorders>
            <w:vAlign w:val="center"/>
          </w:tcPr>
          <w:p w:rsidR="00D65624" w:rsidRPr="00D65624" w:rsidRDefault="00D65624" w:rsidP="000E136D">
            <w:pPr>
              <w:jc w:val="center"/>
              <w:rPr>
                <w:rFonts w:asciiTheme="minorHAnsi" w:hAnsiTheme="minorHAnsi" w:cs="Arial"/>
                <w:sz w:val="20"/>
                <w:szCs w:val="20"/>
              </w:rPr>
            </w:pPr>
            <w:r w:rsidRPr="00D65624">
              <w:rPr>
                <w:rFonts w:asciiTheme="minorHAnsi" w:hAnsiTheme="minorHAnsi" w:cs="Arial"/>
                <w:sz w:val="20"/>
                <w:szCs w:val="20"/>
              </w:rPr>
              <w:t>0</w:t>
            </w:r>
          </w:p>
        </w:tc>
        <w:tc>
          <w:tcPr>
            <w:tcW w:w="286" w:type="pct"/>
            <w:tcBorders>
              <w:top w:val="single" w:sz="4" w:space="0" w:color="auto"/>
              <w:left w:val="nil"/>
              <w:bottom w:val="single" w:sz="4" w:space="0" w:color="auto"/>
              <w:right w:val="single" w:sz="4" w:space="0" w:color="auto"/>
            </w:tcBorders>
            <w:vAlign w:val="center"/>
          </w:tcPr>
          <w:p w:rsidR="00D65624" w:rsidRPr="00D65624" w:rsidRDefault="00D65624" w:rsidP="000E136D">
            <w:pPr>
              <w:keepNext/>
              <w:jc w:val="center"/>
              <w:rPr>
                <w:rFonts w:asciiTheme="minorHAnsi" w:hAnsiTheme="minorHAnsi" w:cs="Arial"/>
                <w:sz w:val="20"/>
                <w:szCs w:val="20"/>
              </w:rPr>
            </w:pPr>
            <w:r w:rsidRPr="00D65624">
              <w:rPr>
                <w:rFonts w:asciiTheme="minorHAnsi" w:hAnsiTheme="minorHAnsi" w:cs="Arial"/>
                <w:sz w:val="20"/>
                <w:szCs w:val="20"/>
              </w:rPr>
              <w:t>nil</w:t>
            </w:r>
          </w:p>
        </w:tc>
      </w:tr>
    </w:tbl>
    <w:p w:rsidR="009305B6" w:rsidRDefault="00DE5C36" w:rsidP="00DE5C36">
      <w:pPr>
        <w:pStyle w:val="Caption"/>
        <w:rPr>
          <w:rFonts w:cs="Arial"/>
          <w:b w:val="0"/>
        </w:rPr>
      </w:pPr>
      <w:r>
        <w:t xml:space="preserve">Table </w:t>
      </w:r>
      <w:r w:rsidR="0067196C">
        <w:fldChar w:fldCharType="begin"/>
      </w:r>
      <w:r w:rsidR="0067196C">
        <w:instrText xml:space="preserve"> SEQ Table \* ARABIC </w:instrText>
      </w:r>
      <w:r w:rsidR="0067196C">
        <w:fldChar w:fldCharType="separate"/>
      </w:r>
      <w:r w:rsidR="00CB2020">
        <w:rPr>
          <w:noProof/>
        </w:rPr>
        <w:t>5</w:t>
      </w:r>
      <w:r w:rsidR="0067196C">
        <w:rPr>
          <w:noProof/>
        </w:rPr>
        <w:fldChar w:fldCharType="end"/>
      </w:r>
      <w:r>
        <w:t xml:space="preserve">- Low secure </w:t>
      </w:r>
      <w:r w:rsidRPr="009522D5">
        <w:t>safer staffing</w:t>
      </w:r>
    </w:p>
    <w:p w:rsidR="009305B6" w:rsidRDefault="009305B6" w:rsidP="0090086E">
      <w:pPr>
        <w:pStyle w:val="ListParagraph"/>
        <w:numPr>
          <w:ilvl w:val="0"/>
          <w:numId w:val="1"/>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C165B1" w:rsidRDefault="00C165B1" w:rsidP="00C165B1">
      <w:pPr>
        <w:pStyle w:val="ListParagraph"/>
        <w:ind w:left="567"/>
        <w:jc w:val="both"/>
        <w:rPr>
          <w:rFonts w:cs="Arial"/>
        </w:rPr>
      </w:pPr>
    </w:p>
    <w:p w:rsidR="004624B1" w:rsidRPr="00BF602D" w:rsidRDefault="004624B1" w:rsidP="004624B1">
      <w:pPr>
        <w:pStyle w:val="ListParagraph"/>
        <w:numPr>
          <w:ilvl w:val="0"/>
          <w:numId w:val="1"/>
        </w:numPr>
        <w:ind w:left="567"/>
        <w:jc w:val="both"/>
        <w:rPr>
          <w:rFonts w:cs="Arial"/>
        </w:rPr>
      </w:pPr>
      <w:r>
        <w:rPr>
          <w:rFonts w:cs="Arial"/>
        </w:rPr>
        <w:t>A review of the NSIs and patient feedback has not identified any staffing impact on the quality and safety of patient care/outcomes.</w:t>
      </w:r>
    </w:p>
    <w:p w:rsidR="004624B1" w:rsidRDefault="004624B1" w:rsidP="00765EAB">
      <w:pPr>
        <w:jc w:val="both"/>
        <w:rPr>
          <w:rFonts w:cs="Arial"/>
        </w:rPr>
      </w:pPr>
    </w:p>
    <w:p w:rsidR="00C165B1" w:rsidRPr="00765EAB" w:rsidRDefault="00C165B1" w:rsidP="00765EAB">
      <w:pPr>
        <w:jc w:val="both"/>
        <w:rPr>
          <w:rFonts w:cs="Arial"/>
        </w:rPr>
      </w:pPr>
    </w:p>
    <w:p w:rsidR="003643CB"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5192" w:type="pct"/>
        <w:jc w:val="center"/>
        <w:tblInd w:w="56" w:type="dxa"/>
        <w:tblLayout w:type="fixed"/>
        <w:tblLook w:val="04A0" w:firstRow="1" w:lastRow="0" w:firstColumn="1" w:lastColumn="0" w:noHBand="0" w:noVBand="1"/>
      </w:tblPr>
      <w:tblGrid>
        <w:gridCol w:w="1384"/>
        <w:gridCol w:w="570"/>
        <w:gridCol w:w="873"/>
        <w:gridCol w:w="968"/>
        <w:gridCol w:w="966"/>
        <w:gridCol w:w="965"/>
        <w:gridCol w:w="965"/>
        <w:gridCol w:w="1061"/>
        <w:gridCol w:w="732"/>
        <w:gridCol w:w="732"/>
        <w:gridCol w:w="519"/>
        <w:gridCol w:w="565"/>
        <w:gridCol w:w="522"/>
      </w:tblGrid>
      <w:tr w:rsidR="00D14635" w:rsidRPr="00CE2873" w:rsidTr="00D14635">
        <w:trPr>
          <w:cantSplit/>
          <w:trHeight w:val="211"/>
          <w:tblHeader/>
          <w:jc w:val="center"/>
        </w:trPr>
        <w:tc>
          <w:tcPr>
            <w:tcW w:w="63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14635" w:rsidRPr="00CE2873" w:rsidRDefault="00D14635"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4635" w:rsidRPr="00CE2873" w:rsidRDefault="00D14635"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0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vMerge w:val="restart"/>
            <w:tcBorders>
              <w:top w:val="single" w:sz="4" w:space="0" w:color="auto"/>
              <w:left w:val="nil"/>
              <w:right w:val="single" w:sz="4" w:space="0" w:color="auto"/>
            </w:tcBorders>
            <w:shd w:val="clear" w:color="auto" w:fill="548DD4" w:themeFill="text2" w:themeFillTint="99"/>
            <w:noWrap/>
            <w:vAlign w:val="center"/>
          </w:tcPr>
          <w:p w:rsidR="00D14635" w:rsidRPr="00CE2873" w:rsidRDefault="00D14635"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9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4635" w:rsidRPr="00CE2873" w:rsidRDefault="00D14635"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38" w:type="pct"/>
            <w:tcBorders>
              <w:top w:val="single" w:sz="4" w:space="0" w:color="auto"/>
              <w:left w:val="single" w:sz="4" w:space="0" w:color="auto"/>
              <w:right w:val="single" w:sz="4" w:space="0" w:color="auto"/>
            </w:tcBorders>
            <w:shd w:val="clear" w:color="auto" w:fill="548DD4" w:themeFill="text2" w:themeFillTint="99"/>
            <w:textDirection w:val="btLr"/>
          </w:tcPr>
          <w:p w:rsidR="00D14635" w:rsidRPr="00CE2873" w:rsidRDefault="00D14635" w:rsidP="009305B6">
            <w:pPr>
              <w:ind w:left="30" w:right="113"/>
              <w:jc w:val="center"/>
              <w:rPr>
                <w:rFonts w:cs="Arial"/>
                <w:b/>
                <w:color w:val="FFFFFF" w:themeColor="background1"/>
                <w:sz w:val="18"/>
                <w:szCs w:val="18"/>
              </w:rPr>
            </w:pPr>
          </w:p>
        </w:tc>
        <w:tc>
          <w:tcPr>
            <w:tcW w:w="338"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4635" w:rsidRPr="00CE2873" w:rsidRDefault="00D14635"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0"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4635" w:rsidRPr="00CE2873" w:rsidRDefault="00D14635"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4635" w:rsidRPr="00CE2873" w:rsidRDefault="00D14635"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4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4635" w:rsidRPr="00CE2873" w:rsidRDefault="00D14635"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14635" w:rsidRPr="00CE2873" w:rsidTr="00D14635">
        <w:trPr>
          <w:cantSplit/>
          <w:trHeight w:val="850"/>
          <w:tblHeader/>
          <w:jc w:val="center"/>
        </w:trPr>
        <w:tc>
          <w:tcPr>
            <w:tcW w:w="639" w:type="pct"/>
            <w:vMerge/>
            <w:tcBorders>
              <w:left w:val="single" w:sz="4" w:space="0" w:color="auto"/>
              <w:bottom w:val="single" w:sz="4" w:space="0" w:color="auto"/>
              <w:right w:val="single" w:sz="4" w:space="0" w:color="auto"/>
            </w:tcBorders>
            <w:shd w:val="clear" w:color="auto" w:fill="C6D9F1"/>
            <w:noWrap/>
            <w:vAlign w:val="center"/>
          </w:tcPr>
          <w:p w:rsidR="00D14635" w:rsidRPr="00CE2873" w:rsidRDefault="00D14635" w:rsidP="009305B6">
            <w:pPr>
              <w:jc w:val="center"/>
              <w:rPr>
                <w:rFonts w:cs="Arial"/>
                <w:b/>
                <w:sz w:val="18"/>
                <w:szCs w:val="18"/>
              </w:rPr>
            </w:pPr>
          </w:p>
        </w:tc>
        <w:tc>
          <w:tcPr>
            <w:tcW w:w="263" w:type="pct"/>
            <w:vMerge/>
            <w:tcBorders>
              <w:left w:val="nil"/>
              <w:bottom w:val="single" w:sz="4" w:space="0" w:color="auto"/>
              <w:right w:val="single" w:sz="4" w:space="0" w:color="auto"/>
            </w:tcBorders>
            <w:shd w:val="clear" w:color="auto" w:fill="C6D9F1"/>
            <w:textDirection w:val="btLr"/>
            <w:vAlign w:val="center"/>
          </w:tcPr>
          <w:p w:rsidR="00D14635" w:rsidRPr="00CE2873" w:rsidRDefault="00D14635" w:rsidP="009305B6">
            <w:pPr>
              <w:ind w:left="113" w:right="113"/>
              <w:jc w:val="center"/>
              <w:rPr>
                <w:rFonts w:cs="Arial"/>
                <w:b/>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14635" w:rsidRPr="00CE2873" w:rsidRDefault="00D14635" w:rsidP="009305B6">
            <w:pPr>
              <w:ind w:left="30"/>
              <w:jc w:val="center"/>
              <w:rPr>
                <w:rFonts w:cs="Arial"/>
                <w:b/>
                <w:color w:val="FFFFFF"/>
                <w:sz w:val="18"/>
                <w:szCs w:val="18"/>
              </w:rPr>
            </w:pPr>
            <w:r w:rsidRPr="00CE2873">
              <w:rPr>
                <w:rFonts w:cs="Arial"/>
                <w:b/>
                <w:color w:val="FFFFFF"/>
                <w:sz w:val="18"/>
                <w:szCs w:val="18"/>
              </w:rPr>
              <w:t>HCSW</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30"/>
              <w:jc w:val="center"/>
              <w:rPr>
                <w:rFonts w:cs="Arial"/>
                <w:b/>
                <w:color w:val="FFFFFF"/>
                <w:sz w:val="18"/>
                <w:szCs w:val="18"/>
              </w:rPr>
            </w:pPr>
            <w:r w:rsidRPr="00CE2873">
              <w:rPr>
                <w:rFonts w:cs="Arial"/>
                <w:b/>
                <w:color w:val="FFFFFF"/>
                <w:sz w:val="18"/>
                <w:szCs w:val="18"/>
              </w:rPr>
              <w:t>% of actual vs total planned shifts RN</w:t>
            </w:r>
          </w:p>
          <w:p w:rsidR="00D14635" w:rsidRPr="00CE2873" w:rsidRDefault="00D14635" w:rsidP="009305B6">
            <w:pPr>
              <w:ind w:left="30"/>
              <w:jc w:val="center"/>
              <w:rPr>
                <w:rFonts w:cs="Arial"/>
                <w:b/>
                <w:color w:val="FFFFFF"/>
                <w:sz w:val="18"/>
                <w:szCs w:val="18"/>
              </w:rPr>
            </w:pP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14635" w:rsidRPr="00CE2873" w:rsidRDefault="00D14635" w:rsidP="009305B6">
            <w:pPr>
              <w:ind w:left="30"/>
              <w:jc w:val="center"/>
              <w:rPr>
                <w:rFonts w:cs="Arial"/>
                <w:b/>
                <w:color w:val="FFFFFF"/>
                <w:sz w:val="18"/>
                <w:szCs w:val="18"/>
              </w:rPr>
            </w:pPr>
            <w:r w:rsidRPr="00CE2873">
              <w:rPr>
                <w:rFonts w:cs="Arial"/>
                <w:b/>
                <w:color w:val="FFFFFF"/>
                <w:sz w:val="18"/>
                <w:szCs w:val="18"/>
              </w:rPr>
              <w:t>HCSW</w:t>
            </w:r>
          </w:p>
          <w:p w:rsidR="00D14635" w:rsidRPr="00CE2873" w:rsidRDefault="00D14635" w:rsidP="009305B6">
            <w:pPr>
              <w:ind w:left="30"/>
              <w:jc w:val="center"/>
              <w:rPr>
                <w:rFonts w:cs="Arial"/>
                <w:b/>
                <w:color w:val="FFFFFF"/>
                <w:sz w:val="18"/>
                <w:szCs w:val="18"/>
              </w:rPr>
            </w:pPr>
          </w:p>
        </w:tc>
        <w:tc>
          <w:tcPr>
            <w:tcW w:w="446" w:type="pct"/>
            <w:vMerge/>
            <w:tcBorders>
              <w:left w:val="nil"/>
              <w:bottom w:val="single" w:sz="4" w:space="0" w:color="auto"/>
              <w:right w:val="single" w:sz="4" w:space="0" w:color="auto"/>
            </w:tcBorders>
            <w:shd w:val="clear" w:color="auto" w:fill="548DD4" w:themeFill="text2" w:themeFillTint="99"/>
            <w:noWrap/>
            <w:vAlign w:val="center"/>
          </w:tcPr>
          <w:p w:rsidR="00D14635" w:rsidRPr="00CE2873" w:rsidRDefault="00D14635" w:rsidP="009305B6">
            <w:pPr>
              <w:ind w:left="30"/>
              <w:jc w:val="center"/>
              <w:rPr>
                <w:rFonts w:cs="Arial"/>
                <w:b/>
                <w:color w:val="FFFFFF"/>
                <w:sz w:val="18"/>
                <w:szCs w:val="18"/>
              </w:rPr>
            </w:pPr>
          </w:p>
        </w:tc>
        <w:tc>
          <w:tcPr>
            <w:tcW w:w="490"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4635" w:rsidRPr="00CE2873" w:rsidRDefault="00D14635" w:rsidP="009305B6">
            <w:pPr>
              <w:ind w:left="30"/>
              <w:jc w:val="center"/>
              <w:rPr>
                <w:rFonts w:cs="Arial"/>
                <w:b/>
                <w:color w:val="FFFFFF"/>
                <w:sz w:val="18"/>
                <w:szCs w:val="18"/>
              </w:rPr>
            </w:pPr>
            <w:r w:rsidRPr="00CE2873">
              <w:rPr>
                <w:rFonts w:cs="Arial"/>
                <w:b/>
                <w:color w:val="FFFFFF"/>
                <w:sz w:val="18"/>
                <w:szCs w:val="18"/>
              </w:rPr>
              <w:t>Care Hours</w:t>
            </w:r>
          </w:p>
          <w:p w:rsidR="00D14635" w:rsidRPr="00CE2873" w:rsidRDefault="00D14635" w:rsidP="009305B6">
            <w:pPr>
              <w:ind w:left="30"/>
              <w:jc w:val="center"/>
              <w:rPr>
                <w:rFonts w:cs="Arial"/>
                <w:b/>
                <w:color w:val="FFFFFF"/>
                <w:sz w:val="18"/>
                <w:szCs w:val="18"/>
              </w:rPr>
            </w:pPr>
            <w:r w:rsidRPr="00CE2873">
              <w:rPr>
                <w:rFonts w:cs="Arial"/>
                <w:b/>
                <w:color w:val="FFFFFF"/>
                <w:sz w:val="18"/>
                <w:szCs w:val="18"/>
              </w:rPr>
              <w:t>Per Patient Day</w:t>
            </w:r>
          </w:p>
        </w:tc>
        <w:tc>
          <w:tcPr>
            <w:tcW w:w="338" w:type="pct"/>
            <w:tcBorders>
              <w:left w:val="single" w:sz="4" w:space="0" w:color="auto"/>
              <w:bottom w:val="single" w:sz="4" w:space="0" w:color="auto"/>
              <w:right w:val="single" w:sz="4" w:space="0" w:color="auto"/>
            </w:tcBorders>
            <w:shd w:val="clear" w:color="auto" w:fill="548DD4" w:themeFill="text2" w:themeFillTint="99"/>
            <w:textDirection w:val="btLr"/>
          </w:tcPr>
          <w:p w:rsidR="00D14635" w:rsidRPr="00D14635" w:rsidRDefault="00D14635" w:rsidP="009305B6">
            <w:pPr>
              <w:ind w:left="30" w:right="113"/>
              <w:jc w:val="center"/>
              <w:rPr>
                <w:rFonts w:cs="Arial"/>
                <w:b/>
                <w:color w:val="FFFFFF" w:themeColor="background1"/>
                <w:sz w:val="18"/>
                <w:szCs w:val="18"/>
              </w:rPr>
            </w:pPr>
            <w:r>
              <w:rPr>
                <w:rFonts w:cs="Arial"/>
                <w:b/>
                <w:color w:val="FFFFFF" w:themeColor="background1"/>
                <w:sz w:val="18"/>
                <w:szCs w:val="18"/>
              </w:rPr>
              <w:t>Vacancy rate %</w:t>
            </w:r>
          </w:p>
        </w:tc>
        <w:tc>
          <w:tcPr>
            <w:tcW w:w="338" w:type="pct"/>
            <w:vMerge/>
            <w:tcBorders>
              <w:left w:val="single" w:sz="4" w:space="0" w:color="auto"/>
              <w:bottom w:val="single" w:sz="4" w:space="0" w:color="auto"/>
              <w:right w:val="single" w:sz="4" w:space="0" w:color="auto"/>
            </w:tcBorders>
            <w:shd w:val="clear" w:color="auto" w:fill="95B3D7"/>
            <w:noWrap/>
            <w:textDirection w:val="btLr"/>
            <w:vAlign w:val="center"/>
          </w:tcPr>
          <w:p w:rsidR="00D14635" w:rsidRPr="00CE2873" w:rsidRDefault="00D14635" w:rsidP="009305B6">
            <w:pPr>
              <w:ind w:left="30" w:right="113"/>
              <w:jc w:val="center"/>
              <w:rPr>
                <w:rFonts w:cs="Arial"/>
                <w:b/>
                <w:sz w:val="18"/>
                <w:szCs w:val="18"/>
              </w:rPr>
            </w:pPr>
          </w:p>
        </w:tc>
        <w:tc>
          <w:tcPr>
            <w:tcW w:w="240" w:type="pct"/>
            <w:vMerge/>
            <w:tcBorders>
              <w:left w:val="single" w:sz="4" w:space="0" w:color="auto"/>
              <w:bottom w:val="single" w:sz="4" w:space="0" w:color="auto"/>
              <w:right w:val="single" w:sz="4" w:space="0" w:color="auto"/>
            </w:tcBorders>
            <w:shd w:val="clear" w:color="auto" w:fill="95B3D7"/>
            <w:noWrap/>
            <w:textDirection w:val="btLr"/>
            <w:vAlign w:val="center"/>
          </w:tcPr>
          <w:p w:rsidR="00D14635" w:rsidRPr="00CE2873" w:rsidRDefault="00D14635" w:rsidP="009305B6">
            <w:pPr>
              <w:ind w:left="46" w:right="113"/>
              <w:jc w:val="center"/>
              <w:rPr>
                <w:rFonts w:cs="Arial"/>
                <w:b/>
                <w:sz w:val="18"/>
                <w:szCs w:val="18"/>
              </w:rPr>
            </w:pPr>
          </w:p>
        </w:tc>
        <w:tc>
          <w:tcPr>
            <w:tcW w:w="261" w:type="pct"/>
            <w:vMerge/>
            <w:tcBorders>
              <w:left w:val="nil"/>
              <w:bottom w:val="single" w:sz="4" w:space="0" w:color="auto"/>
              <w:right w:val="single" w:sz="4" w:space="0" w:color="auto"/>
            </w:tcBorders>
            <w:shd w:val="clear" w:color="auto" w:fill="95B3D7"/>
            <w:textDirection w:val="btLr"/>
            <w:vAlign w:val="center"/>
          </w:tcPr>
          <w:p w:rsidR="00D14635" w:rsidRPr="00CE2873" w:rsidRDefault="00D14635" w:rsidP="009305B6">
            <w:pPr>
              <w:ind w:left="30" w:right="113"/>
              <w:jc w:val="center"/>
              <w:rPr>
                <w:rFonts w:cs="Arial"/>
                <w:b/>
                <w:sz w:val="18"/>
                <w:szCs w:val="18"/>
              </w:rPr>
            </w:pPr>
          </w:p>
        </w:tc>
        <w:tc>
          <w:tcPr>
            <w:tcW w:w="241" w:type="pct"/>
            <w:vMerge/>
            <w:tcBorders>
              <w:left w:val="nil"/>
              <w:bottom w:val="single" w:sz="4" w:space="0" w:color="auto"/>
              <w:right w:val="single" w:sz="4" w:space="0" w:color="auto"/>
            </w:tcBorders>
            <w:shd w:val="clear" w:color="auto" w:fill="95B3D7"/>
            <w:textDirection w:val="btLr"/>
            <w:vAlign w:val="center"/>
          </w:tcPr>
          <w:p w:rsidR="00D14635" w:rsidRPr="00CE2873" w:rsidRDefault="00D14635" w:rsidP="009305B6">
            <w:pPr>
              <w:ind w:left="30" w:right="113"/>
              <w:jc w:val="center"/>
              <w:rPr>
                <w:rFonts w:cs="Arial"/>
                <w:b/>
                <w:sz w:val="18"/>
                <w:szCs w:val="18"/>
              </w:rPr>
            </w:pPr>
          </w:p>
        </w:tc>
      </w:tr>
      <w:tr w:rsidR="00D14635" w:rsidRPr="00CE2873" w:rsidTr="00D1463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635" w:rsidRPr="0087500B" w:rsidRDefault="00D14635" w:rsidP="009305B6">
            <w:pPr>
              <w:spacing w:line="276" w:lineRule="auto"/>
              <w:rPr>
                <w:rFonts w:cs="Arial"/>
                <w:sz w:val="18"/>
                <w:szCs w:val="18"/>
              </w:rPr>
            </w:pPr>
            <w:r w:rsidRPr="0087500B">
              <w:rPr>
                <w:rFonts w:cs="Arial"/>
                <w:sz w:val="18"/>
                <w:szCs w:val="18"/>
              </w:rPr>
              <w:t>SH Skye Wing</w:t>
            </w:r>
          </w:p>
        </w:tc>
        <w:tc>
          <w:tcPr>
            <w:tcW w:w="263" w:type="pct"/>
            <w:tcBorders>
              <w:top w:val="single" w:sz="4" w:space="0" w:color="auto"/>
              <w:left w:val="nil"/>
              <w:bottom w:val="single" w:sz="4" w:space="0" w:color="auto"/>
              <w:right w:val="single" w:sz="4" w:space="0" w:color="auto"/>
            </w:tcBorders>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27</w:t>
            </w:r>
          </w:p>
        </w:tc>
        <w:tc>
          <w:tcPr>
            <w:tcW w:w="40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121.4%</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138.5%</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196.4%</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117.9%</w:t>
            </w:r>
          </w:p>
        </w:tc>
        <w:tc>
          <w:tcPr>
            <w:tcW w:w="446" w:type="pct"/>
            <w:tcBorders>
              <w:top w:val="single" w:sz="4" w:space="0" w:color="auto"/>
              <w:left w:val="nil"/>
              <w:bottom w:val="single" w:sz="4" w:space="0" w:color="auto"/>
              <w:right w:val="single" w:sz="4" w:space="0" w:color="auto"/>
            </w:tcBorders>
            <w:shd w:val="clear" w:color="auto" w:fill="FFC00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41.3%</w:t>
            </w:r>
          </w:p>
        </w:tc>
        <w:tc>
          <w:tcPr>
            <w:tcW w:w="490" w:type="pct"/>
            <w:tcBorders>
              <w:top w:val="single" w:sz="4" w:space="0" w:color="auto"/>
              <w:left w:val="nil"/>
              <w:bottom w:val="single" w:sz="4" w:space="0" w:color="auto"/>
              <w:right w:val="single" w:sz="4" w:space="0" w:color="auto"/>
            </w:tcBorders>
            <w:shd w:val="clear" w:color="auto" w:fill="FFFFFF"/>
            <w:vAlign w:val="center"/>
          </w:tcPr>
          <w:p w:rsidR="00D14635" w:rsidRPr="00B8608C" w:rsidRDefault="00D14635" w:rsidP="00D177B4">
            <w:pPr>
              <w:jc w:val="center"/>
              <w:rPr>
                <w:rFonts w:ascii="Calibri" w:hAnsi="Calibri" w:cs="Arial"/>
                <w:color w:val="000000"/>
                <w:sz w:val="18"/>
                <w:szCs w:val="18"/>
              </w:rPr>
            </w:pPr>
            <w:r w:rsidRPr="00B8608C">
              <w:rPr>
                <w:rFonts w:ascii="Calibri" w:hAnsi="Calibri" w:cs="Arial"/>
                <w:color w:val="000000"/>
                <w:sz w:val="18"/>
                <w:szCs w:val="18"/>
              </w:rPr>
              <w:t>4.7</w:t>
            </w:r>
          </w:p>
        </w:tc>
        <w:tc>
          <w:tcPr>
            <w:tcW w:w="338" w:type="pct"/>
            <w:tcBorders>
              <w:top w:val="single" w:sz="4" w:space="0" w:color="auto"/>
              <w:left w:val="single" w:sz="4" w:space="0" w:color="auto"/>
              <w:bottom w:val="single" w:sz="4" w:space="0" w:color="auto"/>
              <w:right w:val="single" w:sz="4" w:space="0" w:color="auto"/>
            </w:tcBorders>
          </w:tcPr>
          <w:p w:rsidR="00D14635" w:rsidRPr="00D14635" w:rsidRDefault="00D14635" w:rsidP="0064335D">
            <w:pPr>
              <w:jc w:val="center"/>
              <w:rPr>
                <w:rFonts w:asciiTheme="minorHAnsi" w:hAnsiTheme="minorHAnsi" w:cs="Arial"/>
                <w:sz w:val="18"/>
                <w:szCs w:val="18"/>
              </w:rPr>
            </w:pPr>
            <w:r>
              <w:rPr>
                <w:rFonts w:asciiTheme="minorHAnsi" w:hAnsiTheme="minorHAnsi" w:cs="Arial"/>
                <w:sz w:val="18"/>
                <w:szCs w:val="18"/>
              </w:rPr>
              <w:t>9.2</w:t>
            </w:r>
            <w:r w:rsidRPr="00D14635">
              <w:rPr>
                <w:rFonts w:asciiTheme="minorHAnsi" w:hAnsiTheme="minorHAnsi" w:cs="Arial"/>
                <w:sz w:val="18"/>
                <w:szCs w:val="18"/>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D14635" w:rsidP="0064335D">
            <w:pPr>
              <w:jc w:val="center"/>
              <w:rPr>
                <w:rFonts w:asciiTheme="minorHAnsi" w:hAnsiTheme="minorHAnsi" w:cs="Arial"/>
                <w:sz w:val="18"/>
                <w:szCs w:val="18"/>
              </w:rPr>
            </w:pPr>
            <w:r w:rsidRPr="00D14635">
              <w:rPr>
                <w:rFonts w:asciiTheme="minorHAnsi" w:hAnsiTheme="minorHAnsi" w:cs="Arial"/>
                <w:sz w:val="18"/>
                <w:szCs w:val="18"/>
              </w:rPr>
              <w:t>1</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D14635" w:rsidP="0064335D">
            <w:pPr>
              <w:jc w:val="center"/>
              <w:rPr>
                <w:rFonts w:asciiTheme="minorHAnsi" w:hAnsiTheme="minorHAnsi" w:cs="Arial"/>
                <w:sz w:val="18"/>
                <w:szCs w:val="18"/>
              </w:rPr>
            </w:pPr>
            <w:r w:rsidRPr="00D14635">
              <w:rPr>
                <w:rFonts w:asciiTheme="minorHAnsi" w:hAnsiTheme="minorHAnsi" w:cs="Arial"/>
                <w:sz w:val="18"/>
                <w:szCs w:val="18"/>
              </w:rPr>
              <w:t>1</w:t>
            </w:r>
          </w:p>
        </w:tc>
        <w:tc>
          <w:tcPr>
            <w:tcW w:w="26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sz w:val="18"/>
                <w:szCs w:val="18"/>
              </w:rPr>
            </w:pPr>
            <w:r w:rsidRPr="00D14635">
              <w:rPr>
                <w:rFonts w:asciiTheme="minorHAnsi" w:hAnsiTheme="minorHAnsi" w:cs="Arial"/>
                <w:sz w:val="18"/>
                <w:szCs w:val="18"/>
              </w:rPr>
              <w:t>0</w:t>
            </w:r>
          </w:p>
        </w:tc>
        <w:tc>
          <w:tcPr>
            <w:tcW w:w="24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sz w:val="18"/>
                <w:szCs w:val="18"/>
              </w:rPr>
            </w:pPr>
            <w:r w:rsidRPr="00D14635">
              <w:rPr>
                <w:rFonts w:asciiTheme="minorHAnsi" w:hAnsiTheme="minorHAnsi" w:cs="Arial"/>
                <w:sz w:val="18"/>
                <w:szCs w:val="18"/>
              </w:rPr>
              <w:t>nil</w:t>
            </w:r>
          </w:p>
        </w:tc>
      </w:tr>
      <w:tr w:rsidR="00D14635" w:rsidRPr="00CE2873" w:rsidTr="00D1463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635" w:rsidRPr="0087500B" w:rsidRDefault="00D14635" w:rsidP="009305B6">
            <w:pPr>
              <w:spacing w:line="276" w:lineRule="auto"/>
              <w:rPr>
                <w:rFonts w:cs="Arial"/>
                <w:color w:val="000000"/>
                <w:sz w:val="18"/>
                <w:szCs w:val="18"/>
              </w:rPr>
            </w:pPr>
            <w:r w:rsidRPr="0087500B">
              <w:rPr>
                <w:rFonts w:cs="Arial"/>
                <w:color w:val="000000"/>
                <w:sz w:val="18"/>
                <w:szCs w:val="18"/>
              </w:rPr>
              <w:t>Willows Unit</w:t>
            </w:r>
          </w:p>
        </w:tc>
        <w:tc>
          <w:tcPr>
            <w:tcW w:w="263" w:type="pct"/>
            <w:tcBorders>
              <w:top w:val="single" w:sz="4" w:space="0" w:color="auto"/>
              <w:left w:val="nil"/>
              <w:bottom w:val="single" w:sz="4" w:space="0" w:color="auto"/>
              <w:right w:val="single" w:sz="4" w:space="0" w:color="auto"/>
            </w:tcBorders>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31</w:t>
            </w:r>
          </w:p>
        </w:tc>
        <w:tc>
          <w:tcPr>
            <w:tcW w:w="40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140.6%</w:t>
            </w:r>
          </w:p>
        </w:tc>
        <w:tc>
          <w:tcPr>
            <w:tcW w:w="447"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182.2%</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125.9%</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239.0%</w:t>
            </w:r>
          </w:p>
        </w:tc>
        <w:tc>
          <w:tcPr>
            <w:tcW w:w="446" w:type="pct"/>
            <w:tcBorders>
              <w:top w:val="single" w:sz="4" w:space="0" w:color="auto"/>
              <w:left w:val="nil"/>
              <w:bottom w:val="single" w:sz="4" w:space="0" w:color="auto"/>
              <w:right w:val="single" w:sz="4" w:space="0" w:color="auto"/>
            </w:tcBorders>
            <w:shd w:val="clear" w:color="auto" w:fill="92D050"/>
            <w:noWrap/>
            <w:vAlign w:val="bottom"/>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17.6%</w:t>
            </w:r>
          </w:p>
        </w:tc>
        <w:tc>
          <w:tcPr>
            <w:tcW w:w="490" w:type="pct"/>
            <w:tcBorders>
              <w:top w:val="single" w:sz="4" w:space="0" w:color="auto"/>
              <w:left w:val="nil"/>
              <w:bottom w:val="single" w:sz="4" w:space="0" w:color="auto"/>
              <w:right w:val="single" w:sz="4" w:space="0" w:color="auto"/>
            </w:tcBorders>
            <w:shd w:val="clear" w:color="auto" w:fill="FFFFFF"/>
            <w:vAlign w:val="center"/>
          </w:tcPr>
          <w:p w:rsidR="00D14635" w:rsidRPr="00B8608C" w:rsidRDefault="00D14635" w:rsidP="00D177B4">
            <w:pPr>
              <w:jc w:val="center"/>
              <w:rPr>
                <w:rFonts w:ascii="Calibri" w:hAnsi="Calibri" w:cs="Arial"/>
                <w:color w:val="000000"/>
                <w:sz w:val="18"/>
                <w:szCs w:val="18"/>
              </w:rPr>
            </w:pPr>
            <w:r w:rsidRPr="00B8608C">
              <w:rPr>
                <w:rFonts w:ascii="Calibri" w:hAnsi="Calibri" w:cs="Arial"/>
                <w:color w:val="000000"/>
                <w:sz w:val="18"/>
                <w:szCs w:val="18"/>
              </w:rPr>
              <w:t>8.8</w:t>
            </w:r>
          </w:p>
        </w:tc>
        <w:tc>
          <w:tcPr>
            <w:tcW w:w="338" w:type="pct"/>
            <w:tcBorders>
              <w:top w:val="single" w:sz="4" w:space="0" w:color="auto"/>
              <w:left w:val="single" w:sz="4" w:space="0" w:color="auto"/>
              <w:bottom w:val="single" w:sz="4" w:space="0" w:color="auto"/>
              <w:right w:val="single" w:sz="4" w:space="0" w:color="auto"/>
            </w:tcBorders>
          </w:tcPr>
          <w:p w:rsidR="00D14635" w:rsidRPr="00D14635" w:rsidRDefault="004502F0" w:rsidP="0064335D">
            <w:pPr>
              <w:jc w:val="center"/>
              <w:rPr>
                <w:rFonts w:asciiTheme="minorHAnsi" w:hAnsiTheme="minorHAnsi" w:cs="Arial"/>
                <w:color w:val="000000"/>
                <w:sz w:val="18"/>
                <w:szCs w:val="18"/>
              </w:rPr>
            </w:pPr>
            <w:r>
              <w:rPr>
                <w:rFonts w:asciiTheme="minorHAnsi" w:hAnsiTheme="minorHAnsi" w:cs="Arial"/>
                <w:color w:val="000000"/>
                <w:sz w:val="18"/>
                <w:szCs w:val="18"/>
              </w:rPr>
              <w:t>7.2</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4502F0" w:rsidP="0064335D">
            <w:pPr>
              <w:jc w:val="center"/>
              <w:rPr>
                <w:rFonts w:asciiTheme="minorHAnsi" w:hAnsiTheme="minorHAnsi" w:cs="Arial"/>
                <w:color w:val="000000"/>
                <w:sz w:val="18"/>
                <w:szCs w:val="18"/>
              </w:rPr>
            </w:pPr>
            <w:r>
              <w:rPr>
                <w:rFonts w:asciiTheme="minorHAnsi" w:hAnsiTheme="minorHAnsi" w:cs="Arial"/>
                <w:color w:val="000000"/>
                <w:sz w:val="18"/>
                <w:szCs w:val="18"/>
              </w:rPr>
              <w:t>0</w:t>
            </w:r>
            <w:r w:rsidRPr="00D14635">
              <w:rPr>
                <w:rFonts w:asciiTheme="minorHAnsi" w:hAnsiTheme="minorHAnsi" w:cs="Arial"/>
                <w:sz w:val="18"/>
                <w:szCs w:val="18"/>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4502F0" w:rsidP="0064335D">
            <w:pPr>
              <w:jc w:val="center"/>
              <w:rPr>
                <w:rFonts w:asciiTheme="minorHAnsi" w:hAnsiTheme="minorHAnsi" w:cs="Arial"/>
                <w:color w:val="000000"/>
                <w:sz w:val="18"/>
                <w:szCs w:val="18"/>
              </w:rPr>
            </w:pPr>
            <w:r>
              <w:rPr>
                <w:rFonts w:asciiTheme="minorHAnsi" w:hAnsiTheme="minorHAnsi" w:cs="Arial"/>
                <w:color w:val="000000"/>
                <w:sz w:val="18"/>
                <w:szCs w:val="18"/>
              </w:rPr>
              <w:t>1</w:t>
            </w:r>
            <w:r w:rsidRPr="00D14635">
              <w:rPr>
                <w:rFonts w:asciiTheme="minorHAnsi" w:hAnsiTheme="minorHAnsi" w:cs="Arial"/>
                <w:sz w:val="18"/>
                <w:szCs w:val="18"/>
              </w:rPr>
              <w:t>↓</w:t>
            </w:r>
          </w:p>
        </w:tc>
        <w:tc>
          <w:tcPr>
            <w:tcW w:w="26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4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D14635" w:rsidRPr="00CE2873" w:rsidTr="00D1463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635" w:rsidRPr="0087500B" w:rsidRDefault="00D14635" w:rsidP="009305B6">
            <w:pPr>
              <w:spacing w:line="276" w:lineRule="auto"/>
              <w:rPr>
                <w:rFonts w:cs="Arial"/>
                <w:color w:val="000000"/>
                <w:sz w:val="18"/>
                <w:szCs w:val="18"/>
              </w:rPr>
            </w:pPr>
            <w:r w:rsidRPr="0087500B">
              <w:rPr>
                <w:rFonts w:cs="Arial"/>
                <w:color w:val="000000"/>
                <w:sz w:val="18"/>
                <w:szCs w:val="18"/>
              </w:rPr>
              <w:t>ML Mill Lodge</w:t>
            </w:r>
          </w:p>
        </w:tc>
        <w:tc>
          <w:tcPr>
            <w:tcW w:w="263" w:type="pct"/>
            <w:tcBorders>
              <w:top w:val="single" w:sz="4" w:space="0" w:color="auto"/>
              <w:left w:val="nil"/>
              <w:bottom w:val="single" w:sz="4" w:space="0" w:color="auto"/>
              <w:right w:val="single" w:sz="4" w:space="0" w:color="auto"/>
            </w:tcBorders>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10</w:t>
            </w:r>
          </w:p>
        </w:tc>
        <w:tc>
          <w:tcPr>
            <w:tcW w:w="403"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108.9%</w:t>
            </w:r>
          </w:p>
        </w:tc>
        <w:tc>
          <w:tcPr>
            <w:tcW w:w="447" w:type="pct"/>
            <w:tcBorders>
              <w:top w:val="single" w:sz="4" w:space="0" w:color="auto"/>
              <w:left w:val="nil"/>
              <w:bottom w:val="single" w:sz="4" w:space="0" w:color="auto"/>
              <w:right w:val="single" w:sz="4" w:space="0" w:color="auto"/>
            </w:tcBorders>
            <w:shd w:val="clear" w:color="auto" w:fill="92D050"/>
            <w:noWrap/>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214.3%</w:t>
            </w:r>
          </w:p>
        </w:tc>
        <w:tc>
          <w:tcPr>
            <w:tcW w:w="446" w:type="pct"/>
            <w:tcBorders>
              <w:top w:val="single" w:sz="4" w:space="0" w:color="auto"/>
              <w:left w:val="nil"/>
              <w:bottom w:val="single" w:sz="4" w:space="0" w:color="auto"/>
              <w:right w:val="single" w:sz="4" w:space="0" w:color="auto"/>
            </w:tcBorders>
            <w:shd w:val="clear" w:color="auto" w:fill="92D050"/>
            <w:noWrap/>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50.0%</w:t>
            </w:r>
          </w:p>
        </w:tc>
        <w:tc>
          <w:tcPr>
            <w:tcW w:w="446" w:type="pct"/>
            <w:tcBorders>
              <w:top w:val="single" w:sz="4" w:space="0" w:color="auto"/>
              <w:left w:val="nil"/>
              <w:bottom w:val="single" w:sz="4" w:space="0" w:color="auto"/>
              <w:right w:val="single" w:sz="4" w:space="0" w:color="auto"/>
            </w:tcBorders>
            <w:shd w:val="clear" w:color="auto" w:fill="92D050"/>
            <w:noWrap/>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200.0%</w:t>
            </w:r>
          </w:p>
        </w:tc>
        <w:tc>
          <w:tcPr>
            <w:tcW w:w="446" w:type="pct"/>
            <w:tcBorders>
              <w:top w:val="single" w:sz="4" w:space="0" w:color="auto"/>
              <w:left w:val="nil"/>
              <w:bottom w:val="single" w:sz="4" w:space="0" w:color="auto"/>
              <w:right w:val="single" w:sz="4" w:space="0" w:color="auto"/>
            </w:tcBorders>
            <w:shd w:val="clear" w:color="auto" w:fill="FF0000"/>
            <w:noWrap/>
            <w:vAlign w:val="center"/>
          </w:tcPr>
          <w:p w:rsidR="00D14635" w:rsidRPr="00B8608C" w:rsidRDefault="00D14635" w:rsidP="00D177B4">
            <w:pPr>
              <w:jc w:val="center"/>
              <w:rPr>
                <w:rFonts w:ascii="Calibri" w:hAnsi="Calibri"/>
                <w:b/>
                <w:color w:val="000000"/>
                <w:sz w:val="18"/>
                <w:szCs w:val="18"/>
              </w:rPr>
            </w:pPr>
            <w:r w:rsidRPr="00B8608C">
              <w:rPr>
                <w:rFonts w:ascii="Calibri" w:hAnsi="Calibri"/>
                <w:b/>
                <w:color w:val="000000"/>
                <w:sz w:val="18"/>
                <w:szCs w:val="18"/>
              </w:rPr>
              <w:t>53.4%</w:t>
            </w:r>
          </w:p>
        </w:tc>
        <w:tc>
          <w:tcPr>
            <w:tcW w:w="490" w:type="pct"/>
            <w:tcBorders>
              <w:top w:val="single" w:sz="4" w:space="0" w:color="auto"/>
              <w:left w:val="nil"/>
              <w:bottom w:val="single" w:sz="4" w:space="0" w:color="auto"/>
              <w:right w:val="single" w:sz="4" w:space="0" w:color="auto"/>
            </w:tcBorders>
            <w:shd w:val="clear" w:color="auto" w:fill="FFFFFF"/>
            <w:vAlign w:val="center"/>
          </w:tcPr>
          <w:p w:rsidR="00D14635" w:rsidRPr="00B8608C" w:rsidRDefault="00D14635" w:rsidP="00D177B4">
            <w:pPr>
              <w:jc w:val="center"/>
              <w:rPr>
                <w:rFonts w:ascii="Calibri" w:hAnsi="Calibri" w:cs="Arial"/>
                <w:color w:val="000000"/>
                <w:sz w:val="18"/>
                <w:szCs w:val="18"/>
              </w:rPr>
            </w:pPr>
            <w:r w:rsidRPr="00B8608C">
              <w:rPr>
                <w:rFonts w:ascii="Calibri" w:hAnsi="Calibri" w:cs="Arial"/>
                <w:color w:val="000000"/>
                <w:sz w:val="18"/>
                <w:szCs w:val="18"/>
              </w:rPr>
              <w:t>13.0</w:t>
            </w:r>
          </w:p>
        </w:tc>
        <w:tc>
          <w:tcPr>
            <w:tcW w:w="338" w:type="pct"/>
            <w:tcBorders>
              <w:top w:val="single" w:sz="4" w:space="0" w:color="auto"/>
              <w:left w:val="single" w:sz="4" w:space="0" w:color="auto"/>
              <w:bottom w:val="single" w:sz="4" w:space="0" w:color="auto"/>
              <w:right w:val="single" w:sz="4" w:space="0" w:color="auto"/>
            </w:tcBorders>
          </w:tcPr>
          <w:p w:rsidR="00D14635" w:rsidRPr="00D14635" w:rsidRDefault="004502F0" w:rsidP="0064335D">
            <w:pPr>
              <w:rPr>
                <w:rFonts w:asciiTheme="minorHAnsi" w:hAnsiTheme="minorHAnsi" w:cs="Arial"/>
                <w:color w:val="000000"/>
                <w:sz w:val="18"/>
                <w:szCs w:val="18"/>
              </w:rPr>
            </w:pPr>
            <w:r>
              <w:rPr>
                <w:rFonts w:asciiTheme="minorHAnsi" w:hAnsiTheme="minorHAnsi" w:cs="Arial"/>
                <w:color w:val="000000"/>
                <w:sz w:val="18"/>
                <w:szCs w:val="18"/>
              </w:rPr>
              <w:t>16.6</w:t>
            </w:r>
            <w:r w:rsidRPr="00D14635">
              <w:rPr>
                <w:rFonts w:asciiTheme="minorHAnsi" w:hAnsiTheme="minorHAnsi" w:cs="Arial"/>
                <w:sz w:val="18"/>
                <w:szCs w:val="18"/>
              </w:rPr>
              <w:t>↓</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4502F0" w:rsidP="0064335D">
            <w:pPr>
              <w:rPr>
                <w:rFonts w:asciiTheme="minorHAnsi" w:hAnsiTheme="minorHAnsi" w:cs="Arial"/>
                <w:color w:val="000000"/>
                <w:sz w:val="18"/>
                <w:szCs w:val="18"/>
              </w:rPr>
            </w:pPr>
            <w:r>
              <w:rPr>
                <w:rFonts w:asciiTheme="minorHAnsi" w:hAnsiTheme="minorHAnsi" w:cs="Arial"/>
                <w:color w:val="000000"/>
                <w:sz w:val="18"/>
                <w:szCs w:val="18"/>
              </w:rPr>
              <w:t xml:space="preserve">    1</w:t>
            </w:r>
            <w:r w:rsidRPr="00D14635">
              <w:rPr>
                <w:rFonts w:asciiTheme="minorHAnsi" w:hAnsiTheme="minorHAnsi" w:cs="Arial"/>
                <w:sz w:val="18"/>
                <w:szCs w:val="18"/>
              </w:rPr>
              <w:t>↑</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D1463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4</w:t>
            </w:r>
          </w:p>
        </w:tc>
        <w:tc>
          <w:tcPr>
            <w:tcW w:w="26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0</w:t>
            </w:r>
          </w:p>
        </w:tc>
        <w:tc>
          <w:tcPr>
            <w:tcW w:w="24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color w:val="000000"/>
                <w:sz w:val="18"/>
                <w:szCs w:val="18"/>
              </w:rPr>
            </w:pPr>
            <w:r w:rsidRPr="00D14635">
              <w:rPr>
                <w:rFonts w:asciiTheme="minorHAnsi" w:hAnsiTheme="minorHAnsi" w:cs="Arial"/>
                <w:color w:val="000000"/>
                <w:sz w:val="18"/>
                <w:szCs w:val="18"/>
              </w:rPr>
              <w:t>nil</w:t>
            </w:r>
          </w:p>
        </w:tc>
      </w:tr>
      <w:tr w:rsidR="00D14635" w:rsidRPr="00CE2873" w:rsidTr="00D14635">
        <w:trPr>
          <w:trHeight w:val="225"/>
          <w:tblHeader/>
          <w:jc w:val="center"/>
        </w:trPr>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4635" w:rsidRPr="0087500B" w:rsidRDefault="00D14635" w:rsidP="009305B6">
            <w:pPr>
              <w:rPr>
                <w:rFonts w:cs="Arial"/>
                <w:b/>
                <w:color w:val="000000"/>
                <w:sz w:val="18"/>
                <w:szCs w:val="18"/>
              </w:rPr>
            </w:pPr>
            <w:r w:rsidRPr="0087500B">
              <w:rPr>
                <w:rFonts w:cs="Arial"/>
                <w:b/>
                <w:color w:val="000000"/>
                <w:sz w:val="18"/>
                <w:szCs w:val="18"/>
              </w:rPr>
              <w:t>TOTALS</w:t>
            </w:r>
          </w:p>
        </w:tc>
        <w:tc>
          <w:tcPr>
            <w:tcW w:w="26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4635" w:rsidRPr="0087500B" w:rsidRDefault="00D14635" w:rsidP="00FF16B4">
            <w:pPr>
              <w:jc w:val="center"/>
              <w:rPr>
                <w:rFonts w:cs="Arial"/>
                <w:b/>
                <w:color w:val="000000"/>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14635" w:rsidRPr="0087500B" w:rsidRDefault="00D14635" w:rsidP="00FF16B4">
            <w:pPr>
              <w:jc w:val="center"/>
              <w:rPr>
                <w:rFonts w:cs="Arial"/>
                <w:b/>
                <w:color w:val="000000"/>
                <w:sz w:val="18"/>
                <w:szCs w:val="18"/>
              </w:rPr>
            </w:pPr>
          </w:p>
        </w:tc>
        <w:tc>
          <w:tcPr>
            <w:tcW w:w="44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4635" w:rsidRPr="0087500B" w:rsidRDefault="00D14635" w:rsidP="00FF16B4">
            <w:pPr>
              <w:jc w:val="center"/>
              <w:rPr>
                <w:rFonts w:cs="Arial"/>
                <w:b/>
                <w:color w:val="000000"/>
                <w:sz w:val="18"/>
                <w:szCs w:val="18"/>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4635" w:rsidRPr="0087500B" w:rsidRDefault="00D14635" w:rsidP="00FF16B4">
            <w:pPr>
              <w:jc w:val="center"/>
              <w:rPr>
                <w:rFonts w:cs="Arial"/>
                <w:b/>
                <w:color w:val="000000"/>
                <w:sz w:val="18"/>
                <w:szCs w:val="18"/>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4635" w:rsidRPr="0087500B" w:rsidRDefault="00D14635" w:rsidP="00FF16B4">
            <w:pPr>
              <w:jc w:val="center"/>
              <w:rPr>
                <w:rFonts w:cs="Arial"/>
                <w:b/>
                <w:color w:val="000000"/>
                <w:sz w:val="18"/>
                <w:szCs w:val="18"/>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4635" w:rsidRPr="0087500B" w:rsidRDefault="00D14635" w:rsidP="00FF16B4">
            <w:pPr>
              <w:jc w:val="center"/>
              <w:rPr>
                <w:rFonts w:cs="Arial"/>
                <w:b/>
                <w:color w:val="000000"/>
                <w:sz w:val="18"/>
                <w:szCs w:val="18"/>
              </w:rPr>
            </w:pPr>
          </w:p>
        </w:tc>
        <w:tc>
          <w:tcPr>
            <w:tcW w:w="49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4635" w:rsidRPr="0087500B" w:rsidRDefault="00D14635" w:rsidP="00FF16B4">
            <w:pPr>
              <w:jc w:val="center"/>
              <w:rPr>
                <w:rFonts w:cs="Arial"/>
                <w:b/>
                <w:color w:val="000000"/>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14635" w:rsidRPr="00D14635" w:rsidRDefault="00D14635" w:rsidP="0064335D">
            <w:pPr>
              <w:jc w:val="center"/>
              <w:rPr>
                <w:rFonts w:asciiTheme="minorHAnsi" w:hAnsiTheme="minorHAnsi" w:cs="Arial"/>
                <w:b/>
                <w:color w:val="000000"/>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D14635" w:rsidP="0064335D">
            <w:pPr>
              <w:jc w:val="center"/>
              <w:rPr>
                <w:rFonts w:asciiTheme="minorHAnsi" w:hAnsiTheme="minorHAnsi" w:cs="Arial"/>
                <w:b/>
                <w:color w:val="000000"/>
                <w:sz w:val="18"/>
                <w:szCs w:val="18"/>
              </w:rPr>
            </w:pPr>
            <w:r w:rsidRPr="00D14635">
              <w:rPr>
                <w:rFonts w:asciiTheme="minorHAnsi" w:hAnsiTheme="minorHAnsi" w:cs="Arial"/>
                <w:b/>
                <w:color w:val="000000"/>
                <w:sz w:val="18"/>
                <w:szCs w:val="18"/>
              </w:rPr>
              <w:t>2</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635" w:rsidRPr="00D14635" w:rsidRDefault="004502F0" w:rsidP="0064335D">
            <w:pPr>
              <w:jc w:val="center"/>
              <w:rPr>
                <w:rFonts w:asciiTheme="minorHAnsi" w:hAnsiTheme="minorHAnsi" w:cs="Arial"/>
                <w:b/>
                <w:color w:val="000000"/>
                <w:sz w:val="18"/>
                <w:szCs w:val="18"/>
              </w:rPr>
            </w:pPr>
            <w:r>
              <w:rPr>
                <w:rFonts w:asciiTheme="minorHAnsi" w:hAnsiTheme="minorHAnsi" w:cs="Arial"/>
                <w:b/>
                <w:color w:val="000000"/>
                <w:sz w:val="18"/>
                <w:szCs w:val="18"/>
              </w:rPr>
              <w:t>6</w:t>
            </w:r>
            <w:r w:rsidR="00D14635" w:rsidRPr="00D14635">
              <w:rPr>
                <w:rFonts w:asciiTheme="minorHAnsi" w:hAnsiTheme="minorHAnsi" w:cs="Arial"/>
                <w:b/>
                <w:sz w:val="18"/>
                <w:szCs w:val="18"/>
              </w:rPr>
              <w:t>↓</w:t>
            </w:r>
          </w:p>
        </w:tc>
        <w:tc>
          <w:tcPr>
            <w:tcW w:w="261" w:type="pct"/>
            <w:tcBorders>
              <w:top w:val="single" w:sz="4" w:space="0" w:color="auto"/>
              <w:left w:val="nil"/>
              <w:bottom w:val="single" w:sz="4" w:space="0" w:color="auto"/>
              <w:right w:val="single" w:sz="4" w:space="0" w:color="auto"/>
            </w:tcBorders>
            <w:vAlign w:val="center"/>
          </w:tcPr>
          <w:p w:rsidR="00D14635" w:rsidRPr="00D14635" w:rsidRDefault="00D14635" w:rsidP="0064335D">
            <w:pPr>
              <w:jc w:val="center"/>
              <w:rPr>
                <w:rFonts w:asciiTheme="minorHAnsi" w:hAnsiTheme="minorHAnsi" w:cs="Arial"/>
                <w:b/>
                <w:color w:val="000000"/>
                <w:sz w:val="18"/>
                <w:szCs w:val="18"/>
              </w:rPr>
            </w:pPr>
            <w:r w:rsidRPr="00D14635">
              <w:rPr>
                <w:rFonts w:asciiTheme="minorHAnsi" w:hAnsiTheme="minorHAnsi" w:cs="Arial"/>
                <w:b/>
                <w:color w:val="000000"/>
                <w:sz w:val="18"/>
                <w:szCs w:val="18"/>
              </w:rPr>
              <w:t>0</w:t>
            </w:r>
          </w:p>
        </w:tc>
        <w:tc>
          <w:tcPr>
            <w:tcW w:w="24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4635" w:rsidRPr="00D14635" w:rsidRDefault="00D14635" w:rsidP="000F66C4">
            <w:pPr>
              <w:keepNext/>
              <w:rPr>
                <w:rFonts w:asciiTheme="minorHAnsi" w:hAnsiTheme="minorHAnsi" w:cs="Arial"/>
                <w:b/>
                <w:color w:val="000000"/>
                <w:sz w:val="18"/>
                <w:szCs w:val="18"/>
              </w:rPr>
            </w:pPr>
          </w:p>
        </w:tc>
      </w:tr>
    </w:tbl>
    <w:p w:rsidR="0074442D" w:rsidRPr="00566E5D" w:rsidRDefault="00092D5B" w:rsidP="00566E5D">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6</w:t>
      </w:r>
      <w:r w:rsidR="0067196C">
        <w:rPr>
          <w:noProof/>
        </w:rPr>
        <w:fldChar w:fldCharType="end"/>
      </w:r>
      <w:r>
        <w:t xml:space="preserve"> - Rehabilitation service </w:t>
      </w:r>
      <w:r w:rsidRPr="00724C17">
        <w:t>safer staffing</w:t>
      </w:r>
      <w:r w:rsidR="009305B6" w:rsidRPr="00EA072E">
        <w:rPr>
          <w:rFonts w:cs="Arial"/>
        </w:rPr>
        <w:t xml:space="preserve"> </w:t>
      </w:r>
    </w:p>
    <w:p w:rsidR="003B6DCB" w:rsidRDefault="004624B1" w:rsidP="0090086E">
      <w:pPr>
        <w:pStyle w:val="ListParagraph"/>
        <w:numPr>
          <w:ilvl w:val="0"/>
          <w:numId w:val="1"/>
        </w:numPr>
        <w:ind w:left="567"/>
        <w:jc w:val="both"/>
        <w:rPr>
          <w:rFonts w:cs="Arial"/>
        </w:rPr>
      </w:pPr>
      <w:r>
        <w:rPr>
          <w:rFonts w:cs="Arial"/>
        </w:rPr>
        <w:t>In February</w:t>
      </w:r>
      <w:r w:rsidR="00DB5D48" w:rsidRPr="00F765EB">
        <w:rPr>
          <w:rFonts w:cs="Arial"/>
        </w:rPr>
        <w:t xml:space="preserve"> 2019</w:t>
      </w:r>
      <w:r w:rsidR="0064335D" w:rsidRPr="00F765EB">
        <w:rPr>
          <w:rFonts w:cs="Arial"/>
        </w:rPr>
        <w:t xml:space="preserve">, </w:t>
      </w:r>
      <w:r w:rsidR="0074442D" w:rsidRPr="00F765EB">
        <w:rPr>
          <w:rFonts w:cs="Arial"/>
        </w:rPr>
        <w:t>Mill Lodge remains a hot spot for meetin</w:t>
      </w:r>
      <w:r w:rsidR="00867B89" w:rsidRPr="00F765EB">
        <w:rPr>
          <w:rFonts w:cs="Arial"/>
        </w:rPr>
        <w:t xml:space="preserve">g planned RN levels </w:t>
      </w:r>
      <w:r w:rsidR="0064335D" w:rsidRPr="00F765EB">
        <w:rPr>
          <w:rFonts w:cs="Arial"/>
        </w:rPr>
        <w:t xml:space="preserve">on nights </w:t>
      </w:r>
      <w:r>
        <w:rPr>
          <w:rFonts w:cs="Arial"/>
        </w:rPr>
        <w:t>only 50.0</w:t>
      </w:r>
      <w:r w:rsidR="00463BBD" w:rsidRPr="00F765EB">
        <w:rPr>
          <w:rFonts w:cs="Arial"/>
        </w:rPr>
        <w:t>% of the time</w:t>
      </w:r>
      <w:r>
        <w:rPr>
          <w:rFonts w:cs="Arial"/>
        </w:rPr>
        <w:t xml:space="preserve"> and has utilised over 50% of temporary workers to sustain safe staffing levels. T</w:t>
      </w:r>
      <w:r w:rsidR="009305B6" w:rsidRPr="00F765EB">
        <w:rPr>
          <w:rFonts w:cs="Arial"/>
        </w:rPr>
        <w:t xml:space="preserve">he service adopts a staffing model based on a risk assessment of </w:t>
      </w:r>
      <w:r>
        <w:rPr>
          <w:rFonts w:cs="Arial"/>
        </w:rPr>
        <w:t>patient acuity and dependency</w:t>
      </w:r>
      <w:r w:rsidR="009305B6" w:rsidRPr="00EC65D9">
        <w:rPr>
          <w:rFonts w:cs="Arial"/>
        </w:rPr>
        <w:t xml:space="preserve"> and staff skills and competencies</w:t>
      </w:r>
      <w:r>
        <w:rPr>
          <w:rFonts w:cs="Arial"/>
        </w:rPr>
        <w:t xml:space="preserve">, </w:t>
      </w:r>
      <w:r w:rsidR="00463BBD" w:rsidRPr="00EC65D9">
        <w:rPr>
          <w:rFonts w:cs="Arial"/>
        </w:rPr>
        <w:t>increasing the number of HCSWs and sharing RN support with Stewart House</w:t>
      </w:r>
      <w:r w:rsidR="009305B6" w:rsidRPr="00EC65D9">
        <w:rPr>
          <w:rFonts w:cs="Arial"/>
        </w:rPr>
        <w:t xml:space="preserve">. </w:t>
      </w:r>
    </w:p>
    <w:p w:rsidR="00C165B1" w:rsidRDefault="00C165B1" w:rsidP="00C165B1">
      <w:pPr>
        <w:pStyle w:val="ListParagraph"/>
        <w:ind w:left="567"/>
        <w:jc w:val="both"/>
        <w:rPr>
          <w:rFonts w:cs="Arial"/>
        </w:rPr>
      </w:pPr>
    </w:p>
    <w:p w:rsidR="004624B1" w:rsidRPr="00BF602D" w:rsidRDefault="004624B1" w:rsidP="004624B1">
      <w:pPr>
        <w:pStyle w:val="ListParagraph"/>
        <w:numPr>
          <w:ilvl w:val="0"/>
          <w:numId w:val="1"/>
        </w:numPr>
        <w:ind w:left="567"/>
        <w:jc w:val="both"/>
        <w:rPr>
          <w:rFonts w:cs="Arial"/>
        </w:rPr>
      </w:pPr>
      <w:r>
        <w:rPr>
          <w:rFonts w:cs="Arial"/>
        </w:rPr>
        <w:t>A review of the NSIs and patient feedback has not identified any staffing impact on the quality and safety of patient care/outcomes.</w:t>
      </w:r>
    </w:p>
    <w:p w:rsidR="0071004F" w:rsidRDefault="0071004F" w:rsidP="000748DD">
      <w:pPr>
        <w:rPr>
          <w:rFonts w:cs="Arial"/>
          <w:b/>
          <w:u w:val="single"/>
        </w:rPr>
      </w:pPr>
    </w:p>
    <w:p w:rsidR="0071004F" w:rsidRDefault="0071004F" w:rsidP="000748DD">
      <w:pPr>
        <w:rPr>
          <w:rFonts w:cs="Arial"/>
          <w:b/>
          <w:u w:val="single"/>
        </w:rPr>
      </w:pPr>
    </w:p>
    <w:p w:rsidR="00A000BC" w:rsidRDefault="00A000BC" w:rsidP="000748DD">
      <w:pPr>
        <w:rPr>
          <w:rFonts w:cs="Arial"/>
          <w:b/>
          <w:u w:val="single"/>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Default="005808F8" w:rsidP="005808F8">
      <w:pPr>
        <w:pStyle w:val="ListParagraph"/>
        <w:ind w:hanging="720"/>
        <w:jc w:val="both"/>
        <w:rPr>
          <w:rFonts w:cs="Arial"/>
          <w:b/>
        </w:rPr>
      </w:pPr>
      <w:r>
        <w:rPr>
          <w:rFonts w:cs="Arial"/>
          <w:b/>
        </w:rPr>
        <w:t>Community Hospitals</w:t>
      </w:r>
    </w:p>
    <w:p w:rsidR="00C165B1" w:rsidRPr="005808F8" w:rsidRDefault="00C165B1" w:rsidP="005808F8">
      <w:pPr>
        <w:pStyle w:val="ListParagraph"/>
        <w:ind w:hanging="720"/>
        <w:jc w:val="both"/>
        <w:rPr>
          <w:rFonts w:cs="Arial"/>
          <w:b/>
        </w:rPr>
      </w:pPr>
    </w:p>
    <w:tbl>
      <w:tblPr>
        <w:tblW w:w="5408" w:type="pct"/>
        <w:jc w:val="center"/>
        <w:tblInd w:w="56" w:type="dxa"/>
        <w:tblLayout w:type="fixed"/>
        <w:tblLook w:val="04A0" w:firstRow="1" w:lastRow="0" w:firstColumn="1" w:lastColumn="0" w:noHBand="0" w:noVBand="1"/>
      </w:tblPr>
      <w:tblGrid>
        <w:gridCol w:w="1489"/>
        <w:gridCol w:w="585"/>
        <w:gridCol w:w="999"/>
        <w:gridCol w:w="978"/>
        <w:gridCol w:w="983"/>
        <w:gridCol w:w="888"/>
        <w:gridCol w:w="850"/>
        <w:gridCol w:w="850"/>
        <w:gridCol w:w="850"/>
        <w:gridCol w:w="480"/>
        <w:gridCol w:w="654"/>
        <w:gridCol w:w="566"/>
        <w:gridCol w:w="568"/>
        <w:gridCol w:w="532"/>
      </w:tblGrid>
      <w:tr w:rsidR="00AB00E4" w:rsidRPr="00A46A39" w:rsidTr="0009320B">
        <w:trPr>
          <w:cantSplit/>
          <w:trHeight w:val="211"/>
          <w:tblHeader/>
          <w:jc w:val="center"/>
        </w:trPr>
        <w:tc>
          <w:tcPr>
            <w:tcW w:w="66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01814" w:rsidRPr="00A46A39" w:rsidRDefault="00E01814"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01814" w:rsidRPr="00A46A39" w:rsidRDefault="00E01814"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4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9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7" w:type="pct"/>
            <w:vMerge w:val="restart"/>
            <w:tcBorders>
              <w:top w:val="single" w:sz="4" w:space="0" w:color="auto"/>
              <w:left w:val="nil"/>
              <w:right w:val="single" w:sz="4" w:space="0" w:color="auto"/>
            </w:tcBorders>
            <w:shd w:val="clear" w:color="auto" w:fill="548DD4" w:themeFill="text2" w:themeFillTint="99"/>
            <w:noWrap/>
            <w:vAlign w:val="center"/>
          </w:tcPr>
          <w:p w:rsidR="00E01814" w:rsidRPr="00A46A39" w:rsidRDefault="00E01814"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377" w:type="pct"/>
            <w:tcBorders>
              <w:top w:val="single" w:sz="4" w:space="0" w:color="auto"/>
              <w:left w:val="nil"/>
              <w:bottom w:val="single" w:sz="4" w:space="0" w:color="auto"/>
              <w:right w:val="single" w:sz="4" w:space="0" w:color="auto"/>
            </w:tcBorders>
            <w:shd w:val="clear" w:color="auto" w:fill="548DD4" w:themeFill="text2" w:themeFillTint="99"/>
            <w:vAlign w:val="center"/>
          </w:tcPr>
          <w:p w:rsidR="00E01814" w:rsidRPr="00A46A39" w:rsidRDefault="00E01814"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377" w:type="pct"/>
            <w:tcBorders>
              <w:top w:val="single" w:sz="4" w:space="0" w:color="auto"/>
              <w:left w:val="single" w:sz="4" w:space="0" w:color="auto"/>
              <w:right w:val="single" w:sz="4" w:space="0" w:color="auto"/>
            </w:tcBorders>
            <w:shd w:val="clear" w:color="auto" w:fill="548DD4" w:themeFill="text2" w:themeFillTint="99"/>
            <w:textDirection w:val="btLr"/>
          </w:tcPr>
          <w:p w:rsidR="00E01814" w:rsidRPr="00A46A39" w:rsidRDefault="00E01814" w:rsidP="009305B6">
            <w:pPr>
              <w:ind w:left="30" w:right="113"/>
              <w:jc w:val="center"/>
              <w:rPr>
                <w:rFonts w:cs="Arial"/>
                <w:b/>
                <w:color w:val="FFFFFF" w:themeColor="background1"/>
                <w:sz w:val="18"/>
                <w:szCs w:val="18"/>
              </w:rPr>
            </w:pPr>
          </w:p>
        </w:tc>
        <w:tc>
          <w:tcPr>
            <w:tcW w:w="21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01814" w:rsidRPr="00A46A39" w:rsidRDefault="00E01814"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01814" w:rsidRPr="00A46A39" w:rsidRDefault="00E01814"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01814" w:rsidRPr="00A46A39" w:rsidRDefault="00E01814"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01814" w:rsidRPr="00A46A39" w:rsidRDefault="00E01814"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23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01814" w:rsidRPr="00A46A39" w:rsidRDefault="00E01814"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B00E4" w:rsidRPr="00A46A39" w:rsidTr="00705C6C">
        <w:trPr>
          <w:cantSplit/>
          <w:trHeight w:val="1818"/>
          <w:tblHeader/>
          <w:jc w:val="center"/>
        </w:trPr>
        <w:tc>
          <w:tcPr>
            <w:tcW w:w="660" w:type="pct"/>
            <w:vMerge/>
            <w:tcBorders>
              <w:left w:val="single" w:sz="4" w:space="0" w:color="auto"/>
              <w:bottom w:val="single" w:sz="4" w:space="0" w:color="auto"/>
              <w:right w:val="single" w:sz="4" w:space="0" w:color="auto"/>
            </w:tcBorders>
            <w:shd w:val="clear" w:color="auto" w:fill="C6D9F1"/>
            <w:noWrap/>
            <w:vAlign w:val="center"/>
          </w:tcPr>
          <w:p w:rsidR="00E01814" w:rsidRPr="00A46A39" w:rsidRDefault="00E01814" w:rsidP="009305B6">
            <w:pPr>
              <w:jc w:val="center"/>
              <w:rPr>
                <w:rFonts w:cs="Arial"/>
                <w:b/>
                <w:sz w:val="18"/>
                <w:szCs w:val="18"/>
              </w:rPr>
            </w:pPr>
          </w:p>
        </w:tc>
        <w:tc>
          <w:tcPr>
            <w:tcW w:w="259" w:type="pct"/>
            <w:vMerge/>
            <w:tcBorders>
              <w:left w:val="nil"/>
              <w:bottom w:val="single" w:sz="4" w:space="0" w:color="auto"/>
              <w:right w:val="single" w:sz="4" w:space="0" w:color="auto"/>
            </w:tcBorders>
            <w:shd w:val="clear" w:color="auto" w:fill="C6D9F1"/>
            <w:textDirection w:val="btLr"/>
            <w:vAlign w:val="center"/>
          </w:tcPr>
          <w:p w:rsidR="00E01814" w:rsidRPr="00A46A39" w:rsidRDefault="00E01814" w:rsidP="009305B6">
            <w:pPr>
              <w:ind w:left="113" w:right="113"/>
              <w:jc w:val="center"/>
              <w:rPr>
                <w:rFonts w:cs="Arial"/>
                <w:b/>
                <w:sz w:val="18"/>
                <w:szCs w:val="18"/>
              </w:rPr>
            </w:pPr>
          </w:p>
        </w:tc>
        <w:tc>
          <w:tcPr>
            <w:tcW w:w="443"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46"/>
              <w:jc w:val="center"/>
              <w:rPr>
                <w:rFonts w:cs="Arial"/>
                <w:b/>
                <w:color w:val="FFFFFF"/>
                <w:sz w:val="18"/>
                <w:szCs w:val="18"/>
              </w:rPr>
            </w:pPr>
            <w:r w:rsidRPr="00A46A39">
              <w:rPr>
                <w:rFonts w:cs="Arial"/>
                <w:b/>
                <w:color w:val="FFFFFF"/>
                <w:sz w:val="18"/>
                <w:szCs w:val="18"/>
              </w:rPr>
              <w:t>% of actual vs total planned shifts care</w:t>
            </w:r>
          </w:p>
          <w:p w:rsidR="00E01814" w:rsidRPr="00A46A39" w:rsidRDefault="00E01814" w:rsidP="009305B6">
            <w:pPr>
              <w:ind w:left="30"/>
              <w:jc w:val="center"/>
              <w:rPr>
                <w:rFonts w:cs="Arial"/>
                <w:b/>
                <w:color w:val="FFFFFF"/>
                <w:sz w:val="18"/>
                <w:szCs w:val="18"/>
              </w:rPr>
            </w:pPr>
            <w:r w:rsidRPr="00A46A39">
              <w:rPr>
                <w:rFonts w:cs="Arial"/>
                <w:b/>
                <w:color w:val="FFFFFF"/>
                <w:sz w:val="18"/>
                <w:szCs w:val="18"/>
              </w:rPr>
              <w:t>HCSW</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30"/>
              <w:jc w:val="center"/>
              <w:rPr>
                <w:rFonts w:cs="Arial"/>
                <w:b/>
                <w:color w:val="FFFFFF"/>
                <w:sz w:val="18"/>
                <w:szCs w:val="18"/>
              </w:rPr>
            </w:pPr>
            <w:r w:rsidRPr="00A46A39">
              <w:rPr>
                <w:rFonts w:cs="Arial"/>
                <w:b/>
                <w:color w:val="FFFFFF"/>
                <w:sz w:val="18"/>
                <w:szCs w:val="18"/>
              </w:rPr>
              <w:t>% of actual vs total planned shifts RN</w:t>
            </w:r>
          </w:p>
          <w:p w:rsidR="00E01814" w:rsidRPr="00A46A39" w:rsidRDefault="00E01814" w:rsidP="009305B6">
            <w:pPr>
              <w:ind w:left="30"/>
              <w:jc w:val="center"/>
              <w:rPr>
                <w:rFonts w:cs="Arial"/>
                <w:b/>
                <w:color w:val="FFFFFF"/>
                <w:sz w:val="18"/>
                <w:szCs w:val="18"/>
              </w:rPr>
            </w:pPr>
          </w:p>
        </w:tc>
        <w:tc>
          <w:tcPr>
            <w:tcW w:w="39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30"/>
              <w:jc w:val="center"/>
              <w:rPr>
                <w:rFonts w:cs="Arial"/>
                <w:b/>
                <w:color w:val="FFFFFF"/>
                <w:sz w:val="18"/>
                <w:szCs w:val="18"/>
              </w:rPr>
            </w:pPr>
            <w:r w:rsidRPr="00A46A39">
              <w:rPr>
                <w:rFonts w:cs="Arial"/>
                <w:b/>
                <w:color w:val="FFFFFF"/>
                <w:sz w:val="18"/>
                <w:szCs w:val="18"/>
              </w:rPr>
              <w:t>% of actual vs total planned shifts care</w:t>
            </w:r>
          </w:p>
          <w:p w:rsidR="00E01814" w:rsidRPr="00A46A39" w:rsidRDefault="00E01814" w:rsidP="009305B6">
            <w:pPr>
              <w:ind w:left="30"/>
              <w:jc w:val="center"/>
              <w:rPr>
                <w:rFonts w:cs="Arial"/>
                <w:b/>
                <w:color w:val="FFFFFF"/>
                <w:sz w:val="18"/>
                <w:szCs w:val="18"/>
              </w:rPr>
            </w:pPr>
            <w:r w:rsidRPr="00A46A39">
              <w:rPr>
                <w:rFonts w:cs="Arial"/>
                <w:b/>
                <w:color w:val="FFFFFF"/>
                <w:sz w:val="18"/>
                <w:szCs w:val="18"/>
              </w:rPr>
              <w:t>HCSW</w:t>
            </w:r>
          </w:p>
          <w:p w:rsidR="00E01814" w:rsidRPr="00A46A39" w:rsidRDefault="00E01814" w:rsidP="009305B6">
            <w:pPr>
              <w:ind w:left="30"/>
              <w:jc w:val="center"/>
              <w:rPr>
                <w:rFonts w:cs="Arial"/>
                <w:b/>
                <w:color w:val="FFFFFF"/>
                <w:sz w:val="18"/>
                <w:szCs w:val="18"/>
              </w:rPr>
            </w:pPr>
          </w:p>
        </w:tc>
        <w:tc>
          <w:tcPr>
            <w:tcW w:w="377" w:type="pct"/>
            <w:vMerge/>
            <w:tcBorders>
              <w:left w:val="nil"/>
              <w:bottom w:val="single" w:sz="4" w:space="0" w:color="auto"/>
              <w:right w:val="single" w:sz="4" w:space="0" w:color="auto"/>
            </w:tcBorders>
            <w:shd w:val="clear" w:color="auto" w:fill="548DD4" w:themeFill="text2" w:themeFillTint="99"/>
            <w:noWrap/>
            <w:vAlign w:val="center"/>
          </w:tcPr>
          <w:p w:rsidR="00E01814" w:rsidRPr="00A46A39" w:rsidRDefault="00E01814" w:rsidP="009305B6">
            <w:pPr>
              <w:ind w:left="30"/>
              <w:jc w:val="center"/>
              <w:rPr>
                <w:rFonts w:cs="Arial"/>
                <w:b/>
                <w:color w:val="FFFFFF"/>
                <w:sz w:val="18"/>
                <w:szCs w:val="18"/>
              </w:rPr>
            </w:pPr>
          </w:p>
        </w:tc>
        <w:tc>
          <w:tcPr>
            <w:tcW w:w="377" w:type="pct"/>
            <w:tcBorders>
              <w:top w:val="single" w:sz="4" w:space="0" w:color="auto"/>
              <w:left w:val="nil"/>
              <w:bottom w:val="single" w:sz="4" w:space="0" w:color="auto"/>
              <w:right w:val="single" w:sz="4" w:space="0" w:color="auto"/>
            </w:tcBorders>
            <w:shd w:val="clear" w:color="auto" w:fill="548DD4" w:themeFill="text2" w:themeFillTint="99"/>
            <w:vAlign w:val="center"/>
          </w:tcPr>
          <w:p w:rsidR="00E01814" w:rsidRPr="00A46A39" w:rsidRDefault="00E01814" w:rsidP="009305B6">
            <w:pPr>
              <w:ind w:left="30"/>
              <w:jc w:val="center"/>
              <w:rPr>
                <w:rFonts w:cs="Arial"/>
                <w:b/>
                <w:color w:val="FFFFFF"/>
                <w:sz w:val="18"/>
                <w:szCs w:val="18"/>
              </w:rPr>
            </w:pPr>
            <w:r w:rsidRPr="00A46A39">
              <w:rPr>
                <w:rFonts w:cs="Arial"/>
                <w:b/>
                <w:color w:val="FFFFFF"/>
                <w:sz w:val="18"/>
                <w:szCs w:val="18"/>
              </w:rPr>
              <w:t>Care Hours</w:t>
            </w:r>
          </w:p>
          <w:p w:rsidR="00E01814" w:rsidRPr="00A46A39" w:rsidRDefault="00E01814" w:rsidP="009305B6">
            <w:pPr>
              <w:ind w:left="30"/>
              <w:jc w:val="center"/>
              <w:rPr>
                <w:rFonts w:cs="Arial"/>
                <w:b/>
                <w:color w:val="FFFFFF"/>
                <w:sz w:val="18"/>
                <w:szCs w:val="18"/>
              </w:rPr>
            </w:pPr>
            <w:r w:rsidRPr="00A46A39">
              <w:rPr>
                <w:rFonts w:cs="Arial"/>
                <w:b/>
                <w:color w:val="FFFFFF"/>
                <w:sz w:val="18"/>
                <w:szCs w:val="18"/>
              </w:rPr>
              <w:t>Per Patient Day</w:t>
            </w:r>
          </w:p>
        </w:tc>
        <w:tc>
          <w:tcPr>
            <w:tcW w:w="377" w:type="pct"/>
            <w:tcBorders>
              <w:left w:val="single" w:sz="4" w:space="0" w:color="auto"/>
              <w:bottom w:val="single" w:sz="4" w:space="0" w:color="auto"/>
              <w:right w:val="single" w:sz="4" w:space="0" w:color="auto"/>
            </w:tcBorders>
            <w:shd w:val="clear" w:color="auto" w:fill="548DD4" w:themeFill="text2" w:themeFillTint="99"/>
            <w:textDirection w:val="btLr"/>
          </w:tcPr>
          <w:p w:rsidR="00E01814" w:rsidRPr="00A46A39" w:rsidRDefault="00E01814" w:rsidP="008B52C8">
            <w:pPr>
              <w:ind w:left="30" w:right="113"/>
              <w:jc w:val="center"/>
              <w:rPr>
                <w:rFonts w:cs="Arial"/>
                <w:b/>
                <w:sz w:val="18"/>
                <w:szCs w:val="18"/>
              </w:rPr>
            </w:pPr>
            <w:r w:rsidRPr="00AB00E4">
              <w:rPr>
                <w:rFonts w:cs="Arial"/>
                <w:b/>
                <w:color w:val="FFFFFF" w:themeColor="background1"/>
                <w:sz w:val="18"/>
                <w:szCs w:val="18"/>
              </w:rPr>
              <w:t>Vacancy rate</w:t>
            </w:r>
            <w:r w:rsidR="00AB00E4">
              <w:rPr>
                <w:rFonts w:cs="Arial"/>
                <w:b/>
                <w:color w:val="FFFFFF" w:themeColor="background1"/>
                <w:sz w:val="18"/>
                <w:szCs w:val="18"/>
              </w:rPr>
              <w:t xml:space="preserve"> %</w:t>
            </w:r>
          </w:p>
        </w:tc>
        <w:tc>
          <w:tcPr>
            <w:tcW w:w="213" w:type="pct"/>
            <w:vMerge/>
            <w:tcBorders>
              <w:left w:val="single" w:sz="4" w:space="0" w:color="auto"/>
              <w:bottom w:val="single" w:sz="4" w:space="0" w:color="auto"/>
              <w:right w:val="single" w:sz="4" w:space="0" w:color="auto"/>
            </w:tcBorders>
            <w:shd w:val="clear" w:color="auto" w:fill="95B3D7"/>
            <w:noWrap/>
            <w:textDirection w:val="btLr"/>
            <w:vAlign w:val="center"/>
          </w:tcPr>
          <w:p w:rsidR="00E01814" w:rsidRPr="00A46A39" w:rsidRDefault="00E01814" w:rsidP="009305B6">
            <w:pPr>
              <w:ind w:left="30" w:right="113"/>
              <w:jc w:val="center"/>
              <w:rPr>
                <w:rFonts w:cs="Arial"/>
                <w:b/>
                <w:sz w:val="18"/>
                <w:szCs w:val="18"/>
              </w:rPr>
            </w:pPr>
          </w:p>
        </w:tc>
        <w:tc>
          <w:tcPr>
            <w:tcW w:w="290"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01814" w:rsidRPr="00A46A39" w:rsidRDefault="00E01814" w:rsidP="009305B6">
            <w:pPr>
              <w:ind w:left="46" w:right="113"/>
              <w:jc w:val="center"/>
              <w:rPr>
                <w:rFonts w:cs="Arial"/>
                <w:b/>
                <w:sz w:val="18"/>
                <w:szCs w:val="18"/>
              </w:rPr>
            </w:pPr>
          </w:p>
        </w:tc>
        <w:tc>
          <w:tcPr>
            <w:tcW w:w="251"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01814" w:rsidRPr="00A46A39" w:rsidRDefault="00E01814" w:rsidP="00092D5B">
            <w:pPr>
              <w:ind w:left="113" w:right="113"/>
              <w:jc w:val="center"/>
              <w:rPr>
                <w:rFonts w:cs="Arial"/>
                <w:b/>
                <w:color w:val="FFFFFF" w:themeColor="background1"/>
                <w:sz w:val="18"/>
                <w:szCs w:val="18"/>
              </w:rPr>
            </w:pPr>
          </w:p>
        </w:tc>
        <w:tc>
          <w:tcPr>
            <w:tcW w:w="252"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01814" w:rsidRPr="00A46A39" w:rsidRDefault="00E01814" w:rsidP="009305B6">
            <w:pPr>
              <w:ind w:left="30" w:right="113"/>
              <w:jc w:val="center"/>
              <w:rPr>
                <w:rFonts w:cs="Arial"/>
                <w:b/>
                <w:sz w:val="18"/>
                <w:szCs w:val="18"/>
              </w:rPr>
            </w:pPr>
          </w:p>
        </w:tc>
        <w:tc>
          <w:tcPr>
            <w:tcW w:w="236" w:type="pct"/>
            <w:vMerge/>
            <w:tcBorders>
              <w:left w:val="nil"/>
              <w:bottom w:val="single" w:sz="4" w:space="0" w:color="auto"/>
              <w:right w:val="single" w:sz="4" w:space="0" w:color="auto"/>
            </w:tcBorders>
            <w:shd w:val="clear" w:color="auto" w:fill="95B3D7"/>
            <w:textDirection w:val="btLr"/>
            <w:vAlign w:val="center"/>
          </w:tcPr>
          <w:p w:rsidR="00E01814" w:rsidRPr="00A46A39" w:rsidRDefault="00E01814" w:rsidP="009305B6">
            <w:pPr>
              <w:ind w:left="30" w:right="113"/>
              <w:jc w:val="center"/>
              <w:rPr>
                <w:rFonts w:cs="Arial"/>
                <w:b/>
                <w:sz w:val="18"/>
                <w:szCs w:val="18"/>
              </w:rPr>
            </w:pP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FP General</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7</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125.3%</w:t>
            </w:r>
          </w:p>
        </w:tc>
        <w:tc>
          <w:tcPr>
            <w:tcW w:w="434" w:type="pct"/>
            <w:tcBorders>
              <w:top w:val="single" w:sz="4" w:space="0" w:color="auto"/>
              <w:left w:val="nil"/>
              <w:bottom w:val="single" w:sz="4" w:space="0" w:color="auto"/>
              <w:right w:val="single" w:sz="4" w:space="0" w:color="auto"/>
            </w:tcBorders>
            <w:shd w:val="clear" w:color="auto" w:fill="FF0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78.8%</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31.8%</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7.7</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AB00E4" w:rsidP="0009320B">
            <w:pPr>
              <w:jc w:val="center"/>
              <w:rPr>
                <w:rFonts w:asciiTheme="minorHAnsi" w:hAnsiTheme="minorHAnsi" w:cs="Arial"/>
                <w:color w:val="000000"/>
                <w:sz w:val="18"/>
                <w:szCs w:val="18"/>
              </w:rPr>
            </w:pPr>
            <w:r w:rsidRPr="00AB00E4">
              <w:rPr>
                <w:rFonts w:asciiTheme="minorHAnsi" w:hAnsiTheme="minorHAnsi" w:cs="Arial"/>
                <w:color w:val="000000"/>
                <w:sz w:val="18"/>
                <w:szCs w:val="18"/>
              </w:rPr>
              <w:t>36.41</w:t>
            </w:r>
            <w:r w:rsidRPr="00AB00E4">
              <w:rPr>
                <w:rFonts w:asciiTheme="minorHAnsi" w:hAnsiTheme="minorHAnsi" w:cs="Arial"/>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7</w:t>
            </w:r>
            <w:r w:rsidR="00E01814" w:rsidRPr="008B52C8">
              <w:rPr>
                <w:rFonts w:asciiTheme="minorHAnsi" w:hAnsiTheme="minorHAnsi" w:cs="Arial"/>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100</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Pr>
                <w:rFonts w:cs="Arial"/>
                <w:color w:val="000000"/>
                <w:sz w:val="18"/>
                <w:szCs w:val="18"/>
              </w:rPr>
              <w:t>MM Dalglie</w:t>
            </w:r>
            <w:r w:rsidRPr="00C92BB4">
              <w:rPr>
                <w:rFonts w:cs="Arial"/>
                <w:color w:val="000000"/>
                <w:sz w:val="18"/>
                <w:szCs w:val="18"/>
              </w:rPr>
              <w:t>sh</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15</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99.1%</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125.0%</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15.4%</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7.2</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AB00E4" w:rsidP="0009320B">
            <w:pPr>
              <w:tabs>
                <w:tab w:val="center" w:pos="175"/>
              </w:tabs>
              <w:jc w:val="center"/>
              <w:rPr>
                <w:rFonts w:asciiTheme="minorHAnsi" w:hAnsiTheme="minorHAnsi" w:cs="Arial"/>
                <w:color w:val="000000"/>
                <w:sz w:val="18"/>
                <w:szCs w:val="18"/>
              </w:rPr>
            </w:pPr>
            <w:r>
              <w:rPr>
                <w:rFonts w:asciiTheme="minorHAnsi" w:hAnsiTheme="minorHAnsi" w:cs="Arial"/>
                <w:color w:val="000000"/>
                <w:sz w:val="18"/>
                <w:szCs w:val="18"/>
              </w:rPr>
              <w:t>4.5</w:t>
            </w:r>
            <w:r w:rsidRPr="001833A9">
              <w:rPr>
                <w:rFonts w:cs="Arial"/>
                <w:b/>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tabs>
                <w:tab w:val="center" w:pos="175"/>
              </w:tabs>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3</w:t>
            </w:r>
            <w:r w:rsidR="00E01814"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100</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Rutland</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15</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100.9%</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120.5%</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12.2%</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5.8</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30.9</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w:t>
            </w:r>
            <w:r w:rsidRPr="008B52C8">
              <w:rPr>
                <w:rFonts w:asciiTheme="minorHAnsi" w:hAnsiTheme="minorHAnsi" w:cs="Arial"/>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w:t>
            </w:r>
            <w:r w:rsidR="00E01814"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SL Ward 1</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13</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97.4%</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192.2%</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25.9%</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10.9</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sz w:val="18"/>
                <w:szCs w:val="18"/>
              </w:rPr>
            </w:pPr>
            <w:r>
              <w:rPr>
                <w:rFonts w:asciiTheme="minorHAnsi" w:hAnsiTheme="minorHAnsi" w:cs="Arial"/>
                <w:sz w:val="18"/>
                <w:szCs w:val="18"/>
              </w:rPr>
              <w:t>22.8</w:t>
            </w:r>
            <w:r w:rsidRPr="008B52C8">
              <w:rPr>
                <w:rFonts w:asciiTheme="minorHAnsi" w:hAnsiTheme="minorHAnsi" w:cs="Arial"/>
                <w:color w:val="000000"/>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FF0000"/>
                <w:sz w:val="18"/>
                <w:szCs w:val="18"/>
              </w:rPr>
            </w:pPr>
            <w:r w:rsidRPr="008B52C8">
              <w:rPr>
                <w:rFonts w:asciiTheme="minorHAnsi" w:hAnsiTheme="minorHAnsi" w:cs="Arial"/>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6</w:t>
            </w:r>
            <w:r w:rsidRPr="008B52C8">
              <w:rPr>
                <w:rFonts w:asciiTheme="minorHAnsi" w:hAnsiTheme="minorHAnsi" w:cs="Arial"/>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85.7</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SL Ward 3</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12</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97.3%</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112.5%</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32.6%</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8.2</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26.3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Pr="008B52C8">
              <w:rPr>
                <w:rFonts w:asciiTheme="minorHAnsi" w:hAnsiTheme="minorHAnsi" w:cs="Arial"/>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100</w:t>
            </w:r>
          </w:p>
        </w:tc>
      </w:tr>
      <w:tr w:rsidR="00AB00E4" w:rsidRPr="000F5473"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CV Ellistown 2</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22</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113.4%</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180.4%</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203.6%</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121.4%</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11.5%</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6.4</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5.8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 xml:space="preserve"> </w:t>
            </w:r>
            <w:r w:rsidR="008B52C8">
              <w:rPr>
                <w:rFonts w:asciiTheme="minorHAnsi" w:hAnsiTheme="minorHAnsi" w:cs="Arial"/>
                <w:color w:val="000000"/>
                <w:sz w:val="18"/>
                <w:szCs w:val="18"/>
              </w:rPr>
              <w:t>0</w:t>
            </w:r>
            <w:r w:rsidR="008B52C8" w:rsidRPr="008B52C8">
              <w:rPr>
                <w:rFonts w:asciiTheme="minorHAnsi" w:hAnsiTheme="minorHAnsi" w:cs="Arial"/>
                <w:color w:val="000000"/>
                <w:sz w:val="18"/>
                <w:szCs w:val="18"/>
              </w:rPr>
              <w:t>↓</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0009320B" w:rsidRPr="008B52C8">
              <w:rPr>
                <w:rFonts w:asciiTheme="minorHAnsi" w:hAnsiTheme="minorHAnsi" w:cs="Arial"/>
                <w:sz w:val="18"/>
                <w:szCs w:val="18"/>
              </w:rPr>
              <w:t>↑</w:t>
            </w:r>
          </w:p>
        </w:tc>
        <w:tc>
          <w:tcPr>
            <w:tcW w:w="236" w:type="pct"/>
            <w:tcBorders>
              <w:top w:val="single" w:sz="4" w:space="0" w:color="auto"/>
              <w:left w:val="nil"/>
              <w:bottom w:val="single" w:sz="4" w:space="0" w:color="auto"/>
              <w:right w:val="single" w:sz="4" w:space="0" w:color="auto"/>
            </w:tcBorders>
            <w:vAlign w:val="center"/>
          </w:tcPr>
          <w:p w:rsidR="00E01814" w:rsidRPr="008B52C8" w:rsidRDefault="00AB00E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100</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CV Snibston 1</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13</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104.3%</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183.9%</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91.1%</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6.1%</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10.5</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20.0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w:t>
            </w:r>
            <w:r w:rsidRPr="008B52C8">
              <w:rPr>
                <w:rFonts w:asciiTheme="minorHAnsi" w:hAnsiTheme="minorHAnsi" w:cs="Arial"/>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88.9</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HB East Ward</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19</w:t>
            </w:r>
          </w:p>
        </w:tc>
        <w:tc>
          <w:tcPr>
            <w:tcW w:w="443"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69.9%</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219.6%</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110.7%</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22.3%</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8.5</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14.3</w:t>
            </w:r>
            <w:r w:rsidRPr="008B52C8">
              <w:rPr>
                <w:rFonts w:asciiTheme="minorHAnsi" w:hAnsiTheme="minorHAnsi" w:cs="Arial"/>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r w:rsidRPr="008B52C8">
              <w:rPr>
                <w:rFonts w:asciiTheme="minorHAnsi" w:hAnsiTheme="minorHAnsi" w:cs="Arial"/>
                <w:color w:val="000000"/>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3</w:t>
            </w:r>
          </w:p>
        </w:tc>
        <w:tc>
          <w:tcPr>
            <w:tcW w:w="251" w:type="pct"/>
            <w:tcBorders>
              <w:top w:val="single" w:sz="4" w:space="0" w:color="auto"/>
              <w:left w:val="nil"/>
              <w:bottom w:val="single" w:sz="4" w:space="0" w:color="auto"/>
              <w:right w:val="single" w:sz="4" w:space="0" w:color="auto"/>
            </w:tcBorders>
            <w:shd w:val="clear" w:color="auto" w:fill="auto"/>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shd w:val="clear" w:color="auto" w:fill="auto"/>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AB00E4" w:rsidRPr="00A46A39" w:rsidTr="0009320B">
        <w:trPr>
          <w:trHeight w:val="243"/>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HB North Ward</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8B52C8">
            <w:pPr>
              <w:rPr>
                <w:rFonts w:ascii="Calibri" w:hAnsi="Calibri"/>
                <w:color w:val="000000"/>
                <w:sz w:val="18"/>
                <w:szCs w:val="18"/>
              </w:rPr>
            </w:pPr>
            <w:r w:rsidRPr="00B8608C">
              <w:rPr>
                <w:rFonts w:ascii="Calibri" w:hAnsi="Calibri"/>
                <w:color w:val="000000"/>
                <w:sz w:val="18"/>
                <w:szCs w:val="18"/>
              </w:rPr>
              <w:t>15</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183.9%</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108.9%</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22.4%</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7.6</w:t>
            </w:r>
          </w:p>
        </w:tc>
        <w:tc>
          <w:tcPr>
            <w:tcW w:w="377" w:type="pct"/>
            <w:tcBorders>
              <w:top w:val="single" w:sz="4" w:space="0" w:color="auto"/>
              <w:left w:val="single" w:sz="4" w:space="0" w:color="auto"/>
              <w:bottom w:val="single" w:sz="4" w:space="0" w:color="auto"/>
              <w:right w:val="single" w:sz="4" w:space="0" w:color="auto"/>
            </w:tcBorders>
          </w:tcPr>
          <w:p w:rsidR="008B52C8" w:rsidRPr="00AB00E4"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1.2</w:t>
            </w:r>
            <w:r w:rsidRPr="008B52C8">
              <w:rPr>
                <w:rFonts w:asciiTheme="minorHAnsi" w:hAnsiTheme="minorHAnsi" w:cs="Arial"/>
                <w:color w:val="000000"/>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8B52C8" w:rsidP="0009320B">
            <w:pPr>
              <w:jc w:val="center"/>
              <w:rPr>
                <w:rFonts w:asciiTheme="minorHAnsi" w:hAnsiTheme="minorHAnsi" w:cs="Arial"/>
                <w:sz w:val="18"/>
                <w:szCs w:val="18"/>
              </w:rPr>
            </w:pPr>
            <w:r>
              <w:rPr>
                <w:rFonts w:asciiTheme="minorHAnsi" w:hAnsiTheme="minorHAnsi" w:cs="Arial"/>
                <w:sz w:val="18"/>
                <w:szCs w:val="18"/>
              </w:rPr>
              <w:t>3</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8B52C8" w:rsidP="0009320B">
            <w:pPr>
              <w:jc w:val="center"/>
              <w:rPr>
                <w:rFonts w:asciiTheme="minorHAnsi" w:hAnsiTheme="minorHAnsi" w:cs="Arial"/>
                <w:color w:val="000000"/>
                <w:sz w:val="18"/>
                <w:szCs w:val="18"/>
              </w:rPr>
            </w:pPr>
            <w:r>
              <w:rPr>
                <w:rFonts w:asciiTheme="minorHAnsi" w:hAnsiTheme="minorHAnsi" w:cs="Arial"/>
                <w:color w:val="000000"/>
                <w:sz w:val="18"/>
                <w:szCs w:val="18"/>
              </w:rPr>
              <w:t>0</w:t>
            </w:r>
            <w:r w:rsidRPr="008B52C8">
              <w:rPr>
                <w:rFonts w:asciiTheme="minorHAnsi" w:hAnsiTheme="minorHAnsi" w:cs="Arial"/>
                <w:color w:val="000000"/>
                <w:sz w:val="18"/>
                <w:szCs w:val="18"/>
              </w:rPr>
              <w:t>↓</w:t>
            </w:r>
          </w:p>
        </w:tc>
        <w:tc>
          <w:tcPr>
            <w:tcW w:w="236"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AB00E4" w:rsidRPr="00A46A39" w:rsidTr="0009320B">
        <w:trPr>
          <w:trHeight w:val="417"/>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802BCA">
            <w:pPr>
              <w:spacing w:line="276" w:lineRule="auto"/>
              <w:rPr>
                <w:rFonts w:cs="Arial"/>
                <w:color w:val="000000"/>
                <w:sz w:val="18"/>
                <w:szCs w:val="18"/>
              </w:rPr>
            </w:pPr>
            <w:r w:rsidRPr="00C92BB4">
              <w:rPr>
                <w:rFonts w:cs="Arial"/>
                <w:color w:val="000000"/>
                <w:sz w:val="18"/>
                <w:szCs w:val="18"/>
              </w:rPr>
              <w:t>Loughborough Swithland</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8B52C8">
            <w:pPr>
              <w:rPr>
                <w:rFonts w:ascii="Calibri" w:hAnsi="Calibri"/>
                <w:color w:val="000000"/>
                <w:sz w:val="18"/>
                <w:szCs w:val="18"/>
              </w:rPr>
            </w:pPr>
            <w:r w:rsidRPr="00B8608C">
              <w:rPr>
                <w:rFonts w:ascii="Calibri" w:hAnsi="Calibri"/>
                <w:color w:val="000000"/>
                <w:sz w:val="18"/>
                <w:szCs w:val="18"/>
              </w:rPr>
              <w:t>22</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193.8%</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203.6%</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14.9%</w:t>
            </w:r>
          </w:p>
        </w:tc>
        <w:tc>
          <w:tcPr>
            <w:tcW w:w="377" w:type="pct"/>
            <w:tcBorders>
              <w:top w:val="single" w:sz="4" w:space="0" w:color="auto"/>
              <w:left w:val="nil"/>
              <w:bottom w:val="single" w:sz="4" w:space="0" w:color="auto"/>
              <w:right w:val="single" w:sz="4" w:space="0" w:color="auto"/>
            </w:tcBorders>
            <w:shd w:val="clear" w:color="auto" w:fill="FFFFFF"/>
            <w:vAlign w:val="center"/>
          </w:tcPr>
          <w:p w:rsidR="0009320B" w:rsidRDefault="0009320B" w:rsidP="0009320B">
            <w:pPr>
              <w:jc w:val="center"/>
              <w:rPr>
                <w:rFonts w:ascii="Calibri" w:hAnsi="Calibri" w:cs="Arial"/>
                <w:color w:val="000000"/>
                <w:sz w:val="18"/>
                <w:szCs w:val="18"/>
              </w:rPr>
            </w:pPr>
          </w:p>
          <w:p w:rsidR="00E01814" w:rsidRPr="00B8608C" w:rsidRDefault="00E01814" w:rsidP="0009320B">
            <w:pPr>
              <w:jc w:val="center"/>
              <w:rPr>
                <w:rFonts w:ascii="Calibri" w:hAnsi="Calibri" w:cs="Arial"/>
                <w:color w:val="000000"/>
                <w:sz w:val="18"/>
                <w:szCs w:val="18"/>
              </w:rPr>
            </w:pPr>
            <w:r w:rsidRPr="00B8608C">
              <w:rPr>
                <w:rFonts w:ascii="Calibri" w:hAnsi="Calibri" w:cs="Arial"/>
                <w:color w:val="000000"/>
                <w:sz w:val="18"/>
                <w:szCs w:val="18"/>
              </w:rPr>
              <w:t>6.9</w:t>
            </w:r>
          </w:p>
        </w:tc>
        <w:tc>
          <w:tcPr>
            <w:tcW w:w="377" w:type="pct"/>
            <w:tcBorders>
              <w:top w:val="single" w:sz="4" w:space="0" w:color="auto"/>
              <w:left w:val="single" w:sz="4" w:space="0" w:color="auto"/>
              <w:bottom w:val="single" w:sz="4" w:space="0" w:color="auto"/>
              <w:right w:val="single" w:sz="4" w:space="0" w:color="auto"/>
            </w:tcBorders>
          </w:tcPr>
          <w:p w:rsidR="0009320B" w:rsidRDefault="0009320B" w:rsidP="0009320B">
            <w:pPr>
              <w:jc w:val="center"/>
              <w:rPr>
                <w:rFonts w:asciiTheme="minorHAnsi" w:hAnsiTheme="minorHAnsi" w:cs="Arial"/>
                <w:color w:val="000000"/>
                <w:sz w:val="18"/>
                <w:szCs w:val="18"/>
              </w:rPr>
            </w:pPr>
          </w:p>
          <w:p w:rsidR="0009320B" w:rsidRPr="00AB00E4"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27.1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320B" w:rsidRDefault="0009320B" w:rsidP="0009320B">
            <w:pPr>
              <w:jc w:val="center"/>
              <w:rPr>
                <w:rFonts w:asciiTheme="minorHAnsi" w:hAnsiTheme="minorHAnsi" w:cs="Arial"/>
                <w:color w:val="000000"/>
                <w:sz w:val="18"/>
                <w:szCs w:val="18"/>
              </w:rPr>
            </w:pPr>
          </w:p>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320B" w:rsidRDefault="0009320B" w:rsidP="0009320B">
            <w:pPr>
              <w:jc w:val="center"/>
              <w:rPr>
                <w:rFonts w:asciiTheme="minorHAnsi" w:hAnsiTheme="minorHAnsi" w:cs="Arial"/>
                <w:color w:val="000000"/>
                <w:sz w:val="18"/>
                <w:szCs w:val="18"/>
              </w:rPr>
            </w:pPr>
          </w:p>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09320B" w:rsidRDefault="0009320B" w:rsidP="0009320B">
            <w:pPr>
              <w:jc w:val="center"/>
              <w:rPr>
                <w:rFonts w:asciiTheme="minorHAnsi" w:hAnsiTheme="minorHAnsi" w:cs="Arial"/>
                <w:color w:val="000000"/>
                <w:sz w:val="18"/>
                <w:szCs w:val="18"/>
              </w:rPr>
            </w:pPr>
          </w:p>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09320B" w:rsidRDefault="0009320B" w:rsidP="0009320B">
            <w:pPr>
              <w:jc w:val="center"/>
              <w:rPr>
                <w:rFonts w:asciiTheme="minorHAnsi" w:hAnsiTheme="minorHAnsi" w:cs="Arial"/>
                <w:color w:val="000000"/>
                <w:sz w:val="18"/>
                <w:szCs w:val="18"/>
              </w:rPr>
            </w:pPr>
          </w:p>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09320B" w:rsidRDefault="0009320B" w:rsidP="0009320B">
            <w:pPr>
              <w:jc w:val="center"/>
              <w:rPr>
                <w:rFonts w:asciiTheme="minorHAnsi" w:hAnsiTheme="minorHAnsi" w:cs="Arial"/>
                <w:color w:val="000000"/>
                <w:sz w:val="18"/>
                <w:szCs w:val="18"/>
              </w:rPr>
            </w:pPr>
          </w:p>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100</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CB Beechwood</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23</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96.4%</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207.1%</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107.1%</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18.1%</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6.9</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20.6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3</w:t>
            </w:r>
            <w:r w:rsidR="00E01814" w:rsidRPr="008B52C8">
              <w:rPr>
                <w:rFonts w:asciiTheme="minorHAnsi" w:hAnsiTheme="minorHAnsi" w:cs="Arial"/>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4</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36"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A46A39">
            <w:pPr>
              <w:spacing w:line="276" w:lineRule="auto"/>
              <w:rPr>
                <w:rFonts w:cs="Arial"/>
                <w:color w:val="000000"/>
                <w:sz w:val="18"/>
                <w:szCs w:val="18"/>
              </w:rPr>
            </w:pPr>
            <w:r w:rsidRPr="00C92BB4">
              <w:rPr>
                <w:rFonts w:cs="Arial"/>
                <w:color w:val="000000"/>
                <w:sz w:val="18"/>
                <w:szCs w:val="18"/>
              </w:rPr>
              <w:t>CB Clarendon</w:t>
            </w:r>
          </w:p>
        </w:tc>
        <w:tc>
          <w:tcPr>
            <w:tcW w:w="259" w:type="pct"/>
            <w:tcBorders>
              <w:top w:val="single" w:sz="4" w:space="0" w:color="auto"/>
              <w:left w:val="nil"/>
              <w:bottom w:val="single" w:sz="4" w:space="0" w:color="auto"/>
              <w:right w:val="single" w:sz="4" w:space="0" w:color="auto"/>
            </w:tcBorders>
            <w:vAlign w:val="bottom"/>
          </w:tcPr>
          <w:p w:rsidR="00E01814" w:rsidRPr="00B8608C" w:rsidRDefault="00E01814" w:rsidP="00D177B4">
            <w:pPr>
              <w:jc w:val="center"/>
              <w:rPr>
                <w:rFonts w:ascii="Calibri" w:hAnsi="Calibri"/>
                <w:color w:val="000000"/>
                <w:sz w:val="18"/>
                <w:szCs w:val="18"/>
              </w:rPr>
            </w:pPr>
            <w:r w:rsidRPr="00B8608C">
              <w:rPr>
                <w:rFonts w:ascii="Calibri" w:hAnsi="Calibri"/>
                <w:color w:val="000000"/>
                <w:sz w:val="18"/>
                <w:szCs w:val="18"/>
              </w:rPr>
              <w:t>17</w:t>
            </w:r>
          </w:p>
        </w:tc>
        <w:tc>
          <w:tcPr>
            <w:tcW w:w="443"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85.3%</w:t>
            </w:r>
          </w:p>
        </w:tc>
        <w:tc>
          <w:tcPr>
            <w:tcW w:w="43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203.6%</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100.0%</w:t>
            </w:r>
          </w:p>
        </w:tc>
        <w:tc>
          <w:tcPr>
            <w:tcW w:w="394"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112.5%</w:t>
            </w:r>
          </w:p>
        </w:tc>
        <w:tc>
          <w:tcPr>
            <w:tcW w:w="377" w:type="pct"/>
            <w:tcBorders>
              <w:top w:val="single" w:sz="4" w:space="0" w:color="auto"/>
              <w:left w:val="nil"/>
              <w:bottom w:val="single" w:sz="4" w:space="0" w:color="auto"/>
              <w:right w:val="single" w:sz="4" w:space="0" w:color="auto"/>
            </w:tcBorders>
            <w:shd w:val="clear" w:color="auto" w:fill="92D050"/>
            <w:noWrap/>
            <w:vAlign w:val="bottom"/>
          </w:tcPr>
          <w:p w:rsidR="00E01814" w:rsidRPr="00B8608C" w:rsidRDefault="00E01814" w:rsidP="0009320B">
            <w:pPr>
              <w:jc w:val="center"/>
              <w:rPr>
                <w:rFonts w:ascii="Calibri" w:hAnsi="Calibri"/>
                <w:b/>
                <w:color w:val="000000"/>
                <w:sz w:val="18"/>
                <w:szCs w:val="18"/>
              </w:rPr>
            </w:pPr>
            <w:r w:rsidRPr="00B8608C">
              <w:rPr>
                <w:rFonts w:ascii="Calibri" w:hAnsi="Calibri"/>
                <w:b/>
                <w:color w:val="000000"/>
                <w:sz w:val="18"/>
                <w:szCs w:val="18"/>
              </w:rPr>
              <w:t>17.1%</w:t>
            </w:r>
          </w:p>
        </w:tc>
        <w:tc>
          <w:tcPr>
            <w:tcW w:w="377" w:type="pct"/>
            <w:tcBorders>
              <w:top w:val="single" w:sz="4" w:space="0" w:color="auto"/>
              <w:left w:val="nil"/>
              <w:bottom w:val="single" w:sz="4" w:space="0" w:color="auto"/>
              <w:right w:val="single" w:sz="4" w:space="0" w:color="auto"/>
            </w:tcBorders>
            <w:shd w:val="clear" w:color="auto" w:fill="FFFFFF"/>
            <w:vAlign w:val="center"/>
          </w:tcPr>
          <w:p w:rsidR="00E01814" w:rsidRPr="00B8608C" w:rsidRDefault="00E01814" w:rsidP="00D177B4">
            <w:pPr>
              <w:jc w:val="center"/>
              <w:rPr>
                <w:rFonts w:ascii="Calibri" w:hAnsi="Calibri" w:cs="Arial"/>
                <w:color w:val="000000"/>
                <w:sz w:val="18"/>
                <w:szCs w:val="18"/>
              </w:rPr>
            </w:pPr>
            <w:r w:rsidRPr="00B8608C">
              <w:rPr>
                <w:rFonts w:ascii="Calibri" w:hAnsi="Calibri" w:cs="Arial"/>
                <w:color w:val="000000"/>
                <w:sz w:val="18"/>
                <w:szCs w:val="18"/>
              </w:rPr>
              <w:t>7.2</w:t>
            </w:r>
          </w:p>
        </w:tc>
        <w:tc>
          <w:tcPr>
            <w:tcW w:w="377" w:type="pct"/>
            <w:tcBorders>
              <w:top w:val="single" w:sz="4" w:space="0" w:color="auto"/>
              <w:left w:val="single" w:sz="4" w:space="0" w:color="auto"/>
              <w:bottom w:val="single" w:sz="4" w:space="0" w:color="auto"/>
              <w:right w:val="single" w:sz="4" w:space="0" w:color="auto"/>
            </w:tcBorders>
          </w:tcPr>
          <w:p w:rsidR="00E01814" w:rsidRPr="00AB00E4"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22.0</w:t>
            </w:r>
            <w:r w:rsidRPr="008B52C8">
              <w:rPr>
                <w:rFonts w:asciiTheme="minorHAnsi" w:hAnsiTheme="minorHAnsi" w:cs="Arial"/>
                <w:sz w:val="18"/>
                <w:szCs w:val="18"/>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1</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4</w:t>
            </w:r>
            <w:r w:rsidRPr="008B52C8">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8B52C8" w:rsidRDefault="0009320B" w:rsidP="0009320B">
            <w:pPr>
              <w:jc w:val="center"/>
              <w:rPr>
                <w:rFonts w:asciiTheme="minorHAnsi" w:hAnsiTheme="minorHAnsi" w:cs="Arial"/>
                <w:color w:val="000000"/>
                <w:sz w:val="18"/>
                <w:szCs w:val="18"/>
              </w:rPr>
            </w:pPr>
            <w:r>
              <w:rPr>
                <w:rFonts w:asciiTheme="minorHAnsi" w:hAnsiTheme="minorHAnsi" w:cs="Arial"/>
                <w:color w:val="000000"/>
                <w:sz w:val="18"/>
                <w:szCs w:val="18"/>
              </w:rPr>
              <w:t>2</w:t>
            </w:r>
          </w:p>
        </w:tc>
        <w:tc>
          <w:tcPr>
            <w:tcW w:w="236" w:type="pct"/>
            <w:tcBorders>
              <w:top w:val="single" w:sz="4" w:space="0" w:color="auto"/>
              <w:left w:val="nil"/>
              <w:bottom w:val="single" w:sz="4" w:space="0" w:color="auto"/>
              <w:right w:val="single" w:sz="4" w:space="0" w:color="auto"/>
            </w:tcBorders>
            <w:vAlign w:val="center"/>
          </w:tcPr>
          <w:p w:rsidR="00E01814" w:rsidRPr="008B52C8" w:rsidRDefault="00E01814" w:rsidP="0009320B">
            <w:pPr>
              <w:jc w:val="center"/>
              <w:rPr>
                <w:rFonts w:asciiTheme="minorHAnsi" w:hAnsiTheme="minorHAnsi" w:cs="Arial"/>
                <w:color w:val="000000"/>
                <w:sz w:val="18"/>
                <w:szCs w:val="18"/>
              </w:rPr>
            </w:pPr>
            <w:r w:rsidRPr="008B52C8">
              <w:rPr>
                <w:rFonts w:asciiTheme="minorHAnsi" w:hAnsiTheme="minorHAnsi" w:cs="Arial"/>
                <w:color w:val="000000"/>
                <w:sz w:val="18"/>
                <w:szCs w:val="18"/>
              </w:rPr>
              <w:t>nil</w:t>
            </w:r>
          </w:p>
        </w:tc>
      </w:tr>
      <w:tr w:rsidR="00AB00E4" w:rsidRPr="00A46A39" w:rsidTr="0009320B">
        <w:trPr>
          <w:trHeight w:val="225"/>
          <w:tblHeader/>
          <w:jc w:val="center"/>
        </w:trPr>
        <w:tc>
          <w:tcPr>
            <w:tcW w:w="66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01814" w:rsidRPr="00C92BB4" w:rsidRDefault="00E01814" w:rsidP="00DC0921">
            <w:pPr>
              <w:spacing w:line="276" w:lineRule="auto"/>
              <w:rPr>
                <w:rFonts w:cs="Arial"/>
                <w:b/>
                <w:sz w:val="18"/>
                <w:szCs w:val="18"/>
              </w:rPr>
            </w:pPr>
            <w:r w:rsidRPr="00C92BB4">
              <w:rPr>
                <w:rFonts w:cs="Arial"/>
                <w:b/>
                <w:sz w:val="18"/>
                <w:szCs w:val="18"/>
              </w:rPr>
              <w:t>TOTALS</w:t>
            </w:r>
          </w:p>
        </w:tc>
        <w:tc>
          <w:tcPr>
            <w:tcW w:w="2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01814" w:rsidRPr="00C92BB4" w:rsidRDefault="00E01814" w:rsidP="00FF16B4">
            <w:pPr>
              <w:jc w:val="center"/>
              <w:rPr>
                <w:rFonts w:cs="Arial"/>
                <w:b/>
                <w:color w:val="FF0000"/>
                <w:sz w:val="18"/>
                <w:szCs w:val="18"/>
              </w:rPr>
            </w:pPr>
          </w:p>
        </w:tc>
        <w:tc>
          <w:tcPr>
            <w:tcW w:w="44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E01814" w:rsidRPr="00C92BB4" w:rsidRDefault="00E01814" w:rsidP="00FF16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01814" w:rsidRPr="00C92BB4" w:rsidRDefault="00E01814" w:rsidP="00FF16B4">
            <w:pPr>
              <w:jc w:val="center"/>
              <w:rPr>
                <w:rFonts w:cs="Arial"/>
                <w:b/>
                <w:color w:val="FF0000"/>
                <w:sz w:val="18"/>
                <w:szCs w:val="18"/>
              </w:rPr>
            </w:pPr>
          </w:p>
        </w:tc>
        <w:tc>
          <w:tcPr>
            <w:tcW w:w="43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01814" w:rsidRPr="00C92BB4" w:rsidRDefault="00E01814" w:rsidP="00FF16B4">
            <w:pPr>
              <w:jc w:val="center"/>
              <w:rPr>
                <w:rFonts w:cs="Arial"/>
                <w:b/>
                <w:color w:val="FF0000"/>
                <w:sz w:val="18"/>
                <w:szCs w:val="18"/>
              </w:rPr>
            </w:pPr>
          </w:p>
        </w:tc>
        <w:tc>
          <w:tcPr>
            <w:tcW w:w="39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01814" w:rsidRPr="00C92BB4" w:rsidRDefault="00E01814" w:rsidP="00FF16B4">
            <w:pPr>
              <w:jc w:val="center"/>
              <w:rPr>
                <w:rFonts w:cs="Arial"/>
                <w:b/>
                <w:color w:val="FF0000"/>
                <w:sz w:val="18"/>
                <w:szCs w:val="18"/>
              </w:rPr>
            </w:pPr>
          </w:p>
        </w:tc>
        <w:tc>
          <w:tcPr>
            <w:tcW w:w="37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E01814" w:rsidRPr="00C92BB4" w:rsidRDefault="00E01814" w:rsidP="00FF16B4">
            <w:pPr>
              <w:jc w:val="center"/>
              <w:rPr>
                <w:rFonts w:cs="Arial"/>
                <w:b/>
                <w:color w:val="FF0000"/>
                <w:sz w:val="18"/>
                <w:szCs w:val="18"/>
              </w:rPr>
            </w:pPr>
          </w:p>
        </w:tc>
        <w:tc>
          <w:tcPr>
            <w:tcW w:w="37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01814" w:rsidRPr="00C92BB4" w:rsidRDefault="00E01814" w:rsidP="00FF16B4">
            <w:pPr>
              <w:jc w:val="center"/>
              <w:rPr>
                <w:rFonts w:cs="Arial"/>
                <w:b/>
                <w:color w:val="000000"/>
                <w:sz w:val="18"/>
                <w:szCs w:val="18"/>
              </w:rPr>
            </w:pPr>
          </w:p>
        </w:tc>
        <w:tc>
          <w:tcPr>
            <w:tcW w:w="377" w:type="pct"/>
            <w:tcBorders>
              <w:top w:val="single" w:sz="4" w:space="0" w:color="auto"/>
              <w:left w:val="single" w:sz="4" w:space="0" w:color="auto"/>
              <w:bottom w:val="single" w:sz="4" w:space="0" w:color="auto"/>
              <w:right w:val="single" w:sz="4" w:space="0" w:color="auto"/>
            </w:tcBorders>
          </w:tcPr>
          <w:p w:rsidR="00E01814" w:rsidRDefault="00E01814" w:rsidP="00FF16B4">
            <w:pPr>
              <w:jc w:val="center"/>
              <w:rPr>
                <w:rFonts w:cs="Arial"/>
                <w:b/>
                <w:color w:val="000000"/>
                <w:sz w:val="18"/>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09320B" w:rsidRDefault="0009320B" w:rsidP="00FF16B4">
            <w:pPr>
              <w:jc w:val="center"/>
              <w:rPr>
                <w:rFonts w:asciiTheme="minorHAnsi" w:hAnsiTheme="minorHAnsi" w:cs="Arial"/>
                <w:b/>
                <w:color w:val="000000"/>
                <w:sz w:val="18"/>
                <w:szCs w:val="18"/>
              </w:rPr>
            </w:pPr>
            <w:r w:rsidRPr="0009320B">
              <w:rPr>
                <w:rFonts w:asciiTheme="minorHAnsi" w:hAnsiTheme="minorHAnsi" w:cs="Arial"/>
                <w:b/>
                <w:color w:val="000000"/>
                <w:sz w:val="18"/>
                <w:szCs w:val="18"/>
              </w:rPr>
              <w:t>7</w:t>
            </w:r>
            <w:r w:rsidR="00E01814" w:rsidRPr="0009320B">
              <w:rPr>
                <w:rFonts w:asciiTheme="minorHAnsi" w:hAnsiTheme="minorHAnsi" w:cs="Arial"/>
                <w:b/>
                <w:sz w:val="18"/>
                <w:szCs w:val="18"/>
              </w:rPr>
              <w:t>↑</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1814" w:rsidRPr="0009320B" w:rsidRDefault="0009320B" w:rsidP="00FF16B4">
            <w:pPr>
              <w:jc w:val="center"/>
              <w:rPr>
                <w:rFonts w:asciiTheme="minorHAnsi" w:hAnsiTheme="minorHAnsi" w:cs="Arial"/>
                <w:b/>
                <w:color w:val="000000"/>
                <w:sz w:val="18"/>
                <w:szCs w:val="18"/>
              </w:rPr>
            </w:pPr>
            <w:r w:rsidRPr="0009320B">
              <w:rPr>
                <w:rFonts w:asciiTheme="minorHAnsi" w:hAnsiTheme="minorHAnsi" w:cs="Arial"/>
                <w:b/>
                <w:color w:val="000000"/>
                <w:sz w:val="18"/>
                <w:szCs w:val="18"/>
              </w:rPr>
              <w:t>42</w:t>
            </w:r>
            <w:r w:rsidR="00E01814" w:rsidRPr="0009320B">
              <w:rPr>
                <w:rFonts w:asciiTheme="minorHAnsi" w:hAnsiTheme="minorHAnsi" w:cs="Arial"/>
                <w:b/>
                <w:sz w:val="18"/>
                <w:szCs w:val="18"/>
              </w:rPr>
              <w:t>↑</w:t>
            </w:r>
          </w:p>
        </w:tc>
        <w:tc>
          <w:tcPr>
            <w:tcW w:w="251" w:type="pct"/>
            <w:tcBorders>
              <w:top w:val="single" w:sz="4" w:space="0" w:color="auto"/>
              <w:left w:val="nil"/>
              <w:bottom w:val="single" w:sz="4" w:space="0" w:color="auto"/>
              <w:right w:val="single" w:sz="4" w:space="0" w:color="auto"/>
            </w:tcBorders>
            <w:vAlign w:val="center"/>
          </w:tcPr>
          <w:p w:rsidR="00E01814" w:rsidRPr="0009320B" w:rsidRDefault="0009320B" w:rsidP="00FF16B4">
            <w:pPr>
              <w:jc w:val="center"/>
              <w:rPr>
                <w:rFonts w:asciiTheme="minorHAnsi" w:hAnsiTheme="minorHAnsi" w:cs="Arial"/>
                <w:b/>
                <w:color w:val="000000"/>
                <w:sz w:val="18"/>
                <w:szCs w:val="18"/>
              </w:rPr>
            </w:pPr>
            <w:r w:rsidRPr="0009320B">
              <w:rPr>
                <w:rFonts w:asciiTheme="minorHAnsi" w:hAnsiTheme="minorHAnsi" w:cs="Arial"/>
                <w:b/>
                <w:color w:val="00000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E01814" w:rsidRPr="0009320B" w:rsidRDefault="0009320B" w:rsidP="00FF16B4">
            <w:pPr>
              <w:jc w:val="center"/>
              <w:rPr>
                <w:rFonts w:asciiTheme="minorHAnsi" w:hAnsiTheme="minorHAnsi" w:cs="Arial"/>
                <w:b/>
                <w:color w:val="000000"/>
                <w:sz w:val="18"/>
                <w:szCs w:val="18"/>
              </w:rPr>
            </w:pPr>
            <w:r w:rsidRPr="0009320B">
              <w:rPr>
                <w:rFonts w:asciiTheme="minorHAnsi" w:hAnsiTheme="minorHAnsi" w:cs="Arial"/>
                <w:b/>
                <w:color w:val="000000"/>
                <w:sz w:val="18"/>
                <w:szCs w:val="18"/>
              </w:rPr>
              <w:t>2↓</w:t>
            </w:r>
          </w:p>
        </w:tc>
        <w:tc>
          <w:tcPr>
            <w:tcW w:w="23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E01814" w:rsidRPr="008B52C8" w:rsidRDefault="00E01814" w:rsidP="001833A9">
            <w:pPr>
              <w:keepNext/>
              <w:rPr>
                <w:rFonts w:asciiTheme="minorHAnsi" w:hAnsiTheme="minorHAnsi" w:cs="Arial"/>
                <w:color w:val="FF0000"/>
                <w:sz w:val="18"/>
                <w:szCs w:val="18"/>
              </w:rPr>
            </w:pPr>
          </w:p>
        </w:tc>
      </w:tr>
    </w:tbl>
    <w:p w:rsidR="004046FF" w:rsidRDefault="00092D5B" w:rsidP="00092D5B">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7</w:t>
      </w:r>
      <w:r w:rsidR="0067196C">
        <w:rPr>
          <w:noProof/>
        </w:rPr>
        <w:fldChar w:fldCharType="end"/>
      </w:r>
      <w:r>
        <w:t xml:space="preserve"> - Community hospital safer staffing</w:t>
      </w:r>
    </w:p>
    <w:p w:rsidR="00BA2A3D" w:rsidRPr="00F922F2" w:rsidRDefault="00BA2A3D" w:rsidP="00F922F2">
      <w:pPr>
        <w:rPr>
          <w:rFonts w:cs="Arial"/>
        </w:rPr>
      </w:pPr>
    </w:p>
    <w:p w:rsidR="00F634D5" w:rsidRDefault="00566E5D" w:rsidP="00F634D5">
      <w:pPr>
        <w:pStyle w:val="ListParagraph"/>
        <w:numPr>
          <w:ilvl w:val="0"/>
          <w:numId w:val="21"/>
        </w:numPr>
      </w:pPr>
      <w:r>
        <w:t>In February</w:t>
      </w:r>
      <w:r w:rsidR="00CA6140" w:rsidRPr="00CA6140">
        <w:t xml:space="preserve"> 2019, East Ward met the pl</w:t>
      </w:r>
      <w:r w:rsidR="00CC5BBE">
        <w:t xml:space="preserve">anned RN level during the day </w:t>
      </w:r>
      <w:r>
        <w:t xml:space="preserve">only </w:t>
      </w:r>
      <w:r w:rsidR="00CC5BBE">
        <w:t>69.9</w:t>
      </w:r>
      <w:r w:rsidR="00CA6140" w:rsidRPr="00CA6140">
        <w:t>%</w:t>
      </w:r>
      <w:r w:rsidR="00CC5BBE">
        <w:t xml:space="preserve"> of the time</w:t>
      </w:r>
      <w:r w:rsidR="00CA6140" w:rsidRPr="00CA6140">
        <w:t>. The planned staffing level is set at three RNs in the day, however due to sickness, vacancies and cover across wards, the ward has run with two RNs on occasion, which meets safer staffing parameters.</w:t>
      </w:r>
    </w:p>
    <w:p w:rsidR="00566E5D" w:rsidRPr="00BF602D" w:rsidRDefault="00566E5D" w:rsidP="00566E5D">
      <w:pPr>
        <w:pStyle w:val="ListParagraph"/>
        <w:numPr>
          <w:ilvl w:val="0"/>
          <w:numId w:val="21"/>
        </w:numPr>
        <w:jc w:val="both"/>
        <w:rPr>
          <w:rFonts w:cs="Arial"/>
        </w:rPr>
      </w:pPr>
      <w:r>
        <w:rPr>
          <w:rFonts w:cs="Arial"/>
        </w:rPr>
        <w:t>A review of the NSIs and patient feedback has not identified any staffing impact on the quality and safety of patient care/outcomes.</w:t>
      </w:r>
    </w:p>
    <w:p w:rsidR="00F634D5" w:rsidRDefault="00F634D5" w:rsidP="00C165B1"/>
    <w:p w:rsidR="005620A2" w:rsidRDefault="005620A2">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417" w:type="pct"/>
        <w:jc w:val="center"/>
        <w:tblInd w:w="56" w:type="dxa"/>
        <w:tblLayout w:type="fixed"/>
        <w:tblLook w:val="04A0" w:firstRow="1" w:lastRow="0" w:firstColumn="1" w:lastColumn="0" w:noHBand="0" w:noVBand="1"/>
      </w:tblPr>
      <w:tblGrid>
        <w:gridCol w:w="1241"/>
        <w:gridCol w:w="569"/>
        <w:gridCol w:w="991"/>
        <w:gridCol w:w="969"/>
        <w:gridCol w:w="969"/>
        <w:gridCol w:w="969"/>
        <w:gridCol w:w="930"/>
        <w:gridCol w:w="874"/>
        <w:gridCol w:w="827"/>
        <w:gridCol w:w="569"/>
        <w:gridCol w:w="709"/>
        <w:gridCol w:w="567"/>
        <w:gridCol w:w="567"/>
        <w:gridCol w:w="540"/>
      </w:tblGrid>
      <w:tr w:rsidR="000345F0" w:rsidRPr="00CE2873" w:rsidTr="000345F0">
        <w:trPr>
          <w:cantSplit/>
          <w:trHeight w:val="211"/>
          <w:tblHeader/>
          <w:jc w:val="center"/>
        </w:trPr>
        <w:tc>
          <w:tcPr>
            <w:tcW w:w="55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345F0" w:rsidRPr="00CE2873" w:rsidRDefault="000345F0"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5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345F0" w:rsidRPr="00CE2873" w:rsidRDefault="000345F0"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3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12" w:type="pct"/>
            <w:vMerge w:val="restart"/>
            <w:tcBorders>
              <w:top w:val="single" w:sz="4" w:space="0" w:color="auto"/>
              <w:left w:val="nil"/>
              <w:right w:val="single" w:sz="4" w:space="0" w:color="auto"/>
            </w:tcBorders>
            <w:shd w:val="clear" w:color="auto" w:fill="548DD4" w:themeFill="text2" w:themeFillTint="99"/>
            <w:noWrap/>
            <w:vAlign w:val="center"/>
          </w:tcPr>
          <w:p w:rsidR="000345F0" w:rsidRPr="00CE2873" w:rsidRDefault="000345F0"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87" w:type="pct"/>
            <w:tcBorders>
              <w:top w:val="single" w:sz="4" w:space="0" w:color="auto"/>
              <w:left w:val="nil"/>
              <w:bottom w:val="single" w:sz="4" w:space="0" w:color="auto"/>
              <w:right w:val="single" w:sz="4" w:space="0" w:color="auto"/>
            </w:tcBorders>
            <w:shd w:val="clear" w:color="auto" w:fill="548DD4" w:themeFill="text2" w:themeFillTint="99"/>
            <w:vAlign w:val="center"/>
          </w:tcPr>
          <w:p w:rsidR="000345F0" w:rsidRPr="00CE2873" w:rsidRDefault="000345F0"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66" w:type="pct"/>
            <w:tcBorders>
              <w:top w:val="single" w:sz="4" w:space="0" w:color="auto"/>
              <w:left w:val="single" w:sz="4" w:space="0" w:color="auto"/>
              <w:right w:val="single" w:sz="4" w:space="0" w:color="auto"/>
            </w:tcBorders>
            <w:shd w:val="clear" w:color="auto" w:fill="548DD4" w:themeFill="text2" w:themeFillTint="99"/>
            <w:textDirection w:val="btLr"/>
          </w:tcPr>
          <w:p w:rsidR="000345F0" w:rsidRPr="00CE2873" w:rsidRDefault="000345F0" w:rsidP="009305B6">
            <w:pPr>
              <w:ind w:left="30" w:right="113"/>
              <w:jc w:val="center"/>
              <w:rPr>
                <w:rFonts w:cs="Arial"/>
                <w:b/>
                <w:color w:val="FFFFFF" w:themeColor="background1"/>
                <w:sz w:val="18"/>
                <w:szCs w:val="18"/>
              </w:rPr>
            </w:pPr>
          </w:p>
        </w:tc>
        <w:tc>
          <w:tcPr>
            <w:tcW w:w="252"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345F0" w:rsidRPr="00CE2873" w:rsidRDefault="000345F0"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345F0" w:rsidRPr="00CE2873" w:rsidRDefault="000345F0"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345F0" w:rsidRPr="00092D5B" w:rsidRDefault="000345F0"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345F0" w:rsidRPr="00CE2873" w:rsidRDefault="000345F0"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3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345F0" w:rsidRPr="00CE2873" w:rsidRDefault="000345F0"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345F0" w:rsidRPr="00CE2873" w:rsidTr="000345F0">
        <w:trPr>
          <w:cantSplit/>
          <w:trHeight w:val="1714"/>
          <w:tblHeader/>
          <w:jc w:val="center"/>
        </w:trPr>
        <w:tc>
          <w:tcPr>
            <w:tcW w:w="550" w:type="pct"/>
            <w:vMerge/>
            <w:tcBorders>
              <w:left w:val="single" w:sz="4" w:space="0" w:color="auto"/>
              <w:bottom w:val="single" w:sz="4" w:space="0" w:color="auto"/>
              <w:right w:val="single" w:sz="4" w:space="0" w:color="auto"/>
            </w:tcBorders>
            <w:shd w:val="clear" w:color="auto" w:fill="C6D9F1"/>
            <w:noWrap/>
            <w:vAlign w:val="center"/>
          </w:tcPr>
          <w:p w:rsidR="000345F0" w:rsidRPr="00CE2873" w:rsidRDefault="000345F0" w:rsidP="009305B6">
            <w:pPr>
              <w:jc w:val="center"/>
              <w:rPr>
                <w:rFonts w:cs="Arial"/>
                <w:b/>
                <w:sz w:val="18"/>
                <w:szCs w:val="18"/>
              </w:rPr>
            </w:pPr>
          </w:p>
        </w:tc>
        <w:tc>
          <w:tcPr>
            <w:tcW w:w="252" w:type="pct"/>
            <w:vMerge/>
            <w:tcBorders>
              <w:left w:val="nil"/>
              <w:bottom w:val="single" w:sz="4" w:space="0" w:color="auto"/>
              <w:right w:val="single" w:sz="4" w:space="0" w:color="auto"/>
            </w:tcBorders>
            <w:shd w:val="clear" w:color="auto" w:fill="C6D9F1"/>
            <w:textDirection w:val="btLr"/>
            <w:vAlign w:val="center"/>
          </w:tcPr>
          <w:p w:rsidR="000345F0" w:rsidRPr="00CE2873" w:rsidRDefault="000345F0" w:rsidP="009305B6">
            <w:pPr>
              <w:ind w:left="113" w:right="113"/>
              <w:jc w:val="center"/>
              <w:rPr>
                <w:rFonts w:cs="Arial"/>
                <w:b/>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345F0" w:rsidRPr="00CE2873" w:rsidRDefault="000345F0" w:rsidP="009305B6">
            <w:pPr>
              <w:ind w:left="30"/>
              <w:jc w:val="center"/>
              <w:rPr>
                <w:rFonts w:cs="Arial"/>
                <w:b/>
                <w:color w:val="FFFFFF"/>
                <w:sz w:val="18"/>
                <w:szCs w:val="18"/>
              </w:rPr>
            </w:pPr>
            <w:r w:rsidRPr="00CE2873">
              <w:rPr>
                <w:rFonts w:cs="Arial"/>
                <w:b/>
                <w:color w:val="FFFFFF"/>
                <w:sz w:val="18"/>
                <w:szCs w:val="18"/>
              </w:rPr>
              <w:t>HCSW</w:t>
            </w: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30"/>
              <w:jc w:val="center"/>
              <w:rPr>
                <w:rFonts w:cs="Arial"/>
                <w:b/>
                <w:color w:val="FFFFFF"/>
                <w:sz w:val="18"/>
                <w:szCs w:val="18"/>
              </w:rPr>
            </w:pPr>
            <w:r w:rsidRPr="00CE2873">
              <w:rPr>
                <w:rFonts w:cs="Arial"/>
                <w:b/>
                <w:color w:val="FFFFFF"/>
                <w:sz w:val="18"/>
                <w:szCs w:val="18"/>
              </w:rPr>
              <w:t>% of actual vs total planned shifts RN</w:t>
            </w:r>
          </w:p>
          <w:p w:rsidR="000345F0" w:rsidRPr="00CE2873" w:rsidRDefault="000345F0" w:rsidP="009305B6">
            <w:pPr>
              <w:ind w:left="30"/>
              <w:jc w:val="center"/>
              <w:rPr>
                <w:rFonts w:cs="Arial"/>
                <w:b/>
                <w:color w:val="FFFFFF"/>
                <w:sz w:val="18"/>
                <w:szCs w:val="18"/>
              </w:rPr>
            </w:pPr>
          </w:p>
        </w:tc>
        <w:tc>
          <w:tcPr>
            <w:tcW w:w="429"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345F0" w:rsidRPr="00CE2873" w:rsidRDefault="000345F0" w:rsidP="009305B6">
            <w:pPr>
              <w:ind w:left="30"/>
              <w:jc w:val="center"/>
              <w:rPr>
                <w:rFonts w:cs="Arial"/>
                <w:b/>
                <w:color w:val="FFFFFF"/>
                <w:sz w:val="18"/>
                <w:szCs w:val="18"/>
              </w:rPr>
            </w:pPr>
            <w:r w:rsidRPr="00CE2873">
              <w:rPr>
                <w:rFonts w:cs="Arial"/>
                <w:b/>
                <w:color w:val="FFFFFF"/>
                <w:sz w:val="18"/>
                <w:szCs w:val="18"/>
              </w:rPr>
              <w:t>HCSW</w:t>
            </w:r>
          </w:p>
          <w:p w:rsidR="000345F0" w:rsidRPr="00CE2873" w:rsidRDefault="000345F0" w:rsidP="009305B6">
            <w:pPr>
              <w:ind w:left="30"/>
              <w:jc w:val="center"/>
              <w:rPr>
                <w:rFonts w:cs="Arial"/>
                <w:b/>
                <w:color w:val="FFFFFF"/>
                <w:sz w:val="18"/>
                <w:szCs w:val="18"/>
              </w:rPr>
            </w:pPr>
          </w:p>
        </w:tc>
        <w:tc>
          <w:tcPr>
            <w:tcW w:w="412" w:type="pct"/>
            <w:vMerge/>
            <w:tcBorders>
              <w:left w:val="nil"/>
              <w:bottom w:val="single" w:sz="4" w:space="0" w:color="auto"/>
              <w:right w:val="single" w:sz="4" w:space="0" w:color="auto"/>
            </w:tcBorders>
            <w:shd w:val="clear" w:color="auto" w:fill="548DD4" w:themeFill="text2" w:themeFillTint="99"/>
            <w:noWrap/>
            <w:vAlign w:val="center"/>
          </w:tcPr>
          <w:p w:rsidR="000345F0" w:rsidRPr="00CE2873" w:rsidRDefault="000345F0" w:rsidP="009305B6">
            <w:pPr>
              <w:ind w:left="30"/>
              <w:jc w:val="center"/>
              <w:rPr>
                <w:rFonts w:cs="Arial"/>
                <w:b/>
                <w:color w:val="FFFFFF"/>
                <w:sz w:val="18"/>
                <w:szCs w:val="18"/>
              </w:rPr>
            </w:pPr>
          </w:p>
        </w:tc>
        <w:tc>
          <w:tcPr>
            <w:tcW w:w="387" w:type="pct"/>
            <w:tcBorders>
              <w:top w:val="single" w:sz="4" w:space="0" w:color="auto"/>
              <w:left w:val="nil"/>
              <w:bottom w:val="single" w:sz="4" w:space="0" w:color="auto"/>
              <w:right w:val="single" w:sz="4" w:space="0" w:color="auto"/>
            </w:tcBorders>
            <w:shd w:val="clear" w:color="auto" w:fill="548DD4" w:themeFill="text2" w:themeFillTint="99"/>
            <w:vAlign w:val="center"/>
          </w:tcPr>
          <w:p w:rsidR="000345F0" w:rsidRPr="00CE2873" w:rsidRDefault="000345F0" w:rsidP="009305B6">
            <w:pPr>
              <w:ind w:left="30"/>
              <w:jc w:val="center"/>
              <w:rPr>
                <w:rFonts w:cs="Arial"/>
                <w:b/>
                <w:color w:val="FFFFFF"/>
                <w:sz w:val="18"/>
                <w:szCs w:val="18"/>
              </w:rPr>
            </w:pPr>
            <w:r w:rsidRPr="00CE2873">
              <w:rPr>
                <w:rFonts w:cs="Arial"/>
                <w:b/>
                <w:color w:val="FFFFFF"/>
                <w:sz w:val="18"/>
                <w:szCs w:val="18"/>
              </w:rPr>
              <w:t>Care Hours</w:t>
            </w:r>
          </w:p>
          <w:p w:rsidR="000345F0" w:rsidRPr="00CE2873" w:rsidRDefault="000345F0" w:rsidP="009305B6">
            <w:pPr>
              <w:ind w:left="30"/>
              <w:jc w:val="center"/>
              <w:rPr>
                <w:rFonts w:cs="Arial"/>
                <w:b/>
                <w:color w:val="FFFFFF"/>
                <w:sz w:val="18"/>
                <w:szCs w:val="18"/>
              </w:rPr>
            </w:pPr>
            <w:r w:rsidRPr="00CE2873">
              <w:rPr>
                <w:rFonts w:cs="Arial"/>
                <w:b/>
                <w:color w:val="FFFFFF"/>
                <w:sz w:val="18"/>
                <w:szCs w:val="18"/>
              </w:rPr>
              <w:t>Per Patient Day</w:t>
            </w:r>
          </w:p>
        </w:tc>
        <w:tc>
          <w:tcPr>
            <w:tcW w:w="366" w:type="pct"/>
            <w:tcBorders>
              <w:left w:val="single" w:sz="4" w:space="0" w:color="auto"/>
              <w:bottom w:val="single" w:sz="4" w:space="0" w:color="auto"/>
              <w:right w:val="single" w:sz="4" w:space="0" w:color="auto"/>
            </w:tcBorders>
            <w:shd w:val="clear" w:color="auto" w:fill="548DD4" w:themeFill="text2" w:themeFillTint="99"/>
            <w:textDirection w:val="btLr"/>
          </w:tcPr>
          <w:p w:rsidR="000345F0" w:rsidRPr="000345F0" w:rsidRDefault="000345F0" w:rsidP="000345F0">
            <w:pPr>
              <w:ind w:left="30" w:right="113"/>
              <w:jc w:val="center"/>
              <w:rPr>
                <w:rFonts w:cs="Arial"/>
                <w:b/>
                <w:color w:val="FFFFFF" w:themeColor="background1"/>
                <w:sz w:val="18"/>
                <w:szCs w:val="18"/>
              </w:rPr>
            </w:pPr>
            <w:r>
              <w:rPr>
                <w:rFonts w:cs="Arial"/>
                <w:b/>
                <w:color w:val="FFFFFF" w:themeColor="background1"/>
                <w:sz w:val="18"/>
                <w:szCs w:val="18"/>
              </w:rPr>
              <w:t>Vacancy rate %</w:t>
            </w:r>
          </w:p>
        </w:tc>
        <w:tc>
          <w:tcPr>
            <w:tcW w:w="252" w:type="pct"/>
            <w:vMerge/>
            <w:tcBorders>
              <w:left w:val="single" w:sz="4" w:space="0" w:color="auto"/>
              <w:bottom w:val="single" w:sz="4" w:space="0" w:color="auto"/>
              <w:right w:val="single" w:sz="4" w:space="0" w:color="auto"/>
            </w:tcBorders>
            <w:shd w:val="clear" w:color="auto" w:fill="95B3D7"/>
            <w:noWrap/>
            <w:textDirection w:val="btLr"/>
            <w:vAlign w:val="center"/>
          </w:tcPr>
          <w:p w:rsidR="000345F0" w:rsidRPr="00CE2873" w:rsidRDefault="000345F0" w:rsidP="009305B6">
            <w:pPr>
              <w:ind w:left="30" w:right="113"/>
              <w:jc w:val="center"/>
              <w:rPr>
                <w:rFonts w:cs="Arial"/>
                <w:b/>
                <w:sz w:val="18"/>
                <w:szCs w:val="18"/>
              </w:rPr>
            </w:pPr>
          </w:p>
        </w:tc>
        <w:tc>
          <w:tcPr>
            <w:tcW w:w="31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345F0" w:rsidRPr="00CE2873" w:rsidRDefault="000345F0" w:rsidP="009305B6">
            <w:pPr>
              <w:ind w:left="46" w:right="113"/>
              <w:jc w:val="center"/>
              <w:rPr>
                <w:rFonts w:cs="Arial"/>
                <w:b/>
                <w:sz w:val="18"/>
                <w:szCs w:val="18"/>
              </w:rPr>
            </w:pPr>
          </w:p>
        </w:tc>
        <w:tc>
          <w:tcPr>
            <w:tcW w:w="251"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345F0" w:rsidRPr="00092D5B" w:rsidRDefault="000345F0" w:rsidP="009305B6">
            <w:pPr>
              <w:ind w:left="113" w:right="113"/>
              <w:jc w:val="center"/>
              <w:rPr>
                <w:rFonts w:cs="Arial"/>
                <w:b/>
                <w:color w:val="FFFFFF" w:themeColor="background1"/>
                <w:sz w:val="18"/>
                <w:szCs w:val="18"/>
              </w:rPr>
            </w:pPr>
          </w:p>
        </w:tc>
        <w:tc>
          <w:tcPr>
            <w:tcW w:w="251"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345F0" w:rsidRPr="00CE2873" w:rsidRDefault="000345F0" w:rsidP="009305B6">
            <w:pPr>
              <w:ind w:left="30" w:right="113"/>
              <w:jc w:val="center"/>
              <w:rPr>
                <w:rFonts w:cs="Arial"/>
                <w:b/>
                <w:sz w:val="18"/>
                <w:szCs w:val="18"/>
              </w:rPr>
            </w:pPr>
          </w:p>
        </w:tc>
        <w:tc>
          <w:tcPr>
            <w:tcW w:w="239" w:type="pct"/>
            <w:vMerge/>
            <w:tcBorders>
              <w:left w:val="nil"/>
              <w:bottom w:val="single" w:sz="4" w:space="0" w:color="auto"/>
              <w:right w:val="single" w:sz="4" w:space="0" w:color="auto"/>
            </w:tcBorders>
            <w:shd w:val="clear" w:color="auto" w:fill="95B3D7"/>
            <w:textDirection w:val="btLr"/>
            <w:vAlign w:val="center"/>
          </w:tcPr>
          <w:p w:rsidR="000345F0" w:rsidRPr="00CE2873" w:rsidRDefault="000345F0" w:rsidP="009305B6">
            <w:pPr>
              <w:ind w:left="30" w:right="113"/>
              <w:jc w:val="center"/>
              <w:rPr>
                <w:rFonts w:cs="Arial"/>
                <w:b/>
                <w:sz w:val="18"/>
                <w:szCs w:val="18"/>
              </w:rPr>
            </w:pPr>
          </w:p>
        </w:tc>
      </w:tr>
      <w:tr w:rsidR="000345F0" w:rsidRPr="009F3F5B" w:rsidTr="000345F0">
        <w:trPr>
          <w:trHeight w:val="225"/>
          <w:tblHeader/>
          <w:jc w:val="center"/>
        </w:trPr>
        <w:tc>
          <w:tcPr>
            <w:tcW w:w="5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345F0" w:rsidRPr="00C92BB4" w:rsidRDefault="000345F0" w:rsidP="00C92BB4">
            <w:pPr>
              <w:rPr>
                <w:rFonts w:cs="Arial"/>
                <w:sz w:val="18"/>
                <w:szCs w:val="18"/>
              </w:rPr>
            </w:pPr>
            <w:r w:rsidRPr="00C92BB4">
              <w:rPr>
                <w:rFonts w:cs="Arial"/>
                <w:sz w:val="18"/>
                <w:szCs w:val="18"/>
              </w:rPr>
              <w:t>BC Kirby</w:t>
            </w:r>
          </w:p>
        </w:tc>
        <w:tc>
          <w:tcPr>
            <w:tcW w:w="252" w:type="pct"/>
            <w:tcBorders>
              <w:top w:val="single" w:sz="4" w:space="0" w:color="auto"/>
              <w:left w:val="nil"/>
              <w:bottom w:val="single" w:sz="4" w:space="0" w:color="auto"/>
              <w:right w:val="single" w:sz="4" w:space="0" w:color="auto"/>
            </w:tcBorders>
            <w:vAlign w:val="bottom"/>
          </w:tcPr>
          <w:p w:rsidR="000345F0" w:rsidRPr="007A38C1" w:rsidRDefault="000345F0" w:rsidP="00D177B4">
            <w:pPr>
              <w:jc w:val="center"/>
              <w:rPr>
                <w:rFonts w:ascii="Calibri" w:hAnsi="Calibri"/>
                <w:color w:val="000000"/>
                <w:sz w:val="18"/>
                <w:szCs w:val="18"/>
              </w:rPr>
            </w:pPr>
            <w:r w:rsidRPr="007A38C1">
              <w:rPr>
                <w:rFonts w:ascii="Calibri" w:hAnsi="Calibri"/>
                <w:color w:val="000000"/>
                <w:sz w:val="18"/>
                <w:szCs w:val="18"/>
              </w:rPr>
              <w:t>20</w:t>
            </w:r>
          </w:p>
        </w:tc>
        <w:tc>
          <w:tcPr>
            <w:tcW w:w="439"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79.3%</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216.1%</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100.0%</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105.4%</w:t>
            </w:r>
          </w:p>
        </w:tc>
        <w:tc>
          <w:tcPr>
            <w:tcW w:w="412" w:type="pct"/>
            <w:tcBorders>
              <w:top w:val="single" w:sz="4" w:space="0" w:color="auto"/>
              <w:left w:val="nil"/>
              <w:bottom w:val="single" w:sz="4" w:space="0" w:color="auto"/>
              <w:right w:val="single" w:sz="4" w:space="0" w:color="auto"/>
            </w:tcBorders>
            <w:shd w:val="clear" w:color="auto" w:fill="FFC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24.8%</w:t>
            </w:r>
          </w:p>
        </w:tc>
        <w:tc>
          <w:tcPr>
            <w:tcW w:w="387" w:type="pct"/>
            <w:tcBorders>
              <w:top w:val="single" w:sz="4" w:space="0" w:color="auto"/>
              <w:left w:val="nil"/>
              <w:bottom w:val="single" w:sz="4" w:space="0" w:color="auto"/>
              <w:right w:val="single" w:sz="4" w:space="0" w:color="auto"/>
            </w:tcBorders>
            <w:shd w:val="clear" w:color="auto" w:fill="FFFFFF"/>
            <w:vAlign w:val="center"/>
          </w:tcPr>
          <w:p w:rsidR="000345F0" w:rsidRPr="007A38C1" w:rsidRDefault="000345F0" w:rsidP="00D177B4">
            <w:pPr>
              <w:jc w:val="center"/>
              <w:rPr>
                <w:rFonts w:ascii="Calibri" w:hAnsi="Calibri" w:cs="Arial"/>
                <w:color w:val="000000"/>
                <w:sz w:val="18"/>
                <w:szCs w:val="18"/>
              </w:rPr>
            </w:pPr>
            <w:r w:rsidRPr="007A38C1">
              <w:rPr>
                <w:rFonts w:ascii="Calibri" w:hAnsi="Calibri" w:cs="Arial"/>
                <w:color w:val="000000"/>
                <w:sz w:val="18"/>
                <w:szCs w:val="18"/>
              </w:rPr>
              <w:t>6.4</w:t>
            </w:r>
          </w:p>
        </w:tc>
        <w:tc>
          <w:tcPr>
            <w:tcW w:w="366" w:type="pct"/>
            <w:tcBorders>
              <w:top w:val="single" w:sz="4" w:space="0" w:color="auto"/>
              <w:left w:val="single" w:sz="4" w:space="0" w:color="auto"/>
              <w:bottom w:val="single" w:sz="4" w:space="0" w:color="auto"/>
              <w:right w:val="single" w:sz="4" w:space="0" w:color="auto"/>
            </w:tcBorders>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20.8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0</w:t>
            </w:r>
            <w:r w:rsidRPr="000345F0">
              <w:rPr>
                <w:rFonts w:asciiTheme="minorHAnsi" w:hAnsiTheme="minorHAnsi" w:cs="Arial"/>
                <w:color w:val="000000"/>
                <w:sz w:val="18"/>
                <w:szCs w:val="18"/>
              </w:rPr>
              <w:t>↓</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sz w:val="18"/>
                <w:szCs w:val="18"/>
              </w:rPr>
            </w:pPr>
            <w:r>
              <w:rPr>
                <w:rFonts w:asciiTheme="minorHAnsi" w:hAnsiTheme="minorHAnsi" w:cs="Arial"/>
                <w:sz w:val="18"/>
                <w:szCs w:val="18"/>
              </w:rPr>
              <w:t>5</w:t>
            </w:r>
            <w:r w:rsidRPr="000345F0">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239" w:type="pct"/>
            <w:tcBorders>
              <w:top w:val="single" w:sz="4" w:space="0" w:color="auto"/>
              <w:left w:val="nil"/>
              <w:bottom w:val="single" w:sz="4" w:space="0" w:color="auto"/>
              <w:right w:val="single" w:sz="4" w:space="0" w:color="auto"/>
            </w:tcBorders>
            <w:vAlign w:val="center"/>
          </w:tcPr>
          <w:p w:rsidR="000345F0" w:rsidRPr="0092779F" w:rsidRDefault="000345F0" w:rsidP="00C92BB4">
            <w:pPr>
              <w:jc w:val="center"/>
              <w:rPr>
                <w:rFonts w:cs="Arial"/>
                <w:sz w:val="18"/>
                <w:szCs w:val="18"/>
              </w:rPr>
            </w:pPr>
            <w:r>
              <w:rPr>
                <w:rFonts w:cs="Arial"/>
                <w:sz w:val="18"/>
                <w:szCs w:val="18"/>
              </w:rPr>
              <w:t>nil</w:t>
            </w:r>
          </w:p>
        </w:tc>
      </w:tr>
      <w:tr w:rsidR="000345F0" w:rsidRPr="00CE2873" w:rsidTr="000345F0">
        <w:trPr>
          <w:trHeight w:val="197"/>
          <w:tblHeader/>
          <w:jc w:val="center"/>
        </w:trPr>
        <w:tc>
          <w:tcPr>
            <w:tcW w:w="5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345F0" w:rsidRPr="00C92BB4" w:rsidRDefault="000345F0" w:rsidP="00C92BB4">
            <w:pPr>
              <w:rPr>
                <w:rFonts w:cs="Arial"/>
                <w:sz w:val="18"/>
                <w:szCs w:val="18"/>
              </w:rPr>
            </w:pPr>
            <w:r w:rsidRPr="00C92BB4">
              <w:rPr>
                <w:rFonts w:cs="Arial"/>
                <w:sz w:val="18"/>
                <w:szCs w:val="18"/>
              </w:rPr>
              <w:t>BC Welford</w:t>
            </w:r>
          </w:p>
        </w:tc>
        <w:tc>
          <w:tcPr>
            <w:tcW w:w="252" w:type="pct"/>
            <w:tcBorders>
              <w:top w:val="single" w:sz="4" w:space="0" w:color="auto"/>
              <w:left w:val="nil"/>
              <w:bottom w:val="single" w:sz="4" w:space="0" w:color="auto"/>
              <w:right w:val="single" w:sz="4" w:space="0" w:color="auto"/>
            </w:tcBorders>
            <w:vAlign w:val="bottom"/>
          </w:tcPr>
          <w:p w:rsidR="000345F0" w:rsidRPr="007A38C1" w:rsidRDefault="000345F0" w:rsidP="00D177B4">
            <w:pPr>
              <w:jc w:val="center"/>
              <w:rPr>
                <w:rFonts w:ascii="Calibri" w:hAnsi="Calibri"/>
                <w:color w:val="000000"/>
                <w:sz w:val="18"/>
                <w:szCs w:val="18"/>
              </w:rPr>
            </w:pPr>
            <w:r w:rsidRPr="007A38C1">
              <w:rPr>
                <w:rFonts w:ascii="Calibri" w:hAnsi="Calibri"/>
                <w:color w:val="000000"/>
                <w:sz w:val="18"/>
                <w:szCs w:val="18"/>
              </w:rPr>
              <w:t>21</w:t>
            </w:r>
          </w:p>
        </w:tc>
        <w:tc>
          <w:tcPr>
            <w:tcW w:w="439"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81.4%</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259.5%</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98.2%</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183.9%</w:t>
            </w:r>
          </w:p>
        </w:tc>
        <w:tc>
          <w:tcPr>
            <w:tcW w:w="412" w:type="pct"/>
            <w:tcBorders>
              <w:top w:val="single" w:sz="4" w:space="0" w:color="auto"/>
              <w:left w:val="nil"/>
              <w:bottom w:val="single" w:sz="4" w:space="0" w:color="auto"/>
              <w:right w:val="single" w:sz="4" w:space="0" w:color="auto"/>
            </w:tcBorders>
            <w:shd w:val="clear" w:color="auto" w:fill="FFC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38.4%</w:t>
            </w:r>
          </w:p>
        </w:tc>
        <w:tc>
          <w:tcPr>
            <w:tcW w:w="387" w:type="pct"/>
            <w:tcBorders>
              <w:top w:val="single" w:sz="4" w:space="0" w:color="auto"/>
              <w:left w:val="nil"/>
              <w:bottom w:val="single" w:sz="4" w:space="0" w:color="auto"/>
              <w:right w:val="single" w:sz="4" w:space="0" w:color="auto"/>
            </w:tcBorders>
            <w:shd w:val="clear" w:color="auto" w:fill="FFFFFF"/>
            <w:vAlign w:val="center"/>
          </w:tcPr>
          <w:p w:rsidR="000345F0" w:rsidRPr="007A38C1" w:rsidRDefault="000345F0" w:rsidP="00D177B4">
            <w:pPr>
              <w:jc w:val="center"/>
              <w:rPr>
                <w:rFonts w:ascii="Calibri" w:hAnsi="Calibri" w:cs="Arial"/>
                <w:color w:val="000000"/>
                <w:sz w:val="18"/>
                <w:szCs w:val="18"/>
              </w:rPr>
            </w:pPr>
            <w:r w:rsidRPr="007A38C1">
              <w:rPr>
                <w:rFonts w:ascii="Calibri" w:hAnsi="Calibri" w:cs="Arial"/>
                <w:color w:val="000000"/>
                <w:sz w:val="18"/>
                <w:szCs w:val="18"/>
              </w:rPr>
              <w:t>7.1</w:t>
            </w:r>
          </w:p>
        </w:tc>
        <w:tc>
          <w:tcPr>
            <w:tcW w:w="366" w:type="pct"/>
            <w:tcBorders>
              <w:top w:val="single" w:sz="4" w:space="0" w:color="auto"/>
              <w:left w:val="single" w:sz="4" w:space="0" w:color="auto"/>
              <w:bottom w:val="single" w:sz="4" w:space="0" w:color="auto"/>
              <w:right w:val="single" w:sz="4" w:space="0" w:color="auto"/>
            </w:tcBorders>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16.8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sz w:val="18"/>
                <w:szCs w:val="18"/>
              </w:rPr>
            </w:pPr>
            <w:r>
              <w:rPr>
                <w:rFonts w:asciiTheme="minorHAnsi" w:hAnsiTheme="minorHAnsi" w:cs="Arial"/>
                <w:sz w:val="18"/>
                <w:szCs w:val="18"/>
              </w:rPr>
              <w:t>5</w:t>
            </w:r>
            <w:r w:rsidRPr="000345F0">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0</w:t>
            </w:r>
            <w:r w:rsidRPr="000345F0">
              <w:rPr>
                <w:rFonts w:asciiTheme="minorHAnsi" w:hAnsiTheme="minorHAnsi" w:cs="Arial"/>
                <w:color w:val="000000"/>
                <w:sz w:val="18"/>
                <w:szCs w:val="18"/>
              </w:rPr>
              <w:t>↓</w:t>
            </w:r>
          </w:p>
        </w:tc>
        <w:tc>
          <w:tcPr>
            <w:tcW w:w="239" w:type="pct"/>
            <w:tcBorders>
              <w:top w:val="single" w:sz="4" w:space="0" w:color="auto"/>
              <w:left w:val="nil"/>
              <w:bottom w:val="single" w:sz="4" w:space="0" w:color="auto"/>
              <w:right w:val="single" w:sz="4" w:space="0" w:color="auto"/>
            </w:tcBorders>
            <w:vAlign w:val="center"/>
          </w:tcPr>
          <w:p w:rsidR="000345F0" w:rsidRPr="0092779F" w:rsidRDefault="000345F0" w:rsidP="00141F4D">
            <w:pPr>
              <w:jc w:val="center"/>
              <w:rPr>
                <w:rFonts w:cs="Arial"/>
                <w:sz w:val="18"/>
                <w:szCs w:val="18"/>
              </w:rPr>
            </w:pPr>
            <w:r>
              <w:rPr>
                <w:rFonts w:cs="Arial"/>
                <w:sz w:val="18"/>
                <w:szCs w:val="18"/>
              </w:rPr>
              <w:t>100</w:t>
            </w:r>
          </w:p>
        </w:tc>
      </w:tr>
      <w:tr w:rsidR="000345F0" w:rsidRPr="00CE2873" w:rsidTr="000345F0">
        <w:trPr>
          <w:trHeight w:val="225"/>
          <w:tblHeader/>
          <w:jc w:val="center"/>
        </w:trPr>
        <w:tc>
          <w:tcPr>
            <w:tcW w:w="5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345F0" w:rsidRPr="00C92BB4" w:rsidRDefault="000345F0" w:rsidP="00C92BB4">
            <w:pPr>
              <w:rPr>
                <w:rFonts w:cs="Arial"/>
                <w:color w:val="000000"/>
                <w:sz w:val="18"/>
                <w:szCs w:val="18"/>
              </w:rPr>
            </w:pPr>
            <w:r w:rsidRPr="00C92BB4">
              <w:rPr>
                <w:rFonts w:cs="Arial"/>
                <w:color w:val="000000"/>
                <w:sz w:val="18"/>
                <w:szCs w:val="18"/>
              </w:rPr>
              <w:t>Coleman</w:t>
            </w:r>
          </w:p>
        </w:tc>
        <w:tc>
          <w:tcPr>
            <w:tcW w:w="252" w:type="pct"/>
            <w:tcBorders>
              <w:top w:val="single" w:sz="4" w:space="0" w:color="auto"/>
              <w:left w:val="nil"/>
              <w:bottom w:val="single" w:sz="4" w:space="0" w:color="auto"/>
              <w:right w:val="single" w:sz="4" w:space="0" w:color="auto"/>
            </w:tcBorders>
            <w:vAlign w:val="bottom"/>
          </w:tcPr>
          <w:p w:rsidR="000345F0" w:rsidRPr="007A38C1" w:rsidRDefault="000345F0" w:rsidP="00D177B4">
            <w:pPr>
              <w:jc w:val="center"/>
              <w:rPr>
                <w:rFonts w:ascii="Calibri" w:hAnsi="Calibri"/>
                <w:color w:val="000000"/>
                <w:sz w:val="18"/>
                <w:szCs w:val="18"/>
              </w:rPr>
            </w:pPr>
            <w:r w:rsidRPr="007A38C1">
              <w:rPr>
                <w:rFonts w:ascii="Calibri" w:hAnsi="Calibri"/>
                <w:color w:val="000000"/>
                <w:sz w:val="18"/>
                <w:szCs w:val="18"/>
              </w:rPr>
              <w:t>18</w:t>
            </w:r>
          </w:p>
        </w:tc>
        <w:tc>
          <w:tcPr>
            <w:tcW w:w="439" w:type="pct"/>
            <w:tcBorders>
              <w:top w:val="single" w:sz="4" w:space="0" w:color="auto"/>
              <w:left w:val="single" w:sz="4" w:space="0" w:color="auto"/>
              <w:bottom w:val="single" w:sz="4" w:space="0" w:color="auto"/>
              <w:right w:val="single" w:sz="4" w:space="0" w:color="auto"/>
            </w:tcBorders>
            <w:shd w:val="clear" w:color="auto" w:fill="FF0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66.1%</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328.1%</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92.9%</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217.9%</w:t>
            </w:r>
          </w:p>
        </w:tc>
        <w:tc>
          <w:tcPr>
            <w:tcW w:w="412" w:type="pct"/>
            <w:tcBorders>
              <w:top w:val="single" w:sz="4" w:space="0" w:color="auto"/>
              <w:left w:val="nil"/>
              <w:bottom w:val="single" w:sz="4" w:space="0" w:color="auto"/>
              <w:right w:val="single" w:sz="4" w:space="0" w:color="auto"/>
            </w:tcBorders>
            <w:shd w:val="clear" w:color="auto" w:fill="FF0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53.4%</w:t>
            </w:r>
          </w:p>
        </w:tc>
        <w:tc>
          <w:tcPr>
            <w:tcW w:w="387" w:type="pct"/>
            <w:tcBorders>
              <w:top w:val="single" w:sz="4" w:space="0" w:color="auto"/>
              <w:left w:val="nil"/>
              <w:bottom w:val="single" w:sz="4" w:space="0" w:color="auto"/>
              <w:right w:val="single" w:sz="4" w:space="0" w:color="auto"/>
            </w:tcBorders>
            <w:shd w:val="clear" w:color="auto" w:fill="FFFFFF"/>
            <w:vAlign w:val="center"/>
          </w:tcPr>
          <w:p w:rsidR="000345F0" w:rsidRPr="007A38C1" w:rsidRDefault="000345F0" w:rsidP="00D177B4">
            <w:pPr>
              <w:jc w:val="center"/>
              <w:rPr>
                <w:rFonts w:ascii="Calibri" w:hAnsi="Calibri" w:cs="Arial"/>
                <w:color w:val="000000"/>
                <w:sz w:val="18"/>
                <w:szCs w:val="18"/>
              </w:rPr>
            </w:pPr>
            <w:r w:rsidRPr="007A38C1">
              <w:rPr>
                <w:rFonts w:ascii="Calibri" w:hAnsi="Calibri" w:cs="Arial"/>
                <w:color w:val="000000"/>
                <w:sz w:val="18"/>
                <w:szCs w:val="18"/>
              </w:rPr>
              <w:t>9.6</w:t>
            </w:r>
          </w:p>
        </w:tc>
        <w:tc>
          <w:tcPr>
            <w:tcW w:w="366" w:type="pct"/>
            <w:tcBorders>
              <w:top w:val="single" w:sz="4" w:space="0" w:color="auto"/>
              <w:left w:val="single" w:sz="4" w:space="0" w:color="auto"/>
              <w:bottom w:val="single" w:sz="4" w:space="0" w:color="auto"/>
              <w:right w:val="single" w:sz="4" w:space="0" w:color="auto"/>
            </w:tcBorders>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4.9</w:t>
            </w:r>
            <w:r w:rsidRPr="000345F0">
              <w:rPr>
                <w:rFonts w:asciiTheme="minorHAnsi" w:hAnsiTheme="minorHAnsi" w:cs="Arial"/>
                <w:color w:val="000000"/>
                <w:sz w:val="18"/>
                <w:szCs w:val="18"/>
              </w:rPr>
              <w:t>↓</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jc w:val="center"/>
              <w:rPr>
                <w:rFonts w:asciiTheme="minorHAnsi" w:hAnsiTheme="minorHAnsi" w:cs="Arial"/>
                <w:sz w:val="18"/>
                <w:szCs w:val="18"/>
              </w:rPr>
            </w:pPr>
            <w:r>
              <w:rPr>
                <w:rFonts w:asciiTheme="minorHAnsi" w:hAnsiTheme="minorHAnsi" w:cs="Arial"/>
                <w:sz w:val="18"/>
                <w:szCs w:val="18"/>
              </w:rPr>
              <w:t>0</w:t>
            </w:r>
            <w:r w:rsidRPr="000345F0">
              <w:rPr>
                <w:rFonts w:asciiTheme="minorHAnsi" w:hAnsiTheme="minorHAnsi" w:cs="Arial"/>
                <w:color w:val="000000"/>
                <w:sz w:val="18"/>
                <w:szCs w:val="18"/>
              </w:rPr>
              <w:t>↓</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sz w:val="18"/>
                <w:szCs w:val="18"/>
              </w:rPr>
            </w:pPr>
            <w:r>
              <w:rPr>
                <w:rFonts w:asciiTheme="minorHAnsi" w:hAnsiTheme="minorHAnsi" w:cs="Arial"/>
                <w:sz w:val="18"/>
                <w:szCs w:val="18"/>
              </w:rPr>
              <w:t>5</w:t>
            </w:r>
            <w:r w:rsidRPr="000345F0">
              <w:rPr>
                <w:rFonts w:asciiTheme="minorHAnsi" w:hAnsiTheme="minorHAnsi" w:cs="Arial"/>
                <w:sz w:val="18"/>
                <w:szCs w:val="18"/>
              </w:rPr>
              <w:t>↑</w:t>
            </w:r>
          </w:p>
        </w:tc>
        <w:tc>
          <w:tcPr>
            <w:tcW w:w="251" w:type="pct"/>
            <w:tcBorders>
              <w:top w:val="single" w:sz="4" w:space="0" w:color="auto"/>
              <w:left w:val="nil"/>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345F0" w:rsidRPr="000345F0" w:rsidRDefault="000345F0" w:rsidP="0092779F">
            <w:pPr>
              <w:jc w:val="center"/>
              <w:rPr>
                <w:rFonts w:asciiTheme="minorHAnsi" w:hAnsiTheme="minorHAnsi" w:cs="Arial"/>
                <w:sz w:val="18"/>
                <w:szCs w:val="18"/>
              </w:rPr>
            </w:pPr>
            <w:r w:rsidRPr="000345F0">
              <w:rPr>
                <w:rFonts w:asciiTheme="minorHAnsi" w:hAnsiTheme="minorHAnsi" w:cs="Arial"/>
                <w:sz w:val="18"/>
                <w:szCs w:val="18"/>
              </w:rPr>
              <w:t>0</w:t>
            </w:r>
          </w:p>
        </w:tc>
        <w:tc>
          <w:tcPr>
            <w:tcW w:w="239" w:type="pct"/>
            <w:tcBorders>
              <w:top w:val="single" w:sz="4" w:space="0" w:color="auto"/>
              <w:left w:val="nil"/>
              <w:bottom w:val="single" w:sz="4" w:space="0" w:color="auto"/>
              <w:right w:val="single" w:sz="4" w:space="0" w:color="auto"/>
            </w:tcBorders>
            <w:vAlign w:val="center"/>
          </w:tcPr>
          <w:p w:rsidR="000345F0" w:rsidRPr="0092779F" w:rsidRDefault="000345F0" w:rsidP="00C92BB4">
            <w:pPr>
              <w:jc w:val="center"/>
              <w:rPr>
                <w:rFonts w:cs="Arial"/>
                <w:sz w:val="18"/>
                <w:szCs w:val="18"/>
              </w:rPr>
            </w:pPr>
            <w:r>
              <w:rPr>
                <w:rFonts w:cs="Arial"/>
                <w:sz w:val="18"/>
                <w:szCs w:val="18"/>
              </w:rPr>
              <w:t>nil</w:t>
            </w:r>
          </w:p>
        </w:tc>
      </w:tr>
      <w:tr w:rsidR="000345F0" w:rsidRPr="00CE2873" w:rsidTr="000345F0">
        <w:trPr>
          <w:trHeight w:val="225"/>
          <w:tblHeader/>
          <w:jc w:val="center"/>
        </w:trPr>
        <w:tc>
          <w:tcPr>
            <w:tcW w:w="5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345F0" w:rsidRPr="00C92BB4" w:rsidRDefault="000345F0" w:rsidP="00C92BB4">
            <w:pPr>
              <w:rPr>
                <w:rFonts w:cs="Arial"/>
                <w:color w:val="000000"/>
                <w:sz w:val="18"/>
                <w:szCs w:val="18"/>
              </w:rPr>
            </w:pPr>
            <w:r w:rsidRPr="00C92BB4">
              <w:rPr>
                <w:rFonts w:cs="Arial"/>
                <w:color w:val="000000"/>
                <w:sz w:val="18"/>
                <w:szCs w:val="18"/>
              </w:rPr>
              <w:t>Gwendolen</w:t>
            </w:r>
          </w:p>
        </w:tc>
        <w:tc>
          <w:tcPr>
            <w:tcW w:w="252" w:type="pct"/>
            <w:tcBorders>
              <w:top w:val="single" w:sz="4" w:space="0" w:color="auto"/>
              <w:left w:val="nil"/>
              <w:bottom w:val="single" w:sz="4" w:space="0" w:color="auto"/>
              <w:right w:val="single" w:sz="4" w:space="0" w:color="auto"/>
            </w:tcBorders>
            <w:vAlign w:val="bottom"/>
          </w:tcPr>
          <w:p w:rsidR="000345F0" w:rsidRPr="007A38C1" w:rsidRDefault="000345F0" w:rsidP="00D177B4">
            <w:pPr>
              <w:jc w:val="center"/>
              <w:rPr>
                <w:rFonts w:ascii="Calibri" w:hAnsi="Calibri"/>
                <w:color w:val="000000"/>
                <w:sz w:val="18"/>
                <w:szCs w:val="18"/>
              </w:rPr>
            </w:pPr>
            <w:r w:rsidRPr="007A38C1">
              <w:rPr>
                <w:rFonts w:ascii="Calibri" w:hAnsi="Calibri"/>
                <w:color w:val="000000"/>
                <w:sz w:val="18"/>
                <w:szCs w:val="18"/>
              </w:rPr>
              <w:t>17</w:t>
            </w:r>
          </w:p>
        </w:tc>
        <w:tc>
          <w:tcPr>
            <w:tcW w:w="439"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91.4%</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422.3%</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100.0%</w:t>
            </w:r>
          </w:p>
        </w:tc>
        <w:tc>
          <w:tcPr>
            <w:tcW w:w="429" w:type="pct"/>
            <w:tcBorders>
              <w:top w:val="single" w:sz="4" w:space="0" w:color="auto"/>
              <w:left w:val="nil"/>
              <w:bottom w:val="single" w:sz="4" w:space="0" w:color="auto"/>
              <w:right w:val="single" w:sz="4" w:space="0" w:color="auto"/>
            </w:tcBorders>
            <w:shd w:val="clear" w:color="auto" w:fill="92D05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378.6%</w:t>
            </w:r>
          </w:p>
        </w:tc>
        <w:tc>
          <w:tcPr>
            <w:tcW w:w="412" w:type="pct"/>
            <w:tcBorders>
              <w:top w:val="single" w:sz="4" w:space="0" w:color="auto"/>
              <w:left w:val="nil"/>
              <w:bottom w:val="single" w:sz="4" w:space="0" w:color="auto"/>
              <w:right w:val="single" w:sz="4" w:space="0" w:color="auto"/>
            </w:tcBorders>
            <w:shd w:val="clear" w:color="auto" w:fill="FF0000"/>
            <w:noWrap/>
            <w:vAlign w:val="bottom"/>
          </w:tcPr>
          <w:p w:rsidR="000345F0" w:rsidRPr="007A38C1" w:rsidRDefault="000345F0" w:rsidP="00D177B4">
            <w:pPr>
              <w:jc w:val="center"/>
              <w:rPr>
                <w:rFonts w:ascii="Calibri" w:hAnsi="Calibri"/>
                <w:b/>
                <w:color w:val="000000"/>
                <w:sz w:val="18"/>
                <w:szCs w:val="18"/>
              </w:rPr>
            </w:pPr>
            <w:r w:rsidRPr="007A38C1">
              <w:rPr>
                <w:rFonts w:ascii="Calibri" w:hAnsi="Calibri"/>
                <w:b/>
                <w:color w:val="000000"/>
                <w:sz w:val="18"/>
                <w:szCs w:val="18"/>
              </w:rPr>
              <w:t>54.4%</w:t>
            </w:r>
          </w:p>
        </w:tc>
        <w:tc>
          <w:tcPr>
            <w:tcW w:w="387" w:type="pct"/>
            <w:tcBorders>
              <w:top w:val="single" w:sz="4" w:space="0" w:color="auto"/>
              <w:left w:val="nil"/>
              <w:bottom w:val="single" w:sz="4" w:space="0" w:color="auto"/>
              <w:right w:val="single" w:sz="4" w:space="0" w:color="auto"/>
            </w:tcBorders>
            <w:shd w:val="clear" w:color="auto" w:fill="FFFFFF"/>
            <w:vAlign w:val="center"/>
          </w:tcPr>
          <w:p w:rsidR="000345F0" w:rsidRPr="007A38C1" w:rsidRDefault="000345F0" w:rsidP="00D177B4">
            <w:pPr>
              <w:jc w:val="center"/>
              <w:rPr>
                <w:rFonts w:ascii="Calibri" w:hAnsi="Calibri" w:cs="Arial"/>
                <w:color w:val="000000"/>
                <w:sz w:val="18"/>
                <w:szCs w:val="18"/>
              </w:rPr>
            </w:pPr>
            <w:r w:rsidRPr="007A38C1">
              <w:rPr>
                <w:rFonts w:ascii="Calibri" w:hAnsi="Calibri" w:cs="Arial"/>
                <w:color w:val="000000"/>
                <w:sz w:val="18"/>
                <w:szCs w:val="18"/>
              </w:rPr>
              <w:t>13.8</w:t>
            </w:r>
          </w:p>
        </w:tc>
        <w:tc>
          <w:tcPr>
            <w:tcW w:w="366" w:type="pct"/>
            <w:tcBorders>
              <w:top w:val="single" w:sz="4" w:space="0" w:color="auto"/>
              <w:left w:val="single" w:sz="4" w:space="0" w:color="auto"/>
              <w:bottom w:val="single" w:sz="4" w:space="0" w:color="auto"/>
              <w:right w:val="single" w:sz="4" w:space="0" w:color="auto"/>
            </w:tcBorders>
          </w:tcPr>
          <w:p w:rsidR="000345F0" w:rsidRPr="000345F0" w:rsidRDefault="000345F0" w:rsidP="000345F0">
            <w:pPr>
              <w:jc w:val="center"/>
              <w:rPr>
                <w:rFonts w:asciiTheme="minorHAnsi" w:hAnsiTheme="minorHAnsi" w:cs="Arial"/>
                <w:sz w:val="18"/>
                <w:szCs w:val="18"/>
              </w:rPr>
            </w:pPr>
            <w:r>
              <w:rPr>
                <w:rFonts w:asciiTheme="minorHAnsi" w:hAnsiTheme="minorHAnsi" w:cs="Arial"/>
                <w:sz w:val="18"/>
                <w:szCs w:val="18"/>
              </w:rPr>
              <w:t>21.4</w:t>
            </w:r>
            <w:r w:rsidRPr="000345F0">
              <w:rPr>
                <w:rFonts w:asciiTheme="minorHAnsi" w:hAnsiTheme="minorHAnsi" w:cs="Arial"/>
                <w:sz w:val="18"/>
                <w:szCs w:val="18"/>
              </w:rPr>
              <w:t>↑</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141F4D">
            <w:pPr>
              <w:rPr>
                <w:rFonts w:asciiTheme="minorHAnsi" w:hAnsiTheme="minorHAnsi" w:cs="Arial"/>
                <w:sz w:val="18"/>
                <w:szCs w:val="18"/>
              </w:rPr>
            </w:pPr>
            <w:r w:rsidRPr="000345F0">
              <w:rPr>
                <w:rFonts w:asciiTheme="minorHAnsi" w:hAnsiTheme="minorHAnsi" w:cs="Arial"/>
                <w:sz w:val="18"/>
                <w:szCs w:val="18"/>
              </w:rPr>
              <w:t xml:space="preserve">  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sz w:val="18"/>
                <w:szCs w:val="18"/>
              </w:rPr>
            </w:pPr>
            <w:r>
              <w:rPr>
                <w:rFonts w:asciiTheme="minorHAnsi" w:hAnsiTheme="minorHAnsi" w:cs="Arial"/>
                <w:sz w:val="18"/>
                <w:szCs w:val="18"/>
              </w:rPr>
              <w:t>13</w:t>
            </w:r>
            <w:r w:rsidRPr="000345F0">
              <w:rPr>
                <w:rFonts w:asciiTheme="minorHAnsi" w:hAnsiTheme="minorHAnsi" w:cs="Arial"/>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345F0" w:rsidRPr="000345F0" w:rsidRDefault="000345F0" w:rsidP="00C92BB4">
            <w:pPr>
              <w:jc w:val="center"/>
              <w:rPr>
                <w:rFonts w:asciiTheme="minorHAnsi" w:hAnsiTheme="minorHAnsi" w:cs="Arial"/>
                <w:sz w:val="18"/>
                <w:szCs w:val="18"/>
              </w:rPr>
            </w:pPr>
            <w:r w:rsidRPr="000345F0">
              <w:rPr>
                <w:rFonts w:asciiTheme="minorHAnsi" w:hAnsiTheme="minorHAnsi" w:cs="Arial"/>
                <w:sz w:val="18"/>
                <w:szCs w:val="18"/>
              </w:rPr>
              <w:t>1</w:t>
            </w:r>
            <w:r w:rsidRPr="000345F0">
              <w:rPr>
                <w:rFonts w:asciiTheme="minorHAnsi" w:hAnsiTheme="minorHAnsi" w:cs="Arial"/>
                <w:color w:val="000000"/>
                <w:sz w:val="18"/>
                <w:szCs w:val="18"/>
              </w:rPr>
              <w:t>↓</w:t>
            </w:r>
          </w:p>
        </w:tc>
        <w:tc>
          <w:tcPr>
            <w:tcW w:w="239" w:type="pct"/>
            <w:tcBorders>
              <w:top w:val="single" w:sz="4" w:space="0" w:color="auto"/>
              <w:left w:val="nil"/>
              <w:bottom w:val="single" w:sz="4" w:space="0" w:color="auto"/>
              <w:right w:val="single" w:sz="4" w:space="0" w:color="auto"/>
            </w:tcBorders>
            <w:vAlign w:val="center"/>
          </w:tcPr>
          <w:p w:rsidR="000345F0" w:rsidRPr="0092779F" w:rsidRDefault="000345F0" w:rsidP="00C92BB4">
            <w:pPr>
              <w:jc w:val="center"/>
              <w:rPr>
                <w:rFonts w:cs="Arial"/>
                <w:sz w:val="18"/>
                <w:szCs w:val="18"/>
              </w:rPr>
            </w:pPr>
            <w:r>
              <w:rPr>
                <w:rFonts w:cs="Arial"/>
                <w:sz w:val="18"/>
                <w:szCs w:val="18"/>
              </w:rPr>
              <w:t>nil</w:t>
            </w:r>
          </w:p>
        </w:tc>
      </w:tr>
      <w:tr w:rsidR="000345F0" w:rsidRPr="00CE2873" w:rsidTr="000345F0">
        <w:trPr>
          <w:trHeight w:val="225"/>
          <w:tblHeader/>
          <w:jc w:val="center"/>
        </w:trPr>
        <w:tc>
          <w:tcPr>
            <w:tcW w:w="55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345F0" w:rsidRPr="00C92BB4" w:rsidRDefault="000345F0" w:rsidP="00C92BB4">
            <w:pPr>
              <w:ind w:left="46"/>
              <w:rPr>
                <w:rFonts w:cs="Arial"/>
                <w:b/>
                <w:sz w:val="18"/>
                <w:szCs w:val="18"/>
              </w:rPr>
            </w:pPr>
            <w:r w:rsidRPr="00C92BB4">
              <w:rPr>
                <w:rFonts w:cs="Arial"/>
                <w:b/>
                <w:sz w:val="18"/>
                <w:szCs w:val="18"/>
              </w:rPr>
              <w:t>TOTALS</w:t>
            </w:r>
          </w:p>
        </w:tc>
        <w:tc>
          <w:tcPr>
            <w:tcW w:w="25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345F0" w:rsidRPr="00C92BB4" w:rsidRDefault="000345F0" w:rsidP="00C92BB4">
            <w:pPr>
              <w:jc w:val="center"/>
              <w:rPr>
                <w:rFonts w:cs="Arial"/>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345F0" w:rsidRPr="00C92BB4" w:rsidRDefault="000345F0" w:rsidP="00C92BB4">
            <w:pPr>
              <w:jc w:val="center"/>
              <w:rPr>
                <w:rFonts w:cs="Arial"/>
                <w:b/>
                <w:color w:val="FF0000"/>
                <w:sz w:val="18"/>
                <w:szCs w:val="18"/>
              </w:rPr>
            </w:pPr>
          </w:p>
        </w:tc>
        <w:tc>
          <w:tcPr>
            <w:tcW w:w="42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345F0" w:rsidRPr="00C92BB4" w:rsidRDefault="000345F0" w:rsidP="00C92BB4">
            <w:pPr>
              <w:jc w:val="center"/>
              <w:rPr>
                <w:rFonts w:cs="Arial"/>
                <w:b/>
                <w:color w:val="FF0000"/>
                <w:sz w:val="18"/>
                <w:szCs w:val="18"/>
              </w:rPr>
            </w:pPr>
          </w:p>
        </w:tc>
        <w:tc>
          <w:tcPr>
            <w:tcW w:w="42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345F0" w:rsidRPr="00C92BB4" w:rsidRDefault="000345F0" w:rsidP="00C92BB4">
            <w:pPr>
              <w:jc w:val="center"/>
              <w:rPr>
                <w:rFonts w:cs="Arial"/>
                <w:b/>
                <w:color w:val="FF0000"/>
                <w:sz w:val="18"/>
                <w:szCs w:val="18"/>
              </w:rPr>
            </w:pPr>
          </w:p>
        </w:tc>
        <w:tc>
          <w:tcPr>
            <w:tcW w:w="429"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345F0" w:rsidRPr="00C92BB4" w:rsidRDefault="000345F0" w:rsidP="00C92B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345F0" w:rsidRPr="00C92BB4" w:rsidRDefault="000345F0" w:rsidP="00C92BB4">
            <w:pPr>
              <w:ind w:left="46"/>
              <w:jc w:val="center"/>
              <w:rPr>
                <w:rFonts w:cs="Arial"/>
                <w:b/>
                <w:color w:val="FF0000"/>
                <w:sz w:val="18"/>
                <w:szCs w:val="18"/>
              </w:rPr>
            </w:pPr>
          </w:p>
        </w:tc>
        <w:tc>
          <w:tcPr>
            <w:tcW w:w="38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345F0" w:rsidRPr="00C92BB4" w:rsidRDefault="000345F0" w:rsidP="00C92BB4">
            <w:pPr>
              <w:ind w:left="46"/>
              <w:jc w:val="center"/>
              <w:rPr>
                <w:rFonts w:cs="Arial"/>
                <w:b/>
                <w:sz w:val="18"/>
                <w:szCs w:val="18"/>
              </w:rPr>
            </w:pPr>
          </w:p>
        </w:tc>
        <w:tc>
          <w:tcPr>
            <w:tcW w:w="36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345F0" w:rsidRPr="000345F0" w:rsidRDefault="000345F0" w:rsidP="00C92BB4">
            <w:pPr>
              <w:ind w:left="46"/>
              <w:jc w:val="center"/>
              <w:rPr>
                <w:rFonts w:asciiTheme="minorHAnsi" w:hAnsiTheme="minorHAnsi" w:cs="Arial"/>
                <w:sz w:val="18"/>
                <w:szCs w:val="18"/>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b/>
                <w:sz w:val="18"/>
                <w:szCs w:val="18"/>
              </w:rPr>
            </w:pPr>
            <w:r w:rsidRPr="000345F0">
              <w:rPr>
                <w:rFonts w:asciiTheme="minorHAnsi" w:hAnsiTheme="minorHAnsi" w:cs="Arial"/>
                <w:b/>
                <w:sz w:val="18"/>
                <w:szCs w:val="18"/>
              </w:rPr>
              <w:t>0</w:t>
            </w:r>
            <w:r w:rsidRPr="000345F0">
              <w:rPr>
                <w:rFonts w:asciiTheme="minorHAnsi" w:hAnsiTheme="minorHAnsi" w:cs="Arial"/>
                <w:b/>
                <w:color w:val="000000"/>
                <w:sz w:val="18"/>
                <w:szCs w:val="18"/>
              </w:rPr>
              <w:t>↓</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45F0" w:rsidRPr="000345F0" w:rsidRDefault="000345F0" w:rsidP="00C92BB4">
            <w:pPr>
              <w:ind w:left="46"/>
              <w:jc w:val="center"/>
              <w:rPr>
                <w:rFonts w:asciiTheme="minorHAnsi" w:hAnsiTheme="minorHAnsi" w:cs="Arial"/>
                <w:b/>
                <w:sz w:val="18"/>
                <w:szCs w:val="18"/>
              </w:rPr>
            </w:pPr>
            <w:r w:rsidRPr="000345F0">
              <w:rPr>
                <w:rFonts w:asciiTheme="minorHAnsi" w:hAnsiTheme="minorHAnsi" w:cs="Arial"/>
                <w:b/>
                <w:sz w:val="18"/>
                <w:szCs w:val="18"/>
              </w:rPr>
              <w:t>28</w:t>
            </w:r>
            <w:r w:rsidRPr="000345F0">
              <w:rPr>
                <w:rFonts w:asciiTheme="minorHAnsi" w:hAnsiTheme="minorHAnsi" w:cs="Arial"/>
                <w:b/>
                <w:color w:val="000000"/>
                <w:sz w:val="18"/>
                <w:szCs w:val="18"/>
              </w:rPr>
              <w:t>↓</w:t>
            </w:r>
          </w:p>
        </w:tc>
        <w:tc>
          <w:tcPr>
            <w:tcW w:w="251" w:type="pct"/>
            <w:tcBorders>
              <w:top w:val="single" w:sz="4" w:space="0" w:color="auto"/>
              <w:left w:val="nil"/>
              <w:bottom w:val="single" w:sz="4" w:space="0" w:color="auto"/>
              <w:right w:val="single" w:sz="4" w:space="0" w:color="auto"/>
            </w:tcBorders>
            <w:vAlign w:val="center"/>
          </w:tcPr>
          <w:p w:rsidR="000345F0" w:rsidRPr="000345F0" w:rsidRDefault="000345F0" w:rsidP="00C92BB4">
            <w:pPr>
              <w:ind w:left="46"/>
              <w:jc w:val="center"/>
              <w:rPr>
                <w:rFonts w:asciiTheme="minorHAnsi" w:hAnsiTheme="minorHAnsi" w:cs="Arial"/>
                <w:b/>
                <w:sz w:val="18"/>
                <w:szCs w:val="18"/>
              </w:rPr>
            </w:pPr>
            <w:r w:rsidRPr="000345F0">
              <w:rPr>
                <w:rFonts w:asciiTheme="minorHAnsi" w:hAnsiTheme="minorHAnsi" w:cs="Arial"/>
                <w:b/>
                <w:sz w:val="18"/>
                <w:szCs w:val="18"/>
              </w:rPr>
              <w:t>0</w:t>
            </w:r>
          </w:p>
        </w:tc>
        <w:tc>
          <w:tcPr>
            <w:tcW w:w="251" w:type="pct"/>
            <w:tcBorders>
              <w:top w:val="single" w:sz="4" w:space="0" w:color="auto"/>
              <w:left w:val="single" w:sz="4" w:space="0" w:color="auto"/>
              <w:bottom w:val="single" w:sz="4" w:space="0" w:color="auto"/>
              <w:right w:val="single" w:sz="4" w:space="0" w:color="auto"/>
            </w:tcBorders>
            <w:vAlign w:val="center"/>
          </w:tcPr>
          <w:p w:rsidR="000345F0" w:rsidRPr="000345F0" w:rsidRDefault="000345F0" w:rsidP="00C92BB4">
            <w:pPr>
              <w:ind w:left="46"/>
              <w:jc w:val="center"/>
              <w:rPr>
                <w:rFonts w:asciiTheme="minorHAnsi" w:hAnsiTheme="minorHAnsi" w:cs="Arial"/>
                <w:b/>
                <w:sz w:val="18"/>
                <w:szCs w:val="18"/>
              </w:rPr>
            </w:pPr>
            <w:r w:rsidRPr="000345F0">
              <w:rPr>
                <w:rFonts w:asciiTheme="minorHAnsi" w:hAnsiTheme="minorHAnsi" w:cs="Arial"/>
                <w:b/>
                <w:sz w:val="18"/>
                <w:szCs w:val="18"/>
              </w:rPr>
              <w:t>2↑</w:t>
            </w:r>
          </w:p>
        </w:tc>
        <w:tc>
          <w:tcPr>
            <w:tcW w:w="23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345F0" w:rsidRPr="0092779F" w:rsidRDefault="000345F0" w:rsidP="0092779F">
            <w:pPr>
              <w:keepNext/>
              <w:ind w:left="46"/>
              <w:rPr>
                <w:rFonts w:cs="Arial"/>
                <w:b/>
                <w:color w:val="FF0000"/>
                <w:sz w:val="18"/>
                <w:szCs w:val="18"/>
              </w:rPr>
            </w:pPr>
          </w:p>
        </w:tc>
      </w:tr>
    </w:tbl>
    <w:p w:rsidR="004046FF" w:rsidRDefault="00B35D37" w:rsidP="00711A58">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8</w:t>
      </w:r>
      <w:r w:rsidR="0067196C">
        <w:rPr>
          <w:noProof/>
        </w:rPr>
        <w:fldChar w:fldCharType="end"/>
      </w:r>
      <w:r>
        <w:t xml:space="preserve"> - </w:t>
      </w:r>
      <w:r w:rsidRPr="00663B63">
        <w:t>Mental Health Services for Older People (MHSOP)</w:t>
      </w:r>
      <w:r>
        <w:t xml:space="preserve"> safer staffing</w:t>
      </w:r>
    </w:p>
    <w:p w:rsidR="00566E5D" w:rsidRPr="00566E5D" w:rsidRDefault="00566E5D" w:rsidP="00566E5D">
      <w:pPr>
        <w:pStyle w:val="ListParagraph"/>
        <w:numPr>
          <w:ilvl w:val="0"/>
          <w:numId w:val="21"/>
        </w:numPr>
        <w:jc w:val="both"/>
        <w:rPr>
          <w:rFonts w:cs="Arial"/>
        </w:rPr>
      </w:pPr>
      <w:r>
        <w:rPr>
          <w:rFonts w:cs="Arial"/>
        </w:rPr>
        <w:t xml:space="preserve">Kirby and </w:t>
      </w:r>
      <w:r w:rsidR="005D2199" w:rsidRPr="00F634D5">
        <w:rPr>
          <w:rFonts w:cs="Arial"/>
        </w:rPr>
        <w:t>Coleman</w:t>
      </w:r>
      <w:r>
        <w:rPr>
          <w:rFonts w:cs="Arial"/>
        </w:rPr>
        <w:t xml:space="preserve"> and </w:t>
      </w:r>
      <w:r w:rsidR="00F558A7" w:rsidRPr="00F634D5">
        <w:rPr>
          <w:rFonts w:cs="Arial"/>
        </w:rPr>
        <w:t>wards</w:t>
      </w:r>
      <w:r w:rsidR="0093427C" w:rsidRPr="00F634D5">
        <w:rPr>
          <w:rFonts w:cs="Arial"/>
        </w:rPr>
        <w:t xml:space="preserve"> in Mental Health Services for Older Peo</w:t>
      </w:r>
      <w:r w:rsidR="00F558A7" w:rsidRPr="00F634D5">
        <w:rPr>
          <w:rFonts w:cs="Arial"/>
        </w:rPr>
        <w:t>p</w:t>
      </w:r>
      <w:r w:rsidR="00633365" w:rsidRPr="00F634D5">
        <w:rPr>
          <w:rFonts w:cs="Arial"/>
        </w:rPr>
        <w:t>le</w:t>
      </w:r>
      <w:r>
        <w:rPr>
          <w:rFonts w:cs="Arial"/>
        </w:rPr>
        <w:t xml:space="preserve"> (MHSOP) were hotspots in February 2019</w:t>
      </w:r>
      <w:r w:rsidR="0093427C" w:rsidRPr="00F634D5">
        <w:rPr>
          <w:rFonts w:cs="Arial"/>
        </w:rPr>
        <w:t xml:space="preserve"> </w:t>
      </w:r>
      <w:r w:rsidR="00F558A7" w:rsidRPr="00F634D5">
        <w:rPr>
          <w:rFonts w:cs="Arial"/>
        </w:rPr>
        <w:t>as they</w:t>
      </w:r>
      <w:r w:rsidR="0093427C" w:rsidRPr="00F634D5">
        <w:rPr>
          <w:rFonts w:cs="Arial"/>
        </w:rPr>
        <w:t xml:space="preserve"> did not achieve the planned RN levels on day</w:t>
      </w:r>
      <w:r w:rsidR="00A73125" w:rsidRPr="00F634D5">
        <w:rPr>
          <w:rFonts w:cs="Arial"/>
        </w:rPr>
        <w:t xml:space="preserve"> </w:t>
      </w:r>
      <w:r w:rsidR="0093427C" w:rsidRPr="00F634D5">
        <w:rPr>
          <w:rFonts w:cs="Arial"/>
        </w:rPr>
        <w:t>s</w:t>
      </w:r>
      <w:r w:rsidR="00A73125" w:rsidRPr="00F634D5">
        <w:rPr>
          <w:rFonts w:cs="Arial"/>
        </w:rPr>
        <w:t>hifts</w:t>
      </w:r>
      <w:r w:rsidR="00B53967" w:rsidRPr="00F634D5">
        <w:rPr>
          <w:rFonts w:cs="Arial"/>
        </w:rPr>
        <w:t>.</w:t>
      </w:r>
      <w:r w:rsidRPr="00566E5D">
        <w:t xml:space="preserve"> </w:t>
      </w:r>
      <w:r w:rsidRPr="009F3F5B">
        <w:t>All wards have a Medication Administration Technician to support with administering prescribed medication, medication education and general medicines management</w:t>
      </w:r>
      <w:r>
        <w:t xml:space="preserve"> resulting in a reduced number of actual RNs on duty but within safe parameters (minimum of two).</w:t>
      </w:r>
    </w:p>
    <w:p w:rsidR="00566E5D" w:rsidRPr="00566E5D" w:rsidRDefault="00566E5D" w:rsidP="00566E5D">
      <w:pPr>
        <w:pStyle w:val="ListParagraph"/>
        <w:ind w:left="360"/>
        <w:jc w:val="both"/>
        <w:rPr>
          <w:rFonts w:cs="Arial"/>
        </w:rPr>
      </w:pPr>
    </w:p>
    <w:p w:rsidR="00C165B1" w:rsidRDefault="00566E5D" w:rsidP="00C165B1">
      <w:pPr>
        <w:pStyle w:val="ListParagraph"/>
        <w:numPr>
          <w:ilvl w:val="0"/>
          <w:numId w:val="21"/>
        </w:numPr>
        <w:jc w:val="both"/>
        <w:rPr>
          <w:rFonts w:cs="Arial"/>
        </w:rPr>
      </w:pPr>
      <w:r w:rsidRPr="00566E5D">
        <w:rPr>
          <w:rFonts w:cs="Arial"/>
        </w:rPr>
        <w:t>A review of the NSIs and patient feedback has not identified any staffing impact on the quality and safety of patient care/outcomes.</w:t>
      </w:r>
    </w:p>
    <w:p w:rsidR="00F634D5" w:rsidRPr="00566E5D" w:rsidRDefault="00F634D5" w:rsidP="00566E5D">
      <w:pPr>
        <w:pStyle w:val="ListParagraph"/>
        <w:ind w:left="360"/>
        <w:jc w:val="both"/>
        <w:rPr>
          <w:rFonts w:cs="Arial"/>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413" w:type="pct"/>
        <w:jc w:val="center"/>
        <w:tblInd w:w="56" w:type="dxa"/>
        <w:tblLayout w:type="fixed"/>
        <w:tblLook w:val="04A0" w:firstRow="1" w:lastRow="0" w:firstColumn="1" w:lastColumn="0" w:noHBand="0" w:noVBand="1"/>
      </w:tblPr>
      <w:tblGrid>
        <w:gridCol w:w="2058"/>
        <w:gridCol w:w="580"/>
        <w:gridCol w:w="995"/>
        <w:gridCol w:w="984"/>
        <w:gridCol w:w="984"/>
        <w:gridCol w:w="984"/>
        <w:gridCol w:w="758"/>
        <w:gridCol w:w="851"/>
        <w:gridCol w:w="815"/>
        <w:gridCol w:w="485"/>
        <w:gridCol w:w="505"/>
        <w:gridCol w:w="510"/>
        <w:gridCol w:w="774"/>
      </w:tblGrid>
      <w:tr w:rsidR="005B7F3B" w:rsidRPr="00CE2873" w:rsidTr="005B7F3B">
        <w:trPr>
          <w:cantSplit/>
          <w:trHeight w:val="211"/>
          <w:tblHeader/>
          <w:jc w:val="center"/>
        </w:trPr>
        <w:tc>
          <w:tcPr>
            <w:tcW w:w="91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5B7F3B" w:rsidRPr="00CE2873" w:rsidRDefault="005B7F3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5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B7F3B" w:rsidRPr="00CE2873" w:rsidRDefault="005B7F3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36" w:type="pct"/>
            <w:vMerge w:val="restart"/>
            <w:tcBorders>
              <w:top w:val="single" w:sz="4" w:space="0" w:color="auto"/>
              <w:left w:val="nil"/>
              <w:right w:val="single" w:sz="4" w:space="0" w:color="auto"/>
            </w:tcBorders>
            <w:shd w:val="clear" w:color="auto" w:fill="548DD4" w:themeFill="text2" w:themeFillTint="99"/>
            <w:noWrap/>
            <w:vAlign w:val="center"/>
          </w:tcPr>
          <w:p w:rsidR="005B7F3B" w:rsidRPr="00CE2873" w:rsidRDefault="005B7F3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7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B7F3B" w:rsidRPr="00CE2873" w:rsidRDefault="005B7F3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61" w:type="pct"/>
            <w:tcBorders>
              <w:top w:val="single" w:sz="4" w:space="0" w:color="auto"/>
              <w:left w:val="single" w:sz="4" w:space="0" w:color="auto"/>
              <w:right w:val="single" w:sz="4" w:space="0" w:color="auto"/>
            </w:tcBorders>
            <w:shd w:val="clear" w:color="auto" w:fill="548DD4" w:themeFill="text2" w:themeFillTint="99"/>
            <w:textDirection w:val="btLr"/>
          </w:tcPr>
          <w:p w:rsidR="005B7F3B" w:rsidRPr="00CE2873" w:rsidRDefault="005B7F3B" w:rsidP="009305B6">
            <w:pPr>
              <w:ind w:left="30" w:right="113"/>
              <w:jc w:val="center"/>
              <w:rPr>
                <w:rFonts w:cs="Arial"/>
                <w:b/>
                <w:color w:val="FFFFFF" w:themeColor="background1"/>
                <w:sz w:val="18"/>
                <w:szCs w:val="18"/>
              </w:rPr>
            </w:pPr>
          </w:p>
        </w:tc>
        <w:tc>
          <w:tcPr>
            <w:tcW w:w="21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B7F3B" w:rsidRPr="00CE2873" w:rsidRDefault="005B7F3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5B7F3B" w:rsidRPr="00CE2873" w:rsidRDefault="005B7F3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5B7F3B" w:rsidRPr="00CE2873" w:rsidRDefault="005B7F3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B7F3B" w:rsidRPr="00CE2873" w:rsidRDefault="005B7F3B"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5B7F3B" w:rsidRPr="00CE2873" w:rsidTr="005B7F3B">
        <w:trPr>
          <w:cantSplit/>
          <w:trHeight w:val="850"/>
          <w:tblHeader/>
          <w:jc w:val="center"/>
        </w:trPr>
        <w:tc>
          <w:tcPr>
            <w:tcW w:w="912" w:type="pct"/>
            <w:vMerge/>
            <w:tcBorders>
              <w:left w:val="single" w:sz="4" w:space="0" w:color="auto"/>
              <w:bottom w:val="single" w:sz="4" w:space="0" w:color="auto"/>
              <w:right w:val="single" w:sz="4" w:space="0" w:color="auto"/>
            </w:tcBorders>
            <w:shd w:val="clear" w:color="auto" w:fill="C6D9F1"/>
            <w:noWrap/>
            <w:vAlign w:val="center"/>
          </w:tcPr>
          <w:p w:rsidR="005B7F3B" w:rsidRPr="00CE2873" w:rsidRDefault="005B7F3B" w:rsidP="009305B6">
            <w:pPr>
              <w:jc w:val="center"/>
              <w:rPr>
                <w:rFonts w:cs="Arial"/>
                <w:b/>
                <w:sz w:val="18"/>
                <w:szCs w:val="18"/>
              </w:rPr>
            </w:pPr>
          </w:p>
        </w:tc>
        <w:tc>
          <w:tcPr>
            <w:tcW w:w="257" w:type="pct"/>
            <w:vMerge/>
            <w:tcBorders>
              <w:left w:val="nil"/>
              <w:bottom w:val="single" w:sz="4" w:space="0" w:color="auto"/>
              <w:right w:val="single" w:sz="4" w:space="0" w:color="auto"/>
            </w:tcBorders>
            <w:shd w:val="clear" w:color="auto" w:fill="C6D9F1"/>
            <w:textDirection w:val="btLr"/>
            <w:vAlign w:val="center"/>
          </w:tcPr>
          <w:p w:rsidR="005B7F3B" w:rsidRPr="00CE2873" w:rsidRDefault="005B7F3B" w:rsidP="009305B6">
            <w:pPr>
              <w:ind w:left="113" w:right="113"/>
              <w:jc w:val="center"/>
              <w:rPr>
                <w:rFonts w:cs="Arial"/>
                <w:b/>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5B7F3B" w:rsidRPr="00CE2873" w:rsidRDefault="005B7F3B" w:rsidP="009305B6">
            <w:pPr>
              <w:ind w:left="30"/>
              <w:jc w:val="center"/>
              <w:rPr>
                <w:rFonts w:cs="Arial"/>
                <w:b/>
                <w:color w:val="FFFFFF"/>
                <w:sz w:val="18"/>
                <w:szCs w:val="18"/>
              </w:rPr>
            </w:pPr>
            <w:r w:rsidRPr="00CE2873">
              <w:rPr>
                <w:rFonts w:cs="Arial"/>
                <w:b/>
                <w:color w:val="FFFFFF"/>
                <w:sz w:val="18"/>
                <w:szCs w:val="18"/>
              </w:rPr>
              <w:t>HCSW</w:t>
            </w: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30"/>
              <w:jc w:val="center"/>
              <w:rPr>
                <w:rFonts w:cs="Arial"/>
                <w:b/>
                <w:color w:val="FFFFFF"/>
                <w:sz w:val="18"/>
                <w:szCs w:val="18"/>
              </w:rPr>
            </w:pPr>
            <w:r w:rsidRPr="00CE2873">
              <w:rPr>
                <w:rFonts w:cs="Arial"/>
                <w:b/>
                <w:color w:val="FFFFFF"/>
                <w:sz w:val="18"/>
                <w:szCs w:val="18"/>
              </w:rPr>
              <w:t>% of actual vs total planned shifts RN</w:t>
            </w:r>
          </w:p>
          <w:p w:rsidR="005B7F3B" w:rsidRPr="00CE2873" w:rsidRDefault="005B7F3B" w:rsidP="009305B6">
            <w:pPr>
              <w:ind w:left="30"/>
              <w:jc w:val="center"/>
              <w:rPr>
                <w:rFonts w:cs="Arial"/>
                <w:b/>
                <w:color w:val="FFFFFF"/>
                <w:sz w:val="18"/>
                <w:szCs w:val="18"/>
              </w:rPr>
            </w:pPr>
          </w:p>
        </w:tc>
        <w:tc>
          <w:tcPr>
            <w:tcW w:w="43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5B7F3B" w:rsidRPr="00CE2873" w:rsidRDefault="005B7F3B" w:rsidP="009305B6">
            <w:pPr>
              <w:ind w:left="30"/>
              <w:jc w:val="center"/>
              <w:rPr>
                <w:rFonts w:cs="Arial"/>
                <w:b/>
                <w:color w:val="FFFFFF"/>
                <w:sz w:val="18"/>
                <w:szCs w:val="18"/>
              </w:rPr>
            </w:pPr>
            <w:r w:rsidRPr="00CE2873">
              <w:rPr>
                <w:rFonts w:cs="Arial"/>
                <w:b/>
                <w:color w:val="FFFFFF"/>
                <w:sz w:val="18"/>
                <w:szCs w:val="18"/>
              </w:rPr>
              <w:t>HCSW</w:t>
            </w:r>
          </w:p>
          <w:p w:rsidR="005B7F3B" w:rsidRPr="00CE2873" w:rsidRDefault="005B7F3B" w:rsidP="009305B6">
            <w:pPr>
              <w:ind w:left="30"/>
              <w:jc w:val="center"/>
              <w:rPr>
                <w:rFonts w:cs="Arial"/>
                <w:b/>
                <w:color w:val="FFFFFF"/>
                <w:sz w:val="18"/>
                <w:szCs w:val="18"/>
              </w:rPr>
            </w:pPr>
          </w:p>
        </w:tc>
        <w:tc>
          <w:tcPr>
            <w:tcW w:w="336" w:type="pct"/>
            <w:vMerge/>
            <w:tcBorders>
              <w:left w:val="nil"/>
              <w:bottom w:val="single" w:sz="4" w:space="0" w:color="auto"/>
              <w:right w:val="single" w:sz="4" w:space="0" w:color="auto"/>
            </w:tcBorders>
            <w:shd w:val="clear" w:color="auto" w:fill="548DD4" w:themeFill="text2" w:themeFillTint="99"/>
            <w:noWrap/>
            <w:vAlign w:val="center"/>
          </w:tcPr>
          <w:p w:rsidR="005B7F3B" w:rsidRPr="00CE2873" w:rsidRDefault="005B7F3B" w:rsidP="009305B6">
            <w:pPr>
              <w:ind w:left="30"/>
              <w:jc w:val="center"/>
              <w:rPr>
                <w:rFonts w:cs="Arial"/>
                <w:b/>
                <w:color w:val="FFFFFF"/>
                <w:sz w:val="18"/>
                <w:szCs w:val="18"/>
              </w:rPr>
            </w:pPr>
          </w:p>
        </w:tc>
        <w:tc>
          <w:tcPr>
            <w:tcW w:w="37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B7F3B" w:rsidRPr="00CE2873" w:rsidRDefault="005B7F3B" w:rsidP="009305B6">
            <w:pPr>
              <w:ind w:left="30"/>
              <w:jc w:val="center"/>
              <w:rPr>
                <w:rFonts w:cs="Arial"/>
                <w:b/>
                <w:color w:val="FFFFFF"/>
                <w:sz w:val="18"/>
                <w:szCs w:val="18"/>
              </w:rPr>
            </w:pPr>
            <w:r w:rsidRPr="00CE2873">
              <w:rPr>
                <w:rFonts w:cs="Arial"/>
                <w:b/>
                <w:color w:val="FFFFFF"/>
                <w:sz w:val="18"/>
                <w:szCs w:val="18"/>
              </w:rPr>
              <w:t>Care Hours</w:t>
            </w:r>
          </w:p>
          <w:p w:rsidR="005B7F3B" w:rsidRPr="00CE2873" w:rsidRDefault="005B7F3B" w:rsidP="009305B6">
            <w:pPr>
              <w:ind w:left="30"/>
              <w:jc w:val="center"/>
              <w:rPr>
                <w:rFonts w:cs="Arial"/>
                <w:b/>
                <w:color w:val="FFFFFF"/>
                <w:sz w:val="18"/>
                <w:szCs w:val="18"/>
              </w:rPr>
            </w:pPr>
            <w:r w:rsidRPr="00CE2873">
              <w:rPr>
                <w:rFonts w:cs="Arial"/>
                <w:b/>
                <w:color w:val="FFFFFF"/>
                <w:sz w:val="18"/>
                <w:szCs w:val="18"/>
              </w:rPr>
              <w:t>Per Patient Day</w:t>
            </w:r>
          </w:p>
        </w:tc>
        <w:tc>
          <w:tcPr>
            <w:tcW w:w="361" w:type="pct"/>
            <w:tcBorders>
              <w:left w:val="single" w:sz="4" w:space="0" w:color="auto"/>
              <w:bottom w:val="single" w:sz="4" w:space="0" w:color="auto"/>
              <w:right w:val="single" w:sz="4" w:space="0" w:color="auto"/>
            </w:tcBorders>
            <w:shd w:val="clear" w:color="auto" w:fill="548DD4" w:themeFill="text2" w:themeFillTint="99"/>
            <w:textDirection w:val="btLr"/>
          </w:tcPr>
          <w:p w:rsidR="005B7F3B" w:rsidRPr="005B7F3B" w:rsidRDefault="005B7F3B" w:rsidP="009305B6">
            <w:pPr>
              <w:ind w:left="30" w:right="113"/>
              <w:jc w:val="center"/>
              <w:rPr>
                <w:rFonts w:cs="Arial"/>
                <w:b/>
                <w:color w:val="FFFFFF" w:themeColor="background1"/>
                <w:sz w:val="18"/>
                <w:szCs w:val="18"/>
              </w:rPr>
            </w:pPr>
            <w:r>
              <w:rPr>
                <w:rFonts w:cs="Arial"/>
                <w:b/>
                <w:color w:val="FFFFFF" w:themeColor="background1"/>
                <w:sz w:val="18"/>
                <w:szCs w:val="18"/>
              </w:rPr>
              <w:t>Vacancy rate %</w:t>
            </w:r>
          </w:p>
        </w:tc>
        <w:tc>
          <w:tcPr>
            <w:tcW w:w="215" w:type="pct"/>
            <w:vMerge/>
            <w:tcBorders>
              <w:left w:val="single" w:sz="4" w:space="0" w:color="auto"/>
              <w:bottom w:val="single" w:sz="4" w:space="0" w:color="auto"/>
              <w:right w:val="single" w:sz="4" w:space="0" w:color="auto"/>
            </w:tcBorders>
            <w:shd w:val="clear" w:color="auto" w:fill="95B3D7"/>
            <w:noWrap/>
            <w:textDirection w:val="btLr"/>
            <w:vAlign w:val="center"/>
          </w:tcPr>
          <w:p w:rsidR="005B7F3B" w:rsidRPr="00CE2873" w:rsidRDefault="005B7F3B" w:rsidP="009305B6">
            <w:pPr>
              <w:ind w:left="30" w:right="113"/>
              <w:jc w:val="center"/>
              <w:rPr>
                <w:rFonts w:cs="Arial"/>
                <w:b/>
                <w:sz w:val="18"/>
                <w:szCs w:val="18"/>
              </w:rPr>
            </w:pPr>
          </w:p>
        </w:tc>
        <w:tc>
          <w:tcPr>
            <w:tcW w:w="22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5B7F3B" w:rsidRPr="00CE2873" w:rsidRDefault="005B7F3B" w:rsidP="009305B6">
            <w:pPr>
              <w:ind w:left="46" w:right="113"/>
              <w:jc w:val="center"/>
              <w:rPr>
                <w:rFonts w:cs="Arial"/>
                <w:b/>
                <w:sz w:val="18"/>
                <w:szCs w:val="18"/>
              </w:rPr>
            </w:pPr>
          </w:p>
        </w:tc>
        <w:tc>
          <w:tcPr>
            <w:tcW w:w="22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5B7F3B" w:rsidRPr="00CE2873" w:rsidRDefault="005B7F3B" w:rsidP="009305B6">
            <w:pPr>
              <w:ind w:left="30" w:right="113"/>
              <w:jc w:val="center"/>
              <w:rPr>
                <w:rFonts w:cs="Arial"/>
                <w:b/>
                <w:sz w:val="18"/>
                <w:szCs w:val="18"/>
              </w:rPr>
            </w:pPr>
          </w:p>
        </w:tc>
        <w:tc>
          <w:tcPr>
            <w:tcW w:w="343" w:type="pct"/>
            <w:vMerge/>
            <w:tcBorders>
              <w:left w:val="nil"/>
              <w:bottom w:val="single" w:sz="4" w:space="0" w:color="auto"/>
              <w:right w:val="single" w:sz="4" w:space="0" w:color="auto"/>
            </w:tcBorders>
            <w:shd w:val="clear" w:color="auto" w:fill="95B3D7"/>
            <w:textDirection w:val="btLr"/>
            <w:vAlign w:val="center"/>
          </w:tcPr>
          <w:p w:rsidR="005B7F3B" w:rsidRPr="00CE2873" w:rsidRDefault="005B7F3B" w:rsidP="009305B6">
            <w:pPr>
              <w:ind w:left="30" w:right="113"/>
              <w:jc w:val="center"/>
              <w:rPr>
                <w:rFonts w:cs="Arial"/>
                <w:b/>
                <w:sz w:val="18"/>
                <w:szCs w:val="18"/>
              </w:rPr>
            </w:pPr>
          </w:p>
        </w:tc>
      </w:tr>
      <w:tr w:rsidR="005B7F3B" w:rsidRPr="00CE2873" w:rsidTr="005B7F3B">
        <w:trPr>
          <w:trHeight w:val="225"/>
          <w:tblHeader/>
          <w:jc w:val="center"/>
        </w:trPr>
        <w:tc>
          <w:tcPr>
            <w:tcW w:w="9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7F3B" w:rsidRPr="00C92BB4" w:rsidRDefault="005B7F3B" w:rsidP="00C92BB4">
            <w:pPr>
              <w:rPr>
                <w:rFonts w:cs="Arial"/>
                <w:sz w:val="18"/>
                <w:szCs w:val="18"/>
              </w:rPr>
            </w:pPr>
            <w:r w:rsidRPr="00C92BB4">
              <w:rPr>
                <w:rFonts w:cs="Arial"/>
                <w:sz w:val="18"/>
                <w:szCs w:val="18"/>
              </w:rPr>
              <w:t>Langley</w:t>
            </w:r>
          </w:p>
        </w:tc>
        <w:tc>
          <w:tcPr>
            <w:tcW w:w="257" w:type="pct"/>
            <w:tcBorders>
              <w:top w:val="single" w:sz="4" w:space="0" w:color="auto"/>
              <w:left w:val="nil"/>
              <w:bottom w:val="single" w:sz="4" w:space="0" w:color="auto"/>
              <w:right w:val="single" w:sz="4" w:space="0" w:color="auto"/>
            </w:tcBorders>
            <w:vAlign w:val="bottom"/>
          </w:tcPr>
          <w:p w:rsidR="005B7F3B" w:rsidRPr="00B20ED3" w:rsidRDefault="005B7F3B" w:rsidP="00D177B4">
            <w:pPr>
              <w:jc w:val="center"/>
              <w:rPr>
                <w:rFonts w:ascii="Calibri" w:hAnsi="Calibri"/>
                <w:color w:val="000000"/>
                <w:sz w:val="18"/>
                <w:szCs w:val="18"/>
              </w:rPr>
            </w:pPr>
            <w:r w:rsidRPr="00B20ED3">
              <w:rPr>
                <w:rFonts w:ascii="Calibri" w:hAnsi="Calibri"/>
                <w:color w:val="000000"/>
                <w:sz w:val="18"/>
                <w:szCs w:val="18"/>
              </w:rPr>
              <w:t>12</w:t>
            </w:r>
          </w:p>
        </w:tc>
        <w:tc>
          <w:tcPr>
            <w:tcW w:w="441"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126.6%</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191.7%</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100.0%</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190.6%</w:t>
            </w:r>
          </w:p>
        </w:tc>
        <w:tc>
          <w:tcPr>
            <w:tcW w:w="336" w:type="pct"/>
            <w:tcBorders>
              <w:top w:val="single" w:sz="4" w:space="0" w:color="auto"/>
              <w:left w:val="nil"/>
              <w:bottom w:val="single" w:sz="4" w:space="0" w:color="auto"/>
              <w:right w:val="single" w:sz="4" w:space="0" w:color="auto"/>
            </w:tcBorders>
            <w:shd w:val="clear" w:color="auto" w:fill="FFC000"/>
            <w:noWrap/>
            <w:vAlign w:val="bottom"/>
          </w:tcPr>
          <w:p w:rsidR="005B7F3B" w:rsidRPr="00B20ED3" w:rsidRDefault="005B7F3B" w:rsidP="00D177B4">
            <w:pPr>
              <w:jc w:val="center"/>
              <w:rPr>
                <w:rFonts w:ascii="Calibri" w:hAnsi="Calibri"/>
                <w:b/>
                <w:color w:val="000000"/>
                <w:sz w:val="18"/>
                <w:szCs w:val="18"/>
              </w:rPr>
            </w:pPr>
            <w:r w:rsidRPr="00B20ED3">
              <w:rPr>
                <w:rFonts w:ascii="Calibri" w:hAnsi="Calibri"/>
                <w:b/>
                <w:color w:val="000000"/>
                <w:sz w:val="18"/>
                <w:szCs w:val="18"/>
              </w:rPr>
              <w:t>45.0%</w:t>
            </w:r>
          </w:p>
        </w:tc>
        <w:tc>
          <w:tcPr>
            <w:tcW w:w="377" w:type="pct"/>
            <w:tcBorders>
              <w:top w:val="single" w:sz="4" w:space="0" w:color="auto"/>
              <w:left w:val="nil"/>
              <w:bottom w:val="single" w:sz="4" w:space="0" w:color="auto"/>
              <w:right w:val="single" w:sz="4" w:space="0" w:color="auto"/>
            </w:tcBorders>
            <w:shd w:val="clear" w:color="auto" w:fill="FFFFFF"/>
            <w:vAlign w:val="center"/>
          </w:tcPr>
          <w:p w:rsidR="005B7F3B" w:rsidRPr="00B20ED3" w:rsidRDefault="005B7F3B" w:rsidP="00D177B4">
            <w:pPr>
              <w:jc w:val="center"/>
              <w:rPr>
                <w:rFonts w:ascii="Calibri" w:hAnsi="Calibri" w:cs="Arial"/>
                <w:color w:val="000000"/>
                <w:sz w:val="18"/>
                <w:szCs w:val="18"/>
              </w:rPr>
            </w:pPr>
            <w:r w:rsidRPr="00B20ED3">
              <w:rPr>
                <w:rFonts w:ascii="Calibri" w:hAnsi="Calibri" w:cs="Arial"/>
                <w:color w:val="000000"/>
                <w:sz w:val="18"/>
                <w:szCs w:val="18"/>
              </w:rPr>
              <w:t>11.4</w:t>
            </w:r>
          </w:p>
        </w:tc>
        <w:tc>
          <w:tcPr>
            <w:tcW w:w="361" w:type="pct"/>
            <w:tcBorders>
              <w:top w:val="single" w:sz="4" w:space="0" w:color="auto"/>
              <w:left w:val="single" w:sz="4" w:space="0" w:color="auto"/>
              <w:bottom w:val="single" w:sz="4" w:space="0" w:color="auto"/>
              <w:right w:val="single" w:sz="4" w:space="0" w:color="auto"/>
            </w:tcBorders>
          </w:tcPr>
          <w:p w:rsidR="005B7F3B" w:rsidRPr="005B7F3B" w:rsidRDefault="005B7F3B" w:rsidP="00092D5B">
            <w:pPr>
              <w:jc w:val="center"/>
              <w:rPr>
                <w:rFonts w:asciiTheme="minorHAnsi" w:hAnsiTheme="minorHAnsi" w:cs="Arial"/>
                <w:sz w:val="18"/>
                <w:szCs w:val="18"/>
              </w:rPr>
            </w:pPr>
            <w:r>
              <w:rPr>
                <w:rFonts w:asciiTheme="minorHAnsi" w:hAnsiTheme="minorHAnsi" w:cs="Arial"/>
                <w:sz w:val="18"/>
                <w:szCs w:val="18"/>
              </w:rPr>
              <w:t>21.1</w:t>
            </w:r>
            <w:r w:rsidRPr="000345F0">
              <w:rPr>
                <w:rFonts w:asciiTheme="minorHAnsi" w:hAnsiTheme="minorHAnsi"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5B7F3B" w:rsidRDefault="00971F98" w:rsidP="00092D5B">
            <w:pPr>
              <w:jc w:val="center"/>
              <w:rPr>
                <w:rFonts w:asciiTheme="minorHAnsi" w:hAnsiTheme="minorHAnsi" w:cs="Arial"/>
                <w:sz w:val="18"/>
                <w:szCs w:val="18"/>
              </w:rPr>
            </w:pPr>
            <w:r>
              <w:rPr>
                <w:rFonts w:asciiTheme="minorHAnsi" w:hAnsiTheme="minorHAnsi" w:cs="Arial"/>
                <w:sz w:val="18"/>
                <w:szCs w:val="18"/>
              </w:rPr>
              <w:t>0</w:t>
            </w:r>
            <w:r w:rsidR="005B7F3B" w:rsidRPr="005B7F3B">
              <w:rPr>
                <w:rFonts w:asciiTheme="minorHAnsi" w:hAnsiTheme="minorHAnsi" w:cs="Arial"/>
                <w:color w:val="000000"/>
                <w:sz w:val="18"/>
                <w:szCs w:val="18"/>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5B7F3B" w:rsidRDefault="00971F98" w:rsidP="00092D5B">
            <w:pPr>
              <w:jc w:val="center"/>
              <w:rPr>
                <w:rFonts w:asciiTheme="minorHAnsi" w:hAnsiTheme="minorHAnsi" w:cs="Arial"/>
                <w:sz w:val="18"/>
                <w:szCs w:val="18"/>
              </w:rPr>
            </w:pPr>
            <w:r>
              <w:rPr>
                <w:rFonts w:asciiTheme="minorHAnsi" w:hAnsiTheme="minorHAnsi" w:cs="Arial"/>
                <w:sz w:val="18"/>
                <w:szCs w:val="18"/>
              </w:rPr>
              <w:t>1</w:t>
            </w:r>
            <w:r w:rsidRPr="000345F0">
              <w:rPr>
                <w:rFonts w:asciiTheme="minorHAnsi" w:hAnsiTheme="minorHAnsi" w:cs="Arial"/>
                <w:sz w:val="18"/>
                <w:szCs w:val="18"/>
              </w:rPr>
              <w:t>↑</w:t>
            </w:r>
          </w:p>
        </w:tc>
        <w:tc>
          <w:tcPr>
            <w:tcW w:w="226" w:type="pct"/>
            <w:tcBorders>
              <w:top w:val="single" w:sz="4" w:space="0" w:color="auto"/>
              <w:left w:val="single" w:sz="4" w:space="0" w:color="auto"/>
              <w:bottom w:val="single" w:sz="4" w:space="0" w:color="auto"/>
              <w:right w:val="single" w:sz="4" w:space="0" w:color="auto"/>
            </w:tcBorders>
            <w:vAlign w:val="center"/>
          </w:tcPr>
          <w:p w:rsidR="005B7F3B" w:rsidRPr="005B7F3B" w:rsidRDefault="005B7F3B"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43" w:type="pct"/>
            <w:tcBorders>
              <w:top w:val="single" w:sz="4" w:space="0" w:color="auto"/>
              <w:left w:val="nil"/>
              <w:bottom w:val="single" w:sz="4" w:space="0" w:color="auto"/>
              <w:right w:val="single" w:sz="4" w:space="0" w:color="auto"/>
            </w:tcBorders>
            <w:vAlign w:val="center"/>
          </w:tcPr>
          <w:p w:rsidR="005B7F3B" w:rsidRPr="005B7F3B" w:rsidRDefault="00971F98" w:rsidP="00092D5B">
            <w:pPr>
              <w:jc w:val="center"/>
              <w:rPr>
                <w:rFonts w:asciiTheme="minorHAnsi" w:hAnsiTheme="minorHAnsi" w:cs="Arial"/>
                <w:sz w:val="18"/>
                <w:szCs w:val="18"/>
              </w:rPr>
            </w:pPr>
            <w:r>
              <w:rPr>
                <w:rFonts w:asciiTheme="minorHAnsi" w:hAnsiTheme="minorHAnsi" w:cs="Arial"/>
                <w:sz w:val="18"/>
                <w:szCs w:val="18"/>
              </w:rPr>
              <w:t>100</w:t>
            </w:r>
          </w:p>
        </w:tc>
      </w:tr>
      <w:tr w:rsidR="005B7F3B" w:rsidRPr="00CE2873" w:rsidTr="005B7F3B">
        <w:trPr>
          <w:trHeight w:val="197"/>
          <w:tblHeader/>
          <w:jc w:val="center"/>
        </w:trPr>
        <w:tc>
          <w:tcPr>
            <w:tcW w:w="9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7F3B" w:rsidRPr="00C92BB4" w:rsidRDefault="005B7F3B" w:rsidP="00C92BB4">
            <w:pPr>
              <w:rPr>
                <w:rFonts w:cs="Arial"/>
                <w:sz w:val="18"/>
                <w:szCs w:val="18"/>
              </w:rPr>
            </w:pPr>
            <w:r w:rsidRPr="00C92BB4">
              <w:rPr>
                <w:rFonts w:cs="Arial"/>
                <w:sz w:val="18"/>
                <w:szCs w:val="18"/>
              </w:rPr>
              <w:t>CV Ward 3 - CAMHS</w:t>
            </w:r>
          </w:p>
        </w:tc>
        <w:tc>
          <w:tcPr>
            <w:tcW w:w="257" w:type="pct"/>
            <w:tcBorders>
              <w:top w:val="single" w:sz="4" w:space="0" w:color="auto"/>
              <w:left w:val="nil"/>
              <w:bottom w:val="single" w:sz="4" w:space="0" w:color="auto"/>
              <w:right w:val="single" w:sz="4" w:space="0" w:color="auto"/>
            </w:tcBorders>
            <w:vAlign w:val="bottom"/>
          </w:tcPr>
          <w:p w:rsidR="005B7F3B" w:rsidRPr="00B20ED3" w:rsidRDefault="005B7F3B" w:rsidP="00D177B4">
            <w:pPr>
              <w:jc w:val="center"/>
              <w:rPr>
                <w:rFonts w:ascii="Calibri" w:hAnsi="Calibri"/>
                <w:color w:val="000000"/>
                <w:sz w:val="18"/>
                <w:szCs w:val="18"/>
              </w:rPr>
            </w:pPr>
            <w:r w:rsidRPr="00B20ED3">
              <w:rPr>
                <w:rFonts w:ascii="Calibri" w:hAnsi="Calibri"/>
                <w:color w:val="000000"/>
                <w:sz w:val="18"/>
                <w:szCs w:val="18"/>
              </w:rPr>
              <w:t>7</w:t>
            </w:r>
          </w:p>
        </w:tc>
        <w:tc>
          <w:tcPr>
            <w:tcW w:w="441"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148.1%</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211.4%</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153.8%</w:t>
            </w:r>
          </w:p>
        </w:tc>
        <w:tc>
          <w:tcPr>
            <w:tcW w:w="436" w:type="pct"/>
            <w:tcBorders>
              <w:top w:val="single" w:sz="4" w:space="0" w:color="auto"/>
              <w:left w:val="nil"/>
              <w:bottom w:val="single" w:sz="4" w:space="0" w:color="auto"/>
              <w:right w:val="single" w:sz="4" w:space="0" w:color="auto"/>
            </w:tcBorders>
            <w:shd w:val="clear" w:color="auto" w:fill="92D050"/>
            <w:noWrap/>
            <w:vAlign w:val="bottom"/>
          </w:tcPr>
          <w:p w:rsidR="005B7F3B" w:rsidRPr="00B20ED3" w:rsidRDefault="005B7F3B" w:rsidP="00D177B4">
            <w:pPr>
              <w:jc w:val="center"/>
              <w:rPr>
                <w:rFonts w:ascii="Calibri" w:hAnsi="Calibri"/>
                <w:b/>
                <w:sz w:val="18"/>
                <w:szCs w:val="18"/>
              </w:rPr>
            </w:pPr>
            <w:r w:rsidRPr="00B20ED3">
              <w:rPr>
                <w:rFonts w:ascii="Calibri" w:hAnsi="Calibri"/>
                <w:b/>
                <w:sz w:val="18"/>
                <w:szCs w:val="18"/>
              </w:rPr>
              <w:t>182.1%</w:t>
            </w:r>
          </w:p>
        </w:tc>
        <w:tc>
          <w:tcPr>
            <w:tcW w:w="336" w:type="pct"/>
            <w:tcBorders>
              <w:top w:val="single" w:sz="4" w:space="0" w:color="auto"/>
              <w:left w:val="nil"/>
              <w:bottom w:val="single" w:sz="4" w:space="0" w:color="auto"/>
              <w:right w:val="single" w:sz="4" w:space="0" w:color="auto"/>
            </w:tcBorders>
            <w:shd w:val="clear" w:color="auto" w:fill="FFC000"/>
            <w:noWrap/>
            <w:vAlign w:val="bottom"/>
          </w:tcPr>
          <w:p w:rsidR="005B7F3B" w:rsidRPr="00B20ED3" w:rsidRDefault="005B7F3B" w:rsidP="00D177B4">
            <w:pPr>
              <w:jc w:val="center"/>
              <w:rPr>
                <w:rFonts w:ascii="Calibri" w:hAnsi="Calibri"/>
                <w:b/>
                <w:color w:val="000000"/>
                <w:sz w:val="18"/>
                <w:szCs w:val="18"/>
              </w:rPr>
            </w:pPr>
            <w:r w:rsidRPr="00B20ED3">
              <w:rPr>
                <w:rFonts w:ascii="Calibri" w:hAnsi="Calibri"/>
                <w:b/>
                <w:color w:val="000000"/>
                <w:sz w:val="18"/>
                <w:szCs w:val="18"/>
              </w:rPr>
              <w:t>25.8%</w:t>
            </w:r>
          </w:p>
        </w:tc>
        <w:tc>
          <w:tcPr>
            <w:tcW w:w="377" w:type="pct"/>
            <w:tcBorders>
              <w:top w:val="single" w:sz="4" w:space="0" w:color="auto"/>
              <w:left w:val="nil"/>
              <w:bottom w:val="single" w:sz="4" w:space="0" w:color="auto"/>
              <w:right w:val="single" w:sz="4" w:space="0" w:color="auto"/>
            </w:tcBorders>
            <w:shd w:val="clear" w:color="auto" w:fill="FFFFFF"/>
            <w:vAlign w:val="center"/>
          </w:tcPr>
          <w:p w:rsidR="005B7F3B" w:rsidRPr="00B20ED3" w:rsidRDefault="005B7F3B" w:rsidP="00D177B4">
            <w:pPr>
              <w:jc w:val="center"/>
              <w:rPr>
                <w:rFonts w:ascii="Calibri" w:hAnsi="Calibri" w:cs="Arial"/>
                <w:color w:val="000000"/>
                <w:sz w:val="18"/>
                <w:szCs w:val="18"/>
              </w:rPr>
            </w:pPr>
            <w:r w:rsidRPr="00B20ED3">
              <w:rPr>
                <w:rFonts w:ascii="Calibri" w:hAnsi="Calibri" w:cs="Arial"/>
                <w:color w:val="000000"/>
                <w:sz w:val="18"/>
                <w:szCs w:val="18"/>
              </w:rPr>
              <w:t>16.5</w:t>
            </w:r>
          </w:p>
        </w:tc>
        <w:tc>
          <w:tcPr>
            <w:tcW w:w="361" w:type="pct"/>
            <w:tcBorders>
              <w:top w:val="single" w:sz="4" w:space="0" w:color="auto"/>
              <w:left w:val="single" w:sz="4" w:space="0" w:color="auto"/>
              <w:bottom w:val="single" w:sz="4" w:space="0" w:color="auto"/>
              <w:right w:val="single" w:sz="4" w:space="0" w:color="auto"/>
            </w:tcBorders>
          </w:tcPr>
          <w:p w:rsidR="005B7F3B" w:rsidRPr="005B7F3B" w:rsidRDefault="00971F98" w:rsidP="00092D5B">
            <w:pPr>
              <w:jc w:val="center"/>
              <w:rPr>
                <w:rFonts w:asciiTheme="minorHAnsi" w:hAnsiTheme="minorHAnsi" w:cs="Arial"/>
                <w:sz w:val="18"/>
                <w:szCs w:val="18"/>
              </w:rPr>
            </w:pPr>
            <w:r>
              <w:rPr>
                <w:rFonts w:asciiTheme="minorHAnsi" w:hAnsiTheme="minorHAnsi" w:cs="Arial"/>
                <w:sz w:val="18"/>
                <w:szCs w:val="18"/>
              </w:rPr>
              <w:t>7.8</w:t>
            </w:r>
            <w:r w:rsidRPr="005B7F3B">
              <w:rPr>
                <w:rFonts w:asciiTheme="minorHAnsi" w:hAnsiTheme="minorHAnsi" w:cs="Arial"/>
                <w:color w:val="000000"/>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5B7F3B" w:rsidRDefault="005B7F3B"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5B7F3B" w:rsidRDefault="005B7F3B"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226" w:type="pct"/>
            <w:tcBorders>
              <w:top w:val="single" w:sz="4" w:space="0" w:color="auto"/>
              <w:left w:val="single" w:sz="4" w:space="0" w:color="auto"/>
              <w:bottom w:val="single" w:sz="4" w:space="0" w:color="auto"/>
              <w:right w:val="single" w:sz="4" w:space="0" w:color="auto"/>
            </w:tcBorders>
            <w:vAlign w:val="center"/>
          </w:tcPr>
          <w:p w:rsidR="005B7F3B" w:rsidRPr="005B7F3B" w:rsidRDefault="005B7F3B" w:rsidP="00092D5B">
            <w:pPr>
              <w:jc w:val="center"/>
              <w:rPr>
                <w:rFonts w:asciiTheme="minorHAnsi" w:hAnsiTheme="minorHAnsi" w:cs="Arial"/>
                <w:sz w:val="18"/>
                <w:szCs w:val="18"/>
              </w:rPr>
            </w:pPr>
            <w:r w:rsidRPr="005B7F3B">
              <w:rPr>
                <w:rFonts w:asciiTheme="minorHAnsi" w:hAnsiTheme="minorHAnsi" w:cs="Arial"/>
                <w:sz w:val="18"/>
                <w:szCs w:val="18"/>
              </w:rPr>
              <w:t>0</w:t>
            </w:r>
          </w:p>
        </w:tc>
        <w:tc>
          <w:tcPr>
            <w:tcW w:w="343" w:type="pct"/>
            <w:tcBorders>
              <w:top w:val="single" w:sz="4" w:space="0" w:color="auto"/>
              <w:left w:val="nil"/>
              <w:bottom w:val="single" w:sz="4" w:space="0" w:color="auto"/>
              <w:right w:val="single" w:sz="4" w:space="0" w:color="auto"/>
            </w:tcBorders>
            <w:vAlign w:val="center"/>
          </w:tcPr>
          <w:p w:rsidR="005B7F3B" w:rsidRPr="005B7F3B" w:rsidRDefault="005B7F3B" w:rsidP="00092D5B">
            <w:pPr>
              <w:jc w:val="center"/>
              <w:rPr>
                <w:rFonts w:asciiTheme="minorHAnsi" w:hAnsiTheme="minorHAnsi" w:cs="Arial"/>
                <w:sz w:val="18"/>
                <w:szCs w:val="18"/>
              </w:rPr>
            </w:pPr>
            <w:r w:rsidRPr="005B7F3B">
              <w:rPr>
                <w:rFonts w:asciiTheme="minorHAnsi" w:hAnsiTheme="minorHAnsi" w:cs="Arial"/>
                <w:sz w:val="18"/>
                <w:szCs w:val="18"/>
              </w:rPr>
              <w:t>nil</w:t>
            </w:r>
          </w:p>
        </w:tc>
      </w:tr>
      <w:tr w:rsidR="005B7F3B" w:rsidRPr="00CE2873" w:rsidTr="005B7F3B">
        <w:trPr>
          <w:trHeight w:val="225"/>
          <w:tblHeader/>
          <w:jc w:val="center"/>
        </w:trPr>
        <w:tc>
          <w:tcPr>
            <w:tcW w:w="9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7F3B" w:rsidRPr="00C92BB4" w:rsidRDefault="005B7F3B" w:rsidP="00C92BB4">
            <w:pPr>
              <w:rPr>
                <w:rFonts w:cs="Arial"/>
                <w:b/>
                <w:sz w:val="18"/>
                <w:szCs w:val="18"/>
              </w:rPr>
            </w:pPr>
            <w:r w:rsidRPr="00C92BB4">
              <w:rPr>
                <w:rFonts w:cs="Arial"/>
                <w:b/>
                <w:sz w:val="18"/>
                <w:szCs w:val="18"/>
              </w:rPr>
              <w:t>TOTALS</w:t>
            </w:r>
          </w:p>
        </w:tc>
        <w:tc>
          <w:tcPr>
            <w:tcW w:w="25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5B7F3B" w:rsidRPr="00C92BB4" w:rsidRDefault="005B7F3B" w:rsidP="00092D5B">
            <w:pPr>
              <w:jc w:val="center"/>
              <w:rPr>
                <w:rFonts w:cs="Arial"/>
                <w:b/>
                <w:color w:val="000000"/>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5B7F3B" w:rsidRPr="00C92BB4" w:rsidRDefault="005B7F3B" w:rsidP="00092D5B">
            <w:pPr>
              <w:jc w:val="center"/>
              <w:rPr>
                <w:rFonts w:cs="Arial"/>
                <w:b/>
                <w:color w:val="000000"/>
                <w:sz w:val="18"/>
                <w:szCs w:val="18"/>
              </w:rPr>
            </w:pPr>
          </w:p>
        </w:tc>
        <w:tc>
          <w:tcPr>
            <w:tcW w:w="43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5B7F3B" w:rsidRPr="00C92BB4" w:rsidRDefault="005B7F3B" w:rsidP="00092D5B">
            <w:pPr>
              <w:jc w:val="center"/>
              <w:rPr>
                <w:rFonts w:cs="Arial"/>
                <w:b/>
                <w:color w:val="000000"/>
                <w:sz w:val="18"/>
                <w:szCs w:val="18"/>
              </w:rPr>
            </w:pPr>
          </w:p>
        </w:tc>
        <w:tc>
          <w:tcPr>
            <w:tcW w:w="43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5B7F3B" w:rsidRPr="00C92BB4" w:rsidRDefault="005B7F3B" w:rsidP="00092D5B">
            <w:pPr>
              <w:jc w:val="center"/>
              <w:rPr>
                <w:rFonts w:cs="Arial"/>
                <w:b/>
                <w:color w:val="000000"/>
                <w:sz w:val="18"/>
                <w:szCs w:val="18"/>
              </w:rPr>
            </w:pPr>
          </w:p>
        </w:tc>
        <w:tc>
          <w:tcPr>
            <w:tcW w:w="43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5B7F3B" w:rsidRPr="00C92BB4" w:rsidRDefault="005B7F3B" w:rsidP="00092D5B">
            <w:pPr>
              <w:jc w:val="center"/>
              <w:rPr>
                <w:rFonts w:cs="Arial"/>
                <w:b/>
                <w:color w:val="000000"/>
                <w:sz w:val="18"/>
                <w:szCs w:val="18"/>
              </w:rPr>
            </w:pPr>
          </w:p>
        </w:tc>
        <w:tc>
          <w:tcPr>
            <w:tcW w:w="33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5B7F3B" w:rsidRPr="00C92BB4" w:rsidRDefault="005B7F3B" w:rsidP="00092D5B">
            <w:pPr>
              <w:jc w:val="center"/>
              <w:rPr>
                <w:rFonts w:cs="Arial"/>
                <w:b/>
                <w:color w:val="000000"/>
                <w:sz w:val="18"/>
                <w:szCs w:val="18"/>
              </w:rPr>
            </w:pPr>
          </w:p>
        </w:tc>
        <w:tc>
          <w:tcPr>
            <w:tcW w:w="37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5B7F3B" w:rsidRPr="00C92BB4" w:rsidRDefault="005B7F3B" w:rsidP="00092D5B">
            <w:pPr>
              <w:jc w:val="center"/>
              <w:rPr>
                <w:rFonts w:cs="Arial"/>
                <w:b/>
                <w:sz w:val="18"/>
                <w:szCs w:val="18"/>
              </w:rPr>
            </w:pPr>
          </w:p>
        </w:tc>
        <w:tc>
          <w:tcPr>
            <w:tcW w:w="36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B7F3B" w:rsidRDefault="005B7F3B" w:rsidP="00092D5B">
            <w:pPr>
              <w:jc w:val="center"/>
              <w:rPr>
                <w:rFonts w:cs="Arial"/>
                <w:b/>
                <w:color w:val="000000"/>
                <w:sz w:val="18"/>
                <w:szCs w:val="18"/>
              </w:rPr>
            </w:pP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971F98" w:rsidRDefault="00971F98" w:rsidP="00092D5B">
            <w:pPr>
              <w:jc w:val="center"/>
              <w:rPr>
                <w:rFonts w:asciiTheme="minorHAnsi" w:hAnsiTheme="minorHAnsi" w:cs="Arial"/>
                <w:b/>
                <w:sz w:val="18"/>
                <w:szCs w:val="18"/>
              </w:rPr>
            </w:pPr>
            <w:r w:rsidRPr="00971F98">
              <w:rPr>
                <w:rFonts w:asciiTheme="minorHAnsi" w:hAnsiTheme="minorHAnsi" w:cs="Arial"/>
                <w:b/>
                <w:color w:val="000000"/>
                <w:sz w:val="18"/>
                <w:szCs w:val="18"/>
              </w:rPr>
              <w:t>0</w:t>
            </w:r>
            <w:r w:rsidR="005B7F3B" w:rsidRPr="00971F98">
              <w:rPr>
                <w:rFonts w:asciiTheme="minorHAnsi" w:hAnsiTheme="minorHAnsi" w:cs="Arial"/>
                <w:b/>
                <w:color w:val="000000"/>
                <w:sz w:val="18"/>
                <w:szCs w:val="18"/>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7F3B" w:rsidRPr="00971F98" w:rsidRDefault="00971F98" w:rsidP="00092D5B">
            <w:pPr>
              <w:jc w:val="center"/>
              <w:rPr>
                <w:rFonts w:asciiTheme="minorHAnsi" w:hAnsiTheme="minorHAnsi" w:cs="Arial"/>
                <w:b/>
                <w:sz w:val="18"/>
                <w:szCs w:val="18"/>
              </w:rPr>
            </w:pPr>
            <w:r>
              <w:rPr>
                <w:rFonts w:asciiTheme="minorHAnsi" w:hAnsiTheme="minorHAnsi" w:cs="Arial"/>
                <w:b/>
                <w:color w:val="000000"/>
                <w:sz w:val="18"/>
                <w:szCs w:val="18"/>
              </w:rPr>
              <w:t>1</w:t>
            </w:r>
            <w:r w:rsidRPr="000345F0">
              <w:rPr>
                <w:rFonts w:asciiTheme="minorHAnsi" w:hAnsiTheme="minorHAnsi" w:cs="Arial"/>
                <w:sz w:val="18"/>
                <w:szCs w:val="18"/>
              </w:rPr>
              <w:t>↑</w:t>
            </w:r>
          </w:p>
        </w:tc>
        <w:tc>
          <w:tcPr>
            <w:tcW w:w="226" w:type="pct"/>
            <w:tcBorders>
              <w:top w:val="single" w:sz="4" w:space="0" w:color="auto"/>
              <w:left w:val="single" w:sz="4" w:space="0" w:color="auto"/>
              <w:bottom w:val="single" w:sz="4" w:space="0" w:color="auto"/>
              <w:right w:val="single" w:sz="4" w:space="0" w:color="auto"/>
            </w:tcBorders>
            <w:vAlign w:val="center"/>
          </w:tcPr>
          <w:p w:rsidR="005B7F3B" w:rsidRPr="00971F98" w:rsidRDefault="005B7F3B" w:rsidP="00092D5B">
            <w:pPr>
              <w:jc w:val="center"/>
              <w:rPr>
                <w:rFonts w:asciiTheme="minorHAnsi" w:hAnsiTheme="minorHAnsi" w:cs="Arial"/>
                <w:b/>
                <w:sz w:val="18"/>
                <w:szCs w:val="18"/>
              </w:rPr>
            </w:pPr>
            <w:r w:rsidRPr="00971F98">
              <w:rPr>
                <w:rFonts w:asciiTheme="minorHAnsi" w:hAnsiTheme="minorHAnsi" w:cs="Arial"/>
                <w:b/>
                <w:sz w:val="18"/>
                <w:szCs w:val="18"/>
              </w:rPr>
              <w:t>0</w:t>
            </w:r>
          </w:p>
        </w:tc>
        <w:tc>
          <w:tcPr>
            <w:tcW w:w="34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5B7F3B" w:rsidRPr="0092779F" w:rsidRDefault="005B7F3B" w:rsidP="0092779F">
            <w:pPr>
              <w:keepNext/>
              <w:rPr>
                <w:rFonts w:cs="Arial"/>
                <w:sz w:val="18"/>
                <w:szCs w:val="18"/>
              </w:rPr>
            </w:pPr>
          </w:p>
        </w:tc>
      </w:tr>
    </w:tbl>
    <w:p w:rsidR="00CB2020" w:rsidRPr="00CB2020" w:rsidRDefault="00092D5B" w:rsidP="00711A58">
      <w:pPr>
        <w:pStyle w:val="Caption"/>
      </w:pPr>
      <w:r>
        <w:t xml:space="preserve">Table </w:t>
      </w:r>
      <w:r w:rsidR="0067196C">
        <w:fldChar w:fldCharType="begin"/>
      </w:r>
      <w:r w:rsidR="0067196C">
        <w:instrText xml:space="preserve"> SEQ Table \* ARABIC </w:instrText>
      </w:r>
      <w:r w:rsidR="0067196C">
        <w:fldChar w:fldCharType="separate"/>
      </w:r>
      <w:r w:rsidR="00CB2020">
        <w:rPr>
          <w:noProof/>
        </w:rPr>
        <w:t>9</w:t>
      </w:r>
      <w:r w:rsidR="0067196C">
        <w:rPr>
          <w:noProof/>
        </w:rPr>
        <w:fldChar w:fldCharType="end"/>
      </w:r>
      <w:r>
        <w:t xml:space="preserve"> - Families, children and young </w:t>
      </w:r>
      <w:r w:rsidR="00DC2B5E">
        <w:t>people’s</w:t>
      </w:r>
      <w:r>
        <w:t xml:space="preserve"> services safer staffing</w:t>
      </w:r>
    </w:p>
    <w:p w:rsidR="00F634D5" w:rsidRPr="00F634D5" w:rsidRDefault="00F634D5" w:rsidP="00F634D5">
      <w:pPr>
        <w:pStyle w:val="ListParagraph"/>
        <w:ind w:left="360"/>
        <w:rPr>
          <w:rFonts w:cs="Arial"/>
        </w:rPr>
      </w:pPr>
    </w:p>
    <w:p w:rsidR="00F634D5" w:rsidRDefault="00092D5B" w:rsidP="00F634D5">
      <w:pPr>
        <w:pStyle w:val="ListParagraph"/>
        <w:numPr>
          <w:ilvl w:val="0"/>
          <w:numId w:val="21"/>
        </w:numPr>
        <w:rPr>
          <w:rFonts w:cs="Arial"/>
        </w:rPr>
      </w:pPr>
      <w:r w:rsidRPr="00F634D5">
        <w:rPr>
          <w:rFonts w:cs="Arial"/>
        </w:rPr>
        <w:t>Both wards continue to utilise an increased number of temporary workers to manage increases in patient acuity</w:t>
      </w:r>
      <w:r w:rsidR="00C165B1">
        <w:rPr>
          <w:rFonts w:cs="Arial"/>
        </w:rPr>
        <w:t xml:space="preserve"> and maintain patient safety</w:t>
      </w:r>
      <w:r w:rsidRPr="00F634D5">
        <w:rPr>
          <w:rFonts w:cs="Arial"/>
        </w:rPr>
        <w:t xml:space="preserve">. </w:t>
      </w:r>
    </w:p>
    <w:p w:rsidR="00C165B1" w:rsidRDefault="00C165B1" w:rsidP="00C165B1">
      <w:pPr>
        <w:pStyle w:val="ListParagraph"/>
        <w:ind w:left="360"/>
        <w:rPr>
          <w:rFonts w:cs="Arial"/>
        </w:rPr>
      </w:pPr>
    </w:p>
    <w:p w:rsidR="00C165B1" w:rsidRPr="00BF602D" w:rsidRDefault="00C165B1" w:rsidP="00C165B1">
      <w:pPr>
        <w:pStyle w:val="ListParagraph"/>
        <w:numPr>
          <w:ilvl w:val="0"/>
          <w:numId w:val="21"/>
        </w:numPr>
        <w:jc w:val="both"/>
        <w:rPr>
          <w:rFonts w:cs="Arial"/>
        </w:rPr>
      </w:pPr>
      <w:r>
        <w:rPr>
          <w:rFonts w:cs="Arial"/>
        </w:rPr>
        <w:t>A review of the NSIs and patient feedback has not identified any staffing impact on the quality and safety of patient care/outcomes.</w:t>
      </w:r>
    </w:p>
    <w:p w:rsidR="009933C0" w:rsidRPr="00432597" w:rsidRDefault="009933C0" w:rsidP="00432597">
      <w:pPr>
        <w:rPr>
          <w:rFonts w:cs="Arial"/>
        </w:rPr>
      </w:pPr>
    </w:p>
    <w:p w:rsidR="00711A58" w:rsidRPr="00711A58" w:rsidRDefault="00711A58" w:rsidP="00711A58">
      <w:pPr>
        <w:jc w:val="both"/>
        <w:rPr>
          <w:rFonts w:cs="Arial"/>
        </w:rPr>
      </w:pPr>
    </w:p>
    <w:p w:rsidR="004046FF" w:rsidRDefault="00092D5B" w:rsidP="00092D5B">
      <w:pPr>
        <w:jc w:val="both"/>
        <w:rPr>
          <w:b/>
        </w:rPr>
      </w:pPr>
      <w:r w:rsidRPr="00092D5B">
        <w:rPr>
          <w:b/>
        </w:rPr>
        <w:t>Recruitment</w:t>
      </w:r>
      <w:r w:rsidR="00432597">
        <w:rPr>
          <w:b/>
        </w:rPr>
        <w:t xml:space="preserve"> and Retention</w:t>
      </w:r>
    </w:p>
    <w:p w:rsidR="0082007A" w:rsidRPr="00711A58" w:rsidRDefault="0082007A" w:rsidP="0082007A">
      <w:pPr>
        <w:jc w:val="both"/>
        <w:rPr>
          <w:b/>
          <w:sz w:val="16"/>
          <w:szCs w:val="16"/>
        </w:rPr>
      </w:pPr>
    </w:p>
    <w:p w:rsidR="00584EB0" w:rsidRPr="001D1164" w:rsidRDefault="00092D5B" w:rsidP="00F634D5">
      <w:pPr>
        <w:pStyle w:val="ListParagraph"/>
        <w:numPr>
          <w:ilvl w:val="0"/>
          <w:numId w:val="21"/>
        </w:numPr>
        <w:jc w:val="both"/>
      </w:pPr>
      <w:r w:rsidRPr="00F634D5">
        <w:rPr>
          <w:rFonts w:cs="Arial"/>
        </w:rPr>
        <w:t xml:space="preserve">The current Trust wide </w:t>
      </w:r>
      <w:r w:rsidR="00B80B92">
        <w:rPr>
          <w:rFonts w:cs="Arial"/>
        </w:rPr>
        <w:t xml:space="preserve">nurse vacancy </w:t>
      </w:r>
      <w:r w:rsidRPr="00F634D5">
        <w:rPr>
          <w:rFonts w:cs="Arial"/>
        </w:rPr>
        <w:t xml:space="preserve">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971F98" w:rsidRPr="00414111" w:rsidRDefault="00971F98" w:rsidP="00975D80">
      <w:pPr>
        <w:jc w:val="both"/>
      </w:pPr>
    </w:p>
    <w:p w:rsidR="00414111" w:rsidRPr="00584EB0" w:rsidRDefault="00414111" w:rsidP="00414111">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3.0</w:t>
            </w:r>
          </w:p>
        </w:tc>
        <w:tc>
          <w:tcPr>
            <w:tcW w:w="834"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4.0</w:t>
            </w:r>
          </w:p>
        </w:tc>
        <w:tc>
          <w:tcPr>
            <w:tcW w:w="709"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0</w:t>
            </w:r>
          </w:p>
        </w:tc>
        <w:tc>
          <w:tcPr>
            <w:tcW w:w="992" w:type="dxa"/>
            <w:shd w:val="clear" w:color="auto" w:fill="auto"/>
            <w:vAlign w:val="center"/>
          </w:tcPr>
          <w:p w:rsidR="005C4DB1" w:rsidRPr="00E96045" w:rsidRDefault="009F6DD5" w:rsidP="009B119D">
            <w:pPr>
              <w:jc w:val="center"/>
              <w:rPr>
                <w:rFonts w:eastAsiaTheme="minorHAnsi" w:cs="Arial"/>
                <w:sz w:val="18"/>
                <w:szCs w:val="18"/>
                <w:lang w:eastAsia="en-US"/>
              </w:rPr>
            </w:pPr>
            <w:r>
              <w:rPr>
                <w:rFonts w:eastAsiaTheme="minorHAnsi" w:cs="Arial"/>
                <w:sz w:val="18"/>
                <w:szCs w:val="18"/>
                <w:lang w:eastAsia="en-US"/>
              </w:rPr>
              <w:t>0</w:t>
            </w:r>
          </w:p>
        </w:tc>
      </w:tr>
      <w:tr w:rsidR="006772F3" w:rsidRPr="00DC2B5E" w:rsidTr="000301C1">
        <w:trPr>
          <w:jc w:val="center"/>
        </w:trPr>
        <w:tc>
          <w:tcPr>
            <w:tcW w:w="2606" w:type="dxa"/>
            <w:shd w:val="clear" w:color="auto" w:fill="auto"/>
            <w:vAlign w:val="center"/>
          </w:tcPr>
          <w:p w:rsidR="006772F3" w:rsidRPr="00C92BB4" w:rsidRDefault="006772F3" w:rsidP="00E9604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49</w:t>
            </w:r>
          </w:p>
        </w:tc>
        <w:tc>
          <w:tcPr>
            <w:tcW w:w="834"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13.5</w:t>
            </w:r>
          </w:p>
        </w:tc>
        <w:tc>
          <w:tcPr>
            <w:tcW w:w="709"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5</w:t>
            </w:r>
          </w:p>
        </w:tc>
        <w:tc>
          <w:tcPr>
            <w:tcW w:w="851"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1</w:t>
            </w:r>
          </w:p>
        </w:tc>
        <w:tc>
          <w:tcPr>
            <w:tcW w:w="850"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3.6</w:t>
            </w:r>
          </w:p>
        </w:tc>
        <w:tc>
          <w:tcPr>
            <w:tcW w:w="992"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1</w:t>
            </w:r>
          </w:p>
        </w:tc>
      </w:tr>
      <w:tr w:rsidR="00753BC1" w:rsidRPr="00DC2B5E" w:rsidTr="00A96B1E">
        <w:trPr>
          <w:jc w:val="center"/>
        </w:trPr>
        <w:tc>
          <w:tcPr>
            <w:tcW w:w="2606" w:type="dxa"/>
            <w:shd w:val="clear" w:color="auto" w:fill="auto"/>
            <w:vAlign w:val="center"/>
          </w:tcPr>
          <w:p w:rsidR="00753BC1" w:rsidRPr="009B119D" w:rsidRDefault="00753BC1" w:rsidP="004C594A">
            <w:pPr>
              <w:rPr>
                <w:rFonts w:cs="Arial"/>
                <w:sz w:val="18"/>
                <w:szCs w:val="18"/>
              </w:rPr>
            </w:pPr>
            <w:r w:rsidRPr="009B119D">
              <w:rPr>
                <w:rFonts w:cs="Arial"/>
                <w:sz w:val="18"/>
                <w:szCs w:val="18"/>
              </w:rPr>
              <w:t>MHSOP</w:t>
            </w:r>
          </w:p>
        </w:tc>
        <w:tc>
          <w:tcPr>
            <w:tcW w:w="780"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14.9</w:t>
            </w:r>
          </w:p>
        </w:tc>
        <w:tc>
          <w:tcPr>
            <w:tcW w:w="834"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3.6</w:t>
            </w:r>
          </w:p>
        </w:tc>
        <w:tc>
          <w:tcPr>
            <w:tcW w:w="709"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1</w:t>
            </w:r>
          </w:p>
        </w:tc>
        <w:tc>
          <w:tcPr>
            <w:tcW w:w="851"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0</w:t>
            </w:r>
          </w:p>
        </w:tc>
        <w:tc>
          <w:tcPr>
            <w:tcW w:w="850"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3.6</w:t>
            </w:r>
          </w:p>
        </w:tc>
        <w:tc>
          <w:tcPr>
            <w:tcW w:w="992" w:type="dxa"/>
            <w:shd w:val="clear" w:color="auto" w:fill="auto"/>
            <w:vAlign w:val="center"/>
          </w:tcPr>
          <w:p w:rsidR="00753BC1" w:rsidRDefault="00753BC1">
            <w:pPr>
              <w:jc w:val="center"/>
              <w:rPr>
                <w:rFonts w:ascii="Calibri" w:eastAsiaTheme="minorHAnsi" w:hAnsi="Calibri"/>
                <w:sz w:val="18"/>
                <w:szCs w:val="18"/>
                <w:lang w:eastAsia="en-US"/>
              </w:rPr>
            </w:pPr>
            <w:r>
              <w:rPr>
                <w:sz w:val="18"/>
                <w:szCs w:val="18"/>
              </w:rPr>
              <w:t>1</w:t>
            </w:r>
          </w:p>
        </w:tc>
      </w:tr>
      <w:tr w:rsidR="00FE1800" w:rsidRPr="00DC2B5E" w:rsidTr="00A96B1E">
        <w:trPr>
          <w:jc w:val="center"/>
        </w:trPr>
        <w:tc>
          <w:tcPr>
            <w:tcW w:w="2606" w:type="dxa"/>
            <w:shd w:val="clear" w:color="auto" w:fill="auto"/>
          </w:tcPr>
          <w:p w:rsidR="00FE1800" w:rsidRPr="00F979F0" w:rsidRDefault="00FE1800" w:rsidP="00B84AE5">
            <w:pPr>
              <w:rPr>
                <w:rFonts w:cs="Arial"/>
                <w:sz w:val="18"/>
                <w:szCs w:val="18"/>
              </w:rPr>
            </w:pPr>
            <w:r w:rsidRPr="00F979F0">
              <w:rPr>
                <w:rFonts w:cs="Arial"/>
                <w:sz w:val="18"/>
                <w:szCs w:val="18"/>
              </w:rPr>
              <w:t>AMH/LD</w:t>
            </w:r>
          </w:p>
        </w:tc>
        <w:tc>
          <w:tcPr>
            <w:tcW w:w="780"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60.76</w:t>
            </w:r>
          </w:p>
        </w:tc>
        <w:tc>
          <w:tcPr>
            <w:tcW w:w="834"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31.88</w:t>
            </w:r>
          </w:p>
        </w:tc>
        <w:tc>
          <w:tcPr>
            <w:tcW w:w="709"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5</w:t>
            </w:r>
          </w:p>
        </w:tc>
        <w:tc>
          <w:tcPr>
            <w:tcW w:w="851"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8</w:t>
            </w:r>
          </w:p>
        </w:tc>
        <w:tc>
          <w:tcPr>
            <w:tcW w:w="850"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5</w:t>
            </w:r>
          </w:p>
        </w:tc>
        <w:tc>
          <w:tcPr>
            <w:tcW w:w="992"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753BC1">
              <w:rPr>
                <w:rFonts w:cs="Arial"/>
                <w:b/>
                <w:sz w:val="18"/>
                <w:szCs w:val="18"/>
              </w:rPr>
              <w:t>tal February</w:t>
            </w:r>
            <w:r w:rsidR="00D24EA7">
              <w:rPr>
                <w:rFonts w:cs="Arial"/>
                <w:b/>
                <w:sz w:val="18"/>
                <w:szCs w:val="18"/>
              </w:rPr>
              <w:t xml:space="preserve"> 2019</w:t>
            </w:r>
          </w:p>
        </w:tc>
        <w:tc>
          <w:tcPr>
            <w:tcW w:w="780"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127.66</w:t>
            </w:r>
          </w:p>
        </w:tc>
        <w:tc>
          <w:tcPr>
            <w:tcW w:w="834"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52.98</w:t>
            </w:r>
          </w:p>
        </w:tc>
        <w:tc>
          <w:tcPr>
            <w:tcW w:w="709"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11.0</w:t>
            </w:r>
          </w:p>
        </w:tc>
        <w:tc>
          <w:tcPr>
            <w:tcW w:w="851"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9.0</w:t>
            </w:r>
          </w:p>
        </w:tc>
        <w:tc>
          <w:tcPr>
            <w:tcW w:w="850"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12.2</w:t>
            </w:r>
          </w:p>
        </w:tc>
        <w:tc>
          <w:tcPr>
            <w:tcW w:w="992" w:type="dxa"/>
            <w:tcBorders>
              <w:bottom w:val="single" w:sz="4" w:space="0" w:color="auto"/>
            </w:tcBorders>
            <w:shd w:val="clear" w:color="auto" w:fill="auto"/>
          </w:tcPr>
          <w:p w:rsidR="00F73256" w:rsidRPr="00E96045" w:rsidRDefault="006772F3" w:rsidP="00F73256">
            <w:pPr>
              <w:jc w:val="center"/>
              <w:rPr>
                <w:rFonts w:cs="Arial"/>
                <w:b/>
                <w:sz w:val="18"/>
                <w:szCs w:val="18"/>
              </w:rPr>
            </w:pPr>
            <w:r>
              <w:rPr>
                <w:rFonts w:cs="Arial"/>
                <w:b/>
                <w:sz w:val="18"/>
                <w:szCs w:val="18"/>
              </w:rPr>
              <w:t>2.0</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753BC1" w:rsidRPr="00DC2B5E" w:rsidTr="00A96B1E">
        <w:trPr>
          <w:jc w:val="center"/>
        </w:trPr>
        <w:tc>
          <w:tcPr>
            <w:tcW w:w="2606" w:type="dxa"/>
            <w:tcBorders>
              <w:top w:val="single" w:sz="4" w:space="0" w:color="auto"/>
            </w:tcBorders>
            <w:shd w:val="clear" w:color="auto" w:fill="auto"/>
            <w:vAlign w:val="center"/>
          </w:tcPr>
          <w:p w:rsidR="00753BC1" w:rsidRPr="00C92BB4" w:rsidRDefault="00753BC1" w:rsidP="00AB7DA1">
            <w:pPr>
              <w:rPr>
                <w:rFonts w:cs="Arial"/>
                <w:b/>
                <w:sz w:val="18"/>
                <w:szCs w:val="18"/>
              </w:rPr>
            </w:pPr>
            <w:r>
              <w:rPr>
                <w:rFonts w:cs="Arial"/>
                <w:b/>
                <w:sz w:val="18"/>
                <w:szCs w:val="18"/>
              </w:rPr>
              <w:t>Trust Total January 2019</w:t>
            </w:r>
          </w:p>
        </w:tc>
        <w:tc>
          <w:tcPr>
            <w:tcW w:w="780"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124.44</w:t>
            </w:r>
          </w:p>
        </w:tc>
        <w:tc>
          <w:tcPr>
            <w:tcW w:w="834"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57.13</w:t>
            </w:r>
          </w:p>
        </w:tc>
        <w:tc>
          <w:tcPr>
            <w:tcW w:w="709"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11.0</w:t>
            </w:r>
          </w:p>
        </w:tc>
        <w:tc>
          <w:tcPr>
            <w:tcW w:w="851"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7.0</w:t>
            </w:r>
          </w:p>
        </w:tc>
        <w:tc>
          <w:tcPr>
            <w:tcW w:w="850"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13.81</w:t>
            </w:r>
          </w:p>
        </w:tc>
        <w:tc>
          <w:tcPr>
            <w:tcW w:w="992" w:type="dxa"/>
            <w:tcBorders>
              <w:top w:val="single" w:sz="4" w:space="0" w:color="auto"/>
            </w:tcBorders>
            <w:shd w:val="clear" w:color="auto" w:fill="auto"/>
          </w:tcPr>
          <w:p w:rsidR="00753BC1" w:rsidRPr="00E96045" w:rsidRDefault="00753BC1" w:rsidP="009A6F96">
            <w:pPr>
              <w:jc w:val="center"/>
              <w:rPr>
                <w:rFonts w:cs="Arial"/>
                <w:b/>
                <w:sz w:val="18"/>
                <w:szCs w:val="18"/>
              </w:rPr>
            </w:pPr>
            <w:r>
              <w:rPr>
                <w:rFonts w:cs="Arial"/>
                <w:b/>
                <w:sz w:val="18"/>
                <w:szCs w:val="18"/>
              </w:rPr>
              <w:t>12.8</w:t>
            </w:r>
          </w:p>
        </w:tc>
      </w:tr>
    </w:tbl>
    <w:p w:rsidR="0082007A" w:rsidRDefault="00B35D37" w:rsidP="00566B9B">
      <w:pPr>
        <w:pStyle w:val="Caption"/>
        <w:ind w:firstLine="720"/>
      </w:pPr>
      <w:r>
        <w:t xml:space="preserve">Table </w:t>
      </w:r>
      <w:r w:rsidR="0067196C">
        <w:fldChar w:fldCharType="begin"/>
      </w:r>
      <w:r w:rsidR="0067196C">
        <w:instrText xml:space="preserve"> SEQ Table \* ARABIC </w:instrText>
      </w:r>
      <w:r w:rsidR="0067196C">
        <w:fldChar w:fldCharType="separate"/>
      </w:r>
      <w:r w:rsidR="00CB2020">
        <w:rPr>
          <w:noProof/>
        </w:rPr>
        <w:t>10</w:t>
      </w:r>
      <w:r w:rsidR="0067196C">
        <w:rPr>
          <w:noProof/>
        </w:rPr>
        <w:fldChar w:fldCharType="end"/>
      </w:r>
      <w:r>
        <w:t xml:space="preserve"> - </w:t>
      </w:r>
      <w:r w:rsidR="008A17E0">
        <w:t>Recruitment summary</w:t>
      </w:r>
      <w:r w:rsidR="009B0197">
        <w:t xml:space="preserve"> in-patients</w:t>
      </w:r>
    </w:p>
    <w:p w:rsidR="001D1164" w:rsidRPr="00414111" w:rsidRDefault="001D1164" w:rsidP="001224C3">
      <w:pPr>
        <w:pStyle w:val="ListParagraph"/>
        <w:ind w:left="1500"/>
      </w:pPr>
    </w:p>
    <w:p w:rsidR="00E025CF" w:rsidRPr="00B46937" w:rsidRDefault="00EF4C33" w:rsidP="00B46937">
      <w:pPr>
        <w:pStyle w:val="ListParagraph"/>
        <w:numPr>
          <w:ilvl w:val="0"/>
          <w:numId w:val="21"/>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B80B92" w:rsidP="0090086E">
      <w:pPr>
        <w:pStyle w:val="ListParagraph"/>
        <w:numPr>
          <w:ilvl w:val="0"/>
          <w:numId w:val="2"/>
        </w:numPr>
        <w:jc w:val="both"/>
        <w:rPr>
          <w:rFonts w:cs="Arial"/>
        </w:rPr>
      </w:pPr>
      <w:r>
        <w:rPr>
          <w:rFonts w:cs="Arial"/>
        </w:rPr>
        <w:t>R</w:t>
      </w:r>
      <w:r w:rsidR="00E025CF" w:rsidRPr="00EF4C33">
        <w:rPr>
          <w:rFonts w:cs="Arial"/>
        </w:rPr>
        <w:t xml:space="preserve">olling </w:t>
      </w:r>
      <w:r w:rsidR="00C165B1">
        <w:rPr>
          <w:rFonts w:cs="Arial"/>
        </w:rPr>
        <w:t>adverts</w:t>
      </w:r>
      <w:r w:rsidR="00E025CF" w:rsidRPr="00EF4C33">
        <w:rPr>
          <w:rFonts w:cs="Arial"/>
        </w:rPr>
        <w:t xml:space="preserve"> inc</w:t>
      </w:r>
      <w:r w:rsidR="00E025CF">
        <w:rPr>
          <w:rFonts w:cs="Arial"/>
        </w:rPr>
        <w:t>luding implementation of T</w:t>
      </w:r>
      <w:r w:rsidR="00E025CF" w:rsidRPr="00A73125">
        <w:rPr>
          <w:rFonts w:cs="Arial"/>
        </w:rPr>
        <w:t>rust incentivised sc</w:t>
      </w:r>
      <w:r w:rsidR="00E025CF">
        <w:rPr>
          <w:rFonts w:cs="Arial"/>
        </w:rPr>
        <w:t>hemes for hard to recruit areas</w:t>
      </w:r>
    </w:p>
    <w:p w:rsidR="00566E5D" w:rsidRDefault="00566E5D" w:rsidP="0090086E">
      <w:pPr>
        <w:pStyle w:val="ListParagraph"/>
        <w:numPr>
          <w:ilvl w:val="0"/>
          <w:numId w:val="2"/>
        </w:numPr>
        <w:jc w:val="both"/>
        <w:rPr>
          <w:rFonts w:cs="Arial"/>
        </w:rPr>
      </w:pPr>
      <w:r>
        <w:rPr>
          <w:rFonts w:cs="Arial"/>
        </w:rPr>
        <w:t xml:space="preserve">Nursing Career development </w:t>
      </w:r>
      <w:r w:rsidR="00B80B92">
        <w:rPr>
          <w:rFonts w:cs="Arial"/>
        </w:rPr>
        <w:t>Framework launched</w:t>
      </w:r>
    </w:p>
    <w:p w:rsidR="00B80B92" w:rsidRPr="00A73125" w:rsidRDefault="00B80B92" w:rsidP="0090086E">
      <w:pPr>
        <w:pStyle w:val="ListParagraph"/>
        <w:numPr>
          <w:ilvl w:val="0"/>
          <w:numId w:val="2"/>
        </w:numPr>
        <w:jc w:val="both"/>
        <w:rPr>
          <w:rFonts w:cs="Arial"/>
        </w:rPr>
      </w:pPr>
      <w:r>
        <w:rPr>
          <w:rFonts w:cs="Arial"/>
        </w:rPr>
        <w:t>Rotational posts across Trust services and graduate frail older people’s rotation programme in partnership with UHL</w:t>
      </w:r>
    </w:p>
    <w:p w:rsidR="00E025CF" w:rsidRPr="00C165B1" w:rsidRDefault="00B80B92" w:rsidP="00C165B1">
      <w:pPr>
        <w:pStyle w:val="ListParagraph"/>
        <w:numPr>
          <w:ilvl w:val="0"/>
          <w:numId w:val="2"/>
        </w:numPr>
        <w:jc w:val="both"/>
        <w:rPr>
          <w:rFonts w:cs="Arial"/>
        </w:rPr>
      </w:pPr>
      <w:r>
        <w:rPr>
          <w:rFonts w:cs="Arial"/>
        </w:rPr>
        <w:t>I</w:t>
      </w:r>
      <w:r w:rsidR="00E025CF" w:rsidRPr="00EF4C33">
        <w:rPr>
          <w:rFonts w:cs="Arial"/>
        </w:rPr>
        <w:t>ncrea</w:t>
      </w:r>
      <w:r>
        <w:rPr>
          <w:rFonts w:cs="Arial"/>
        </w:rPr>
        <w:t>sed work experience placements</w:t>
      </w:r>
      <w:r w:rsidR="00C165B1">
        <w:rPr>
          <w:rFonts w:cs="Arial"/>
        </w:rPr>
        <w:t xml:space="preserve"> and i</w:t>
      </w:r>
      <w:r w:rsidRPr="00C165B1">
        <w:rPr>
          <w:rFonts w:cs="Arial"/>
        </w:rPr>
        <w:t xml:space="preserve">ncreased </w:t>
      </w:r>
      <w:r w:rsidR="00E025CF" w:rsidRPr="00C165B1">
        <w:rPr>
          <w:rFonts w:cs="Arial"/>
        </w:rPr>
        <w:t>recruitment of clinical apprentices</w:t>
      </w:r>
    </w:p>
    <w:p w:rsidR="00E025CF" w:rsidRDefault="00B80B92" w:rsidP="0090086E">
      <w:pPr>
        <w:pStyle w:val="ListParagraph"/>
        <w:numPr>
          <w:ilvl w:val="0"/>
          <w:numId w:val="2"/>
        </w:numPr>
        <w:jc w:val="both"/>
        <w:rPr>
          <w:rFonts w:cs="Arial"/>
        </w:rPr>
      </w:pPr>
      <w:r>
        <w:rPr>
          <w:rFonts w:cs="Arial"/>
        </w:rPr>
        <w:t>A</w:t>
      </w:r>
      <w:r w:rsidR="00E025CF" w:rsidRPr="00EF4C33">
        <w:rPr>
          <w:rFonts w:cs="Arial"/>
        </w:rPr>
        <w:t xml:space="preserve">ccessing recruitment fairs at local </w:t>
      </w:r>
      <w:r w:rsidR="00E025CF">
        <w:rPr>
          <w:rFonts w:cs="Arial"/>
        </w:rPr>
        <w:t>u</w:t>
      </w:r>
      <w:r w:rsidR="00E025CF" w:rsidRPr="00EF4C33">
        <w:rPr>
          <w:rFonts w:cs="Arial"/>
        </w:rPr>
        <w:t>niv</w:t>
      </w:r>
      <w:r w:rsidR="00E025CF">
        <w:rPr>
          <w:rFonts w:cs="Arial"/>
        </w:rPr>
        <w:t>ersities, schools and colleges</w:t>
      </w:r>
    </w:p>
    <w:p w:rsidR="00E025CF" w:rsidRDefault="00B80B92" w:rsidP="0090086E">
      <w:pPr>
        <w:pStyle w:val="ListParagraph"/>
        <w:numPr>
          <w:ilvl w:val="0"/>
          <w:numId w:val="2"/>
        </w:numPr>
        <w:jc w:val="both"/>
        <w:rPr>
          <w:rFonts w:cs="Arial"/>
        </w:rPr>
      </w:pPr>
      <w:r>
        <w:rPr>
          <w:rFonts w:cs="Arial"/>
        </w:rPr>
        <w:t>R</w:t>
      </w:r>
      <w:r w:rsidR="00E025CF" w:rsidRPr="00EF4C33">
        <w:rPr>
          <w:rFonts w:cs="Arial"/>
        </w:rPr>
        <w:t xml:space="preserve">obust sickness and absence </w:t>
      </w:r>
      <w:r w:rsidR="00E025CF">
        <w:rPr>
          <w:rFonts w:cs="Arial"/>
        </w:rPr>
        <w:t xml:space="preserve">management </w:t>
      </w:r>
    </w:p>
    <w:p w:rsidR="00E025CF" w:rsidRDefault="00B80B92" w:rsidP="0090086E">
      <w:pPr>
        <w:pStyle w:val="ListParagraph"/>
        <w:numPr>
          <w:ilvl w:val="0"/>
          <w:numId w:val="2"/>
        </w:numPr>
        <w:jc w:val="both"/>
        <w:rPr>
          <w:rFonts w:cs="Arial"/>
        </w:rPr>
      </w:pPr>
      <w:r>
        <w:rPr>
          <w:rFonts w:cs="Arial"/>
        </w:rPr>
        <w:t xml:space="preserve">New roles development workshops to review </w:t>
      </w:r>
      <w:r w:rsidR="00E025CF" w:rsidRPr="00EF4C33">
        <w:rPr>
          <w:rFonts w:cs="Arial"/>
        </w:rPr>
        <w:t>workforce</w:t>
      </w:r>
      <w:r>
        <w:rPr>
          <w:rFonts w:cs="Arial"/>
        </w:rPr>
        <w:t xml:space="preserve"> planning</w:t>
      </w:r>
      <w:r w:rsidR="00E025CF" w:rsidRPr="00EF4C33">
        <w:rPr>
          <w:rFonts w:cs="Arial"/>
        </w:rPr>
        <w:t xml:space="preserve"> including new roles to enhance skill mix a</w:t>
      </w:r>
      <w:r w:rsidR="00E025CF">
        <w:rPr>
          <w:rFonts w:cs="Arial"/>
        </w:rPr>
        <w:t>nd increase patient facing time</w:t>
      </w:r>
    </w:p>
    <w:p w:rsidR="002350CC" w:rsidRPr="00B80B92" w:rsidRDefault="00276391" w:rsidP="00E025CF">
      <w:pPr>
        <w:pStyle w:val="ListParagraph"/>
        <w:numPr>
          <w:ilvl w:val="0"/>
          <w:numId w:val="2"/>
        </w:numPr>
        <w:jc w:val="both"/>
        <w:rPr>
          <w:rFonts w:cs="Arial"/>
        </w:rPr>
      </w:pPr>
      <w:r w:rsidRPr="00B80B92">
        <w:rPr>
          <w:rFonts w:cs="Arial"/>
        </w:rPr>
        <w:t>Co</w:t>
      </w:r>
      <w:r w:rsidR="00B80B92" w:rsidRPr="00B80B92">
        <w:rPr>
          <w:rFonts w:cs="Arial"/>
        </w:rPr>
        <w:t xml:space="preserve">ntinued training (Cohort 3 commenced in December 2018)  and deployment of Nursing </w:t>
      </w:r>
    </w:p>
    <w:p w:rsidR="00C165B1" w:rsidRDefault="00C165B1"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B46937" w:rsidRDefault="009B0197" w:rsidP="00B46937">
      <w:pPr>
        <w:pStyle w:val="ListParagraph"/>
        <w:numPr>
          <w:ilvl w:val="0"/>
          <w:numId w:val="21"/>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C165B1" w:rsidRPr="00CF5FBF" w:rsidTr="00C165B1">
        <w:trPr>
          <w:trHeight w:val="608"/>
        </w:trPr>
        <w:tc>
          <w:tcPr>
            <w:tcW w:w="4230" w:type="dxa"/>
            <w:shd w:val="clear" w:color="auto" w:fill="548DD4" w:themeFill="text2" w:themeFillTint="99"/>
            <w:vAlign w:val="center"/>
          </w:tcPr>
          <w:p w:rsidR="00C165B1" w:rsidRPr="003643CB" w:rsidRDefault="00C165B1"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C165B1" w:rsidRDefault="00C165B1" w:rsidP="00AB7DA1">
            <w:pPr>
              <w:jc w:val="center"/>
              <w:rPr>
                <w:rFonts w:cs="Arial"/>
                <w:b/>
                <w:color w:val="FFFFFF" w:themeColor="background1"/>
                <w:sz w:val="18"/>
                <w:szCs w:val="18"/>
              </w:rPr>
            </w:pPr>
          </w:p>
          <w:p w:rsidR="00C165B1" w:rsidRDefault="00C165B1" w:rsidP="00AB7DA1">
            <w:pPr>
              <w:jc w:val="center"/>
              <w:rPr>
                <w:rFonts w:cs="Arial"/>
                <w:b/>
                <w:color w:val="FFFFFF" w:themeColor="background1"/>
                <w:sz w:val="18"/>
                <w:szCs w:val="18"/>
              </w:rPr>
            </w:pPr>
            <w:r>
              <w:rPr>
                <w:rFonts w:cs="Arial"/>
                <w:b/>
                <w:color w:val="FFFFFF" w:themeColor="background1"/>
                <w:sz w:val="18"/>
                <w:szCs w:val="18"/>
              </w:rPr>
              <w:t>December</w:t>
            </w:r>
          </w:p>
          <w:p w:rsidR="00C165B1" w:rsidRDefault="00C165B1"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C165B1" w:rsidRDefault="00C165B1" w:rsidP="00AB7DA1">
            <w:pPr>
              <w:jc w:val="center"/>
              <w:rPr>
                <w:rFonts w:cs="Arial"/>
                <w:b/>
                <w:color w:val="FFFFFF" w:themeColor="background1"/>
                <w:sz w:val="18"/>
                <w:szCs w:val="18"/>
              </w:rPr>
            </w:pPr>
          </w:p>
          <w:p w:rsidR="00C165B1" w:rsidRDefault="00C165B1" w:rsidP="00AB7DA1">
            <w:pPr>
              <w:jc w:val="center"/>
              <w:rPr>
                <w:rFonts w:cs="Arial"/>
                <w:b/>
                <w:color w:val="FFFFFF" w:themeColor="background1"/>
                <w:sz w:val="18"/>
                <w:szCs w:val="18"/>
              </w:rPr>
            </w:pPr>
            <w:r>
              <w:rPr>
                <w:rFonts w:cs="Arial"/>
                <w:b/>
                <w:color w:val="FFFFFF" w:themeColor="background1"/>
                <w:sz w:val="18"/>
                <w:szCs w:val="18"/>
              </w:rPr>
              <w:t>January</w:t>
            </w:r>
          </w:p>
          <w:p w:rsidR="00C165B1" w:rsidRDefault="00C165B1"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C165B1" w:rsidRDefault="00C165B1" w:rsidP="00AB7DA1">
            <w:pPr>
              <w:jc w:val="center"/>
              <w:rPr>
                <w:rFonts w:cs="Arial"/>
                <w:b/>
                <w:color w:val="FFFFFF" w:themeColor="background1"/>
                <w:sz w:val="18"/>
                <w:szCs w:val="18"/>
              </w:rPr>
            </w:pPr>
          </w:p>
          <w:p w:rsidR="00C165B1" w:rsidRDefault="00C165B1" w:rsidP="00AB7DA1">
            <w:pPr>
              <w:jc w:val="center"/>
              <w:rPr>
                <w:rFonts w:cs="Arial"/>
                <w:b/>
                <w:color w:val="FFFFFF" w:themeColor="background1"/>
                <w:sz w:val="18"/>
                <w:szCs w:val="18"/>
              </w:rPr>
            </w:pPr>
            <w:r>
              <w:rPr>
                <w:rFonts w:cs="Arial"/>
                <w:b/>
                <w:color w:val="FFFFFF" w:themeColor="background1"/>
                <w:sz w:val="18"/>
                <w:szCs w:val="18"/>
              </w:rPr>
              <w:t>February 2019</w:t>
            </w:r>
          </w:p>
        </w:tc>
      </w:tr>
      <w:tr w:rsidR="00C165B1" w:rsidRPr="00CF5FBF" w:rsidTr="00C165B1">
        <w:trPr>
          <w:cantSplit/>
          <w:trHeight w:val="283"/>
        </w:trPr>
        <w:tc>
          <w:tcPr>
            <w:tcW w:w="4230" w:type="dxa"/>
            <w:shd w:val="clear" w:color="auto" w:fill="auto"/>
            <w:vAlign w:val="center"/>
          </w:tcPr>
          <w:p w:rsidR="00C165B1" w:rsidRPr="00CD1F5C" w:rsidRDefault="00C165B1" w:rsidP="00AB7DA1">
            <w:pPr>
              <w:rPr>
                <w:rFonts w:cs="Arial"/>
                <w:sz w:val="18"/>
                <w:szCs w:val="18"/>
              </w:rPr>
            </w:pPr>
            <w:r>
              <w:rPr>
                <w:rFonts w:cs="Arial"/>
                <w:sz w:val="18"/>
                <w:szCs w:val="18"/>
              </w:rPr>
              <w:t>City East CMHT</w:t>
            </w: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Pr="00CD1F5C" w:rsidRDefault="00C165B1" w:rsidP="00AB7DA1">
            <w:pPr>
              <w:rPr>
                <w:rFonts w:cs="Arial"/>
                <w:sz w:val="18"/>
                <w:szCs w:val="18"/>
              </w:rPr>
            </w:pPr>
            <w:r>
              <w:rPr>
                <w:rFonts w:cs="Arial"/>
                <w:sz w:val="18"/>
                <w:szCs w:val="18"/>
              </w:rPr>
              <w:t>Charnwood CMHT</w:t>
            </w:r>
          </w:p>
        </w:tc>
        <w:tc>
          <w:tcPr>
            <w:tcW w:w="1129" w:type="dxa"/>
          </w:tcPr>
          <w:p w:rsidR="00C165B1" w:rsidRDefault="00C165B1" w:rsidP="00AB7DA1">
            <w:pPr>
              <w:jc w:val="center"/>
              <w:rPr>
                <w:rFonts w:cs="Arial"/>
                <w:sz w:val="18"/>
                <w:szCs w:val="18"/>
              </w:rPr>
            </w:pPr>
            <w:r>
              <w:rPr>
                <w:rFonts w:cs="Arial"/>
                <w:sz w:val="18"/>
                <w:szCs w:val="18"/>
              </w:rPr>
              <w:t>X</w:t>
            </w:r>
          </w:p>
        </w:tc>
        <w:tc>
          <w:tcPr>
            <w:tcW w:w="1129" w:type="dxa"/>
          </w:tcPr>
          <w:p w:rsidR="00C165B1" w:rsidRDefault="00C165B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Mental Health Triage</w:t>
            </w: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tcPr>
          <w:p w:rsidR="00C165B1" w:rsidRDefault="00C165B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Pr="00CD1F5C" w:rsidRDefault="00C165B1" w:rsidP="00AB7DA1">
            <w:pPr>
              <w:rPr>
                <w:rFonts w:cs="Arial"/>
                <w:sz w:val="18"/>
                <w:szCs w:val="18"/>
              </w:rPr>
            </w:pPr>
            <w:r>
              <w:rPr>
                <w:rFonts w:cs="Arial"/>
                <w:sz w:val="18"/>
                <w:szCs w:val="18"/>
              </w:rPr>
              <w:t>South Leicestershire CMHT</w:t>
            </w: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Pr="00255585" w:rsidRDefault="00C165B1" w:rsidP="00AB7DA1">
            <w:pPr>
              <w:rPr>
                <w:rFonts w:cs="Arial"/>
                <w:sz w:val="18"/>
                <w:szCs w:val="18"/>
              </w:rPr>
            </w:pPr>
            <w:r w:rsidRPr="00255585">
              <w:rPr>
                <w:rFonts w:cs="Arial"/>
                <w:sz w:val="18"/>
                <w:szCs w:val="18"/>
              </w:rPr>
              <w:t>Crisis Resolutio</w:t>
            </w:r>
            <w:r>
              <w:rPr>
                <w:rFonts w:cs="Arial"/>
                <w:sz w:val="18"/>
                <w:szCs w:val="18"/>
              </w:rPr>
              <w:t xml:space="preserve">n and Home Treatment Team </w:t>
            </w: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Pr="00255585" w:rsidRDefault="00C165B1" w:rsidP="00AB7DA1">
            <w:pPr>
              <w:rPr>
                <w:rFonts w:cs="Arial"/>
                <w:sz w:val="18"/>
                <w:szCs w:val="18"/>
              </w:rPr>
            </w:pPr>
            <w:r>
              <w:rPr>
                <w:rFonts w:cs="Arial"/>
                <w:sz w:val="18"/>
                <w:szCs w:val="18"/>
              </w:rPr>
              <w:t>West Leicestershire CMHT</w:t>
            </w:r>
          </w:p>
        </w:tc>
        <w:tc>
          <w:tcPr>
            <w:tcW w:w="1129" w:type="dxa"/>
          </w:tcPr>
          <w:p w:rsidR="00C165B1" w:rsidRDefault="00C165B1"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C165B1" w:rsidRDefault="00C165B1" w:rsidP="00AB7DA1">
            <w:pPr>
              <w:jc w:val="center"/>
              <w:rPr>
                <w:rFonts w:cs="Arial"/>
                <w:sz w:val="18"/>
                <w:szCs w:val="18"/>
              </w:rPr>
            </w:pPr>
          </w:p>
        </w:tc>
        <w:tc>
          <w:tcPr>
            <w:tcW w:w="1129" w:type="dxa"/>
            <w:shd w:val="clear" w:color="auto" w:fill="D9D9D9" w:themeFill="background1" w:themeFillShade="D9"/>
          </w:tcPr>
          <w:p w:rsidR="00C165B1" w:rsidRDefault="00C165B1" w:rsidP="00AB7DA1">
            <w:pPr>
              <w:jc w:val="center"/>
              <w:rPr>
                <w:rFonts w:cs="Arial"/>
                <w:sz w:val="18"/>
                <w:szCs w:val="18"/>
              </w:rPr>
            </w:pPr>
          </w:p>
        </w:tc>
      </w:tr>
      <w:tr w:rsidR="00C165B1" w:rsidRPr="00CF5FBF" w:rsidTr="00C165B1">
        <w:trPr>
          <w:cantSplit/>
          <w:trHeight w:val="283"/>
        </w:trPr>
        <w:tc>
          <w:tcPr>
            <w:tcW w:w="4230" w:type="dxa"/>
            <w:shd w:val="clear" w:color="auto" w:fill="auto"/>
            <w:vAlign w:val="center"/>
          </w:tcPr>
          <w:p w:rsidR="00C165B1" w:rsidRPr="00CD1F5C" w:rsidRDefault="00C165B1"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City West Hub- Community Nursing</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Charnwood Hub – Community Nursing</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City East CMHT (MHSOP)</w:t>
            </w:r>
          </w:p>
        </w:tc>
        <w:tc>
          <w:tcPr>
            <w:tcW w:w="1129" w:type="dxa"/>
            <w:shd w:val="clear" w:color="auto" w:fill="FFFFFF" w:themeFill="background1"/>
          </w:tcPr>
          <w:p w:rsidR="00C165B1" w:rsidRPr="00B50EB5" w:rsidRDefault="00C165B1" w:rsidP="00B50EB5">
            <w:pPr>
              <w:jc w:val="center"/>
              <w:rPr>
                <w:sz w:val="18"/>
                <w:szCs w:val="18"/>
              </w:rPr>
            </w:pPr>
            <w:r w:rsidRPr="00B50EB5">
              <w:rPr>
                <w:sz w:val="18"/>
                <w:szCs w:val="18"/>
              </w:rPr>
              <w:t>X</w:t>
            </w:r>
          </w:p>
        </w:tc>
        <w:tc>
          <w:tcPr>
            <w:tcW w:w="1129" w:type="dxa"/>
            <w:shd w:val="clear" w:color="auto" w:fill="D9D9D9" w:themeFill="background1" w:themeFillShade="D9"/>
          </w:tcPr>
          <w:p w:rsidR="00C165B1" w:rsidRPr="00B50EB5" w:rsidRDefault="00C165B1" w:rsidP="00B50EB5">
            <w:pPr>
              <w:jc w:val="center"/>
              <w:rPr>
                <w:sz w:val="18"/>
                <w:szCs w:val="18"/>
              </w:rPr>
            </w:pPr>
          </w:p>
        </w:tc>
        <w:tc>
          <w:tcPr>
            <w:tcW w:w="1129" w:type="dxa"/>
            <w:shd w:val="clear" w:color="auto" w:fill="D9D9D9" w:themeFill="background1" w:themeFillShade="D9"/>
          </w:tcPr>
          <w:p w:rsidR="00C165B1" w:rsidRPr="00B50EB5" w:rsidRDefault="00C165B1" w:rsidP="00B50EB5">
            <w:pPr>
              <w:jc w:val="center"/>
              <w:rPr>
                <w:sz w:val="18"/>
                <w:szCs w:val="18"/>
              </w:rPr>
            </w:pP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South Leicestershire CMHT (MHSOP)</w:t>
            </w:r>
          </w:p>
        </w:tc>
        <w:tc>
          <w:tcPr>
            <w:tcW w:w="1129" w:type="dxa"/>
            <w:shd w:val="clear" w:color="auto" w:fill="FFFFFF" w:themeFill="background1"/>
          </w:tcPr>
          <w:p w:rsidR="00C165B1" w:rsidRPr="00B50EB5" w:rsidRDefault="00C165B1" w:rsidP="00B50EB5">
            <w:pPr>
              <w:jc w:val="center"/>
              <w:rPr>
                <w:sz w:val="18"/>
                <w:szCs w:val="18"/>
              </w:rPr>
            </w:pPr>
            <w:r w:rsidRPr="00B50EB5">
              <w:rPr>
                <w:sz w:val="18"/>
                <w:szCs w:val="18"/>
              </w:rPr>
              <w:t>X</w:t>
            </w:r>
          </w:p>
        </w:tc>
        <w:tc>
          <w:tcPr>
            <w:tcW w:w="1129" w:type="dxa"/>
            <w:shd w:val="clear" w:color="auto" w:fill="FFFFFF" w:themeFill="background1"/>
          </w:tcPr>
          <w:p w:rsidR="00C165B1" w:rsidRPr="00B50EB5" w:rsidRDefault="00C165B1" w:rsidP="00B50EB5">
            <w:pPr>
              <w:jc w:val="center"/>
              <w:rPr>
                <w:sz w:val="18"/>
                <w:szCs w:val="18"/>
              </w:rPr>
            </w:pPr>
            <w:r>
              <w:rPr>
                <w:sz w:val="18"/>
                <w:szCs w:val="18"/>
              </w:rPr>
              <w:t>X</w:t>
            </w:r>
          </w:p>
        </w:tc>
        <w:tc>
          <w:tcPr>
            <w:tcW w:w="1129" w:type="dxa"/>
            <w:shd w:val="clear" w:color="auto" w:fill="D9D9D9" w:themeFill="background1" w:themeFillShade="D9"/>
          </w:tcPr>
          <w:p w:rsidR="00C165B1" w:rsidRDefault="00C165B1" w:rsidP="00B50EB5">
            <w:pPr>
              <w:jc w:val="center"/>
              <w:rPr>
                <w:sz w:val="18"/>
                <w:szCs w:val="18"/>
              </w:rPr>
            </w:pP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West Leicestershire CMHT (MHSOP)</w:t>
            </w:r>
          </w:p>
        </w:tc>
        <w:tc>
          <w:tcPr>
            <w:tcW w:w="1129" w:type="dxa"/>
            <w:shd w:val="clear" w:color="auto" w:fill="D9D9D9" w:themeFill="background1" w:themeFillShade="D9"/>
          </w:tcPr>
          <w:p w:rsidR="00C165B1" w:rsidRPr="00B50EB5" w:rsidRDefault="00C165B1" w:rsidP="00B50EB5">
            <w:pPr>
              <w:jc w:val="center"/>
              <w:rPr>
                <w:sz w:val="18"/>
                <w:szCs w:val="18"/>
              </w:rPr>
            </w:pPr>
          </w:p>
        </w:tc>
        <w:tc>
          <w:tcPr>
            <w:tcW w:w="1129" w:type="dxa"/>
            <w:shd w:val="clear" w:color="auto" w:fill="FFFFFF" w:themeFill="background1"/>
          </w:tcPr>
          <w:p w:rsidR="00C165B1" w:rsidRDefault="00C165B1" w:rsidP="00B50EB5">
            <w:pPr>
              <w:jc w:val="center"/>
              <w:rPr>
                <w:sz w:val="18"/>
                <w:szCs w:val="18"/>
              </w:rPr>
            </w:pPr>
            <w:r>
              <w:rPr>
                <w:sz w:val="18"/>
                <w:szCs w:val="18"/>
              </w:rPr>
              <w:t>X</w:t>
            </w:r>
          </w:p>
        </w:tc>
        <w:tc>
          <w:tcPr>
            <w:tcW w:w="1129" w:type="dxa"/>
            <w:shd w:val="clear" w:color="auto" w:fill="D9D9D9" w:themeFill="background1" w:themeFillShade="D9"/>
          </w:tcPr>
          <w:p w:rsidR="00C165B1" w:rsidRDefault="00C165B1" w:rsidP="00B50EB5">
            <w:pPr>
              <w:jc w:val="center"/>
              <w:rPr>
                <w:sz w:val="18"/>
                <w:szCs w:val="18"/>
              </w:rPr>
            </w:pP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City West CMHT (MHSOP)</w:t>
            </w:r>
          </w:p>
        </w:tc>
        <w:tc>
          <w:tcPr>
            <w:tcW w:w="1129" w:type="dxa"/>
            <w:shd w:val="clear" w:color="auto" w:fill="D9D9D9" w:themeFill="background1" w:themeFillShade="D9"/>
          </w:tcPr>
          <w:p w:rsidR="00C165B1" w:rsidRPr="00B50EB5" w:rsidRDefault="00C165B1" w:rsidP="00B50EB5">
            <w:pPr>
              <w:jc w:val="center"/>
              <w:rPr>
                <w:sz w:val="18"/>
                <w:szCs w:val="18"/>
              </w:rPr>
            </w:pPr>
          </w:p>
        </w:tc>
        <w:tc>
          <w:tcPr>
            <w:tcW w:w="1129" w:type="dxa"/>
            <w:shd w:val="clear" w:color="auto" w:fill="FFFFFF" w:themeFill="background1"/>
          </w:tcPr>
          <w:p w:rsidR="00C165B1" w:rsidRDefault="00C165B1" w:rsidP="00B50EB5">
            <w:pPr>
              <w:jc w:val="center"/>
              <w:rPr>
                <w:sz w:val="18"/>
                <w:szCs w:val="18"/>
              </w:rPr>
            </w:pPr>
            <w:r>
              <w:rPr>
                <w:sz w:val="18"/>
                <w:szCs w:val="18"/>
              </w:rPr>
              <w:t>X</w:t>
            </w:r>
          </w:p>
        </w:tc>
        <w:tc>
          <w:tcPr>
            <w:tcW w:w="1129" w:type="dxa"/>
            <w:shd w:val="clear" w:color="auto" w:fill="D9D9D9" w:themeFill="background1" w:themeFillShade="D9"/>
          </w:tcPr>
          <w:p w:rsidR="00C165B1" w:rsidRDefault="00C165B1" w:rsidP="00B50EB5">
            <w:pPr>
              <w:jc w:val="center"/>
              <w:rPr>
                <w:sz w:val="18"/>
                <w:szCs w:val="18"/>
              </w:rPr>
            </w:pPr>
          </w:p>
        </w:tc>
      </w:tr>
      <w:tr w:rsidR="00C165B1" w:rsidRPr="00CF5FBF" w:rsidTr="00C165B1">
        <w:trPr>
          <w:cantSplit/>
          <w:trHeight w:val="283"/>
        </w:trPr>
        <w:tc>
          <w:tcPr>
            <w:tcW w:w="4230" w:type="dxa"/>
            <w:shd w:val="clear" w:color="auto" w:fill="auto"/>
            <w:vAlign w:val="center"/>
          </w:tcPr>
          <w:p w:rsidR="00C165B1" w:rsidRPr="00CD1F5C" w:rsidRDefault="00C165B1" w:rsidP="00AB7DA1">
            <w:pPr>
              <w:rPr>
                <w:rFonts w:cs="Arial"/>
                <w:sz w:val="18"/>
                <w:szCs w:val="18"/>
              </w:rPr>
            </w:pPr>
            <w:r>
              <w:rPr>
                <w:rFonts w:cs="Arial"/>
                <w:sz w:val="18"/>
                <w:szCs w:val="18"/>
              </w:rPr>
              <w:t xml:space="preserve">Healthy Together – City </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C165B1" w:rsidRPr="00CF5FBF" w:rsidTr="00C165B1">
        <w:trPr>
          <w:cantSplit/>
          <w:trHeight w:val="283"/>
        </w:trPr>
        <w:tc>
          <w:tcPr>
            <w:tcW w:w="4230" w:type="dxa"/>
            <w:shd w:val="clear" w:color="auto" w:fill="auto"/>
            <w:vAlign w:val="center"/>
          </w:tcPr>
          <w:p w:rsidR="0072364F" w:rsidRDefault="00C165B1" w:rsidP="00AB7DA1">
            <w:pPr>
              <w:rPr>
                <w:rFonts w:cs="Arial"/>
                <w:sz w:val="18"/>
                <w:szCs w:val="18"/>
              </w:rPr>
            </w:pPr>
            <w:r>
              <w:rPr>
                <w:rFonts w:cs="Arial"/>
                <w:sz w:val="18"/>
                <w:szCs w:val="18"/>
              </w:rPr>
              <w:t>Healthy Together – East</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C165B1" w:rsidRPr="00CF5FBF" w:rsidTr="00C165B1">
        <w:trPr>
          <w:cantSplit/>
          <w:trHeight w:val="283"/>
        </w:trPr>
        <w:tc>
          <w:tcPr>
            <w:tcW w:w="4230" w:type="dxa"/>
            <w:shd w:val="clear" w:color="auto" w:fill="auto"/>
            <w:vAlign w:val="center"/>
          </w:tcPr>
          <w:p w:rsidR="00C165B1" w:rsidRDefault="00C165B1" w:rsidP="00AB7DA1">
            <w:pPr>
              <w:rPr>
                <w:rFonts w:cs="Arial"/>
                <w:sz w:val="18"/>
                <w:szCs w:val="18"/>
              </w:rPr>
            </w:pPr>
            <w:r>
              <w:rPr>
                <w:rFonts w:cs="Arial"/>
                <w:sz w:val="18"/>
                <w:szCs w:val="18"/>
              </w:rPr>
              <w:t>Looked After Children team</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c>
          <w:tcPr>
            <w:tcW w:w="1129" w:type="dxa"/>
            <w:shd w:val="clear" w:color="auto" w:fill="FFFFFF" w:themeFill="background1"/>
          </w:tcPr>
          <w:p w:rsidR="00C165B1" w:rsidRDefault="00C165B1" w:rsidP="00AB7DA1">
            <w:pPr>
              <w:jc w:val="center"/>
              <w:rPr>
                <w:rFonts w:cs="Arial"/>
                <w:sz w:val="18"/>
                <w:szCs w:val="18"/>
              </w:rPr>
            </w:pPr>
            <w:r>
              <w:rPr>
                <w:rFonts w:cs="Arial"/>
                <w:sz w:val="18"/>
                <w:szCs w:val="18"/>
              </w:rPr>
              <w:t>X</w:t>
            </w:r>
          </w:p>
        </w:tc>
      </w:tr>
      <w:tr w:rsidR="0072364F" w:rsidRPr="00CF5FBF" w:rsidTr="0072364F">
        <w:trPr>
          <w:cantSplit/>
          <w:trHeight w:val="283"/>
        </w:trPr>
        <w:tc>
          <w:tcPr>
            <w:tcW w:w="4230" w:type="dxa"/>
            <w:shd w:val="clear" w:color="auto" w:fill="auto"/>
            <w:vAlign w:val="center"/>
          </w:tcPr>
          <w:p w:rsidR="0072364F" w:rsidRDefault="0072364F" w:rsidP="00AB7DA1">
            <w:pPr>
              <w:rPr>
                <w:rFonts w:cs="Arial"/>
                <w:sz w:val="18"/>
                <w:szCs w:val="18"/>
              </w:rPr>
            </w:pPr>
            <w:r>
              <w:rPr>
                <w:rFonts w:cs="Arial"/>
                <w:sz w:val="18"/>
                <w:szCs w:val="18"/>
              </w:rPr>
              <w:t>CAMHS City</w:t>
            </w: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FFFFFF" w:themeFill="background1"/>
          </w:tcPr>
          <w:p w:rsidR="0072364F" w:rsidRDefault="0072364F" w:rsidP="00AB7DA1">
            <w:pPr>
              <w:jc w:val="center"/>
              <w:rPr>
                <w:rFonts w:cs="Arial"/>
                <w:sz w:val="18"/>
                <w:szCs w:val="18"/>
              </w:rPr>
            </w:pPr>
            <w:r>
              <w:rPr>
                <w:rFonts w:cs="Arial"/>
                <w:sz w:val="18"/>
                <w:szCs w:val="18"/>
              </w:rPr>
              <w:t>X</w:t>
            </w:r>
          </w:p>
        </w:tc>
      </w:tr>
      <w:tr w:rsidR="0072364F" w:rsidRPr="00CF5FBF" w:rsidTr="0072364F">
        <w:trPr>
          <w:cantSplit/>
          <w:trHeight w:val="283"/>
        </w:trPr>
        <w:tc>
          <w:tcPr>
            <w:tcW w:w="4230" w:type="dxa"/>
            <w:shd w:val="clear" w:color="auto" w:fill="auto"/>
            <w:vAlign w:val="center"/>
          </w:tcPr>
          <w:p w:rsidR="0072364F" w:rsidRDefault="0072364F" w:rsidP="00AB7DA1">
            <w:pPr>
              <w:rPr>
                <w:rFonts w:cs="Arial"/>
                <w:sz w:val="18"/>
                <w:szCs w:val="18"/>
              </w:rPr>
            </w:pPr>
            <w:r>
              <w:rPr>
                <w:rFonts w:cs="Arial"/>
                <w:sz w:val="18"/>
                <w:szCs w:val="18"/>
              </w:rPr>
              <w:t>CAMHS County</w:t>
            </w: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FFFFFF" w:themeFill="background1"/>
          </w:tcPr>
          <w:p w:rsidR="0072364F" w:rsidRDefault="0072364F" w:rsidP="00AB7DA1">
            <w:pPr>
              <w:jc w:val="center"/>
              <w:rPr>
                <w:rFonts w:cs="Arial"/>
                <w:sz w:val="18"/>
                <w:szCs w:val="18"/>
              </w:rPr>
            </w:pPr>
            <w:r>
              <w:rPr>
                <w:rFonts w:cs="Arial"/>
                <w:sz w:val="18"/>
                <w:szCs w:val="18"/>
              </w:rPr>
              <w:t>X</w:t>
            </w:r>
          </w:p>
        </w:tc>
      </w:tr>
      <w:tr w:rsidR="0072364F" w:rsidRPr="00CF5FBF" w:rsidTr="0072364F">
        <w:trPr>
          <w:cantSplit/>
          <w:trHeight w:val="283"/>
        </w:trPr>
        <w:tc>
          <w:tcPr>
            <w:tcW w:w="4230" w:type="dxa"/>
            <w:shd w:val="clear" w:color="auto" w:fill="auto"/>
            <w:vAlign w:val="center"/>
          </w:tcPr>
          <w:p w:rsidR="0072364F" w:rsidRDefault="0072364F" w:rsidP="00AB7DA1">
            <w:pPr>
              <w:rPr>
                <w:rFonts w:cs="Arial"/>
                <w:sz w:val="18"/>
                <w:szCs w:val="18"/>
              </w:rPr>
            </w:pPr>
            <w:r>
              <w:rPr>
                <w:rFonts w:cs="Arial"/>
                <w:sz w:val="18"/>
                <w:szCs w:val="18"/>
              </w:rPr>
              <w:t>CAMHS Crisis</w:t>
            </w: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FFFFFF" w:themeFill="background1"/>
          </w:tcPr>
          <w:p w:rsidR="0072364F" w:rsidRDefault="0072364F" w:rsidP="00AB7DA1">
            <w:pPr>
              <w:jc w:val="center"/>
              <w:rPr>
                <w:rFonts w:cs="Arial"/>
                <w:sz w:val="18"/>
                <w:szCs w:val="18"/>
              </w:rPr>
            </w:pPr>
            <w:r>
              <w:rPr>
                <w:rFonts w:cs="Arial"/>
                <w:sz w:val="18"/>
                <w:szCs w:val="18"/>
              </w:rPr>
              <w:t>X</w:t>
            </w:r>
          </w:p>
        </w:tc>
      </w:tr>
      <w:tr w:rsidR="0072364F" w:rsidRPr="00CF5FBF" w:rsidTr="0072364F">
        <w:trPr>
          <w:cantSplit/>
          <w:trHeight w:val="283"/>
        </w:trPr>
        <w:tc>
          <w:tcPr>
            <w:tcW w:w="4230" w:type="dxa"/>
            <w:shd w:val="clear" w:color="auto" w:fill="auto"/>
            <w:vAlign w:val="center"/>
          </w:tcPr>
          <w:p w:rsidR="0072364F" w:rsidRDefault="0072364F" w:rsidP="00AB7DA1">
            <w:pPr>
              <w:rPr>
                <w:rFonts w:cs="Arial"/>
                <w:sz w:val="18"/>
                <w:szCs w:val="18"/>
              </w:rPr>
            </w:pPr>
            <w:r>
              <w:rPr>
                <w:rFonts w:cs="Arial"/>
                <w:sz w:val="18"/>
                <w:szCs w:val="18"/>
              </w:rPr>
              <w:t>Eating Disorders</w:t>
            </w: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D9D9D9" w:themeFill="background1" w:themeFillShade="D9"/>
          </w:tcPr>
          <w:p w:rsidR="0072364F" w:rsidRDefault="0072364F" w:rsidP="00AB7DA1">
            <w:pPr>
              <w:jc w:val="center"/>
              <w:rPr>
                <w:rFonts w:cs="Arial"/>
                <w:sz w:val="18"/>
                <w:szCs w:val="18"/>
              </w:rPr>
            </w:pPr>
          </w:p>
        </w:tc>
        <w:tc>
          <w:tcPr>
            <w:tcW w:w="1129" w:type="dxa"/>
            <w:shd w:val="clear" w:color="auto" w:fill="FFFFFF" w:themeFill="background1"/>
          </w:tcPr>
          <w:p w:rsidR="0072364F" w:rsidRDefault="0072364F" w:rsidP="00AB7DA1">
            <w:pPr>
              <w:jc w:val="center"/>
              <w:rPr>
                <w:rFonts w:cs="Arial"/>
                <w:sz w:val="18"/>
                <w:szCs w:val="18"/>
              </w:rPr>
            </w:pPr>
            <w:r>
              <w:rPr>
                <w:rFonts w:cs="Arial"/>
                <w:sz w:val="18"/>
                <w:szCs w:val="18"/>
              </w:rPr>
              <w:t>X</w:t>
            </w:r>
          </w:p>
        </w:tc>
      </w:tr>
    </w:tbl>
    <w:p w:rsidR="001D5300" w:rsidRPr="00B46937" w:rsidRDefault="009B0197" w:rsidP="00B46937">
      <w:pPr>
        <w:pStyle w:val="Caption"/>
        <w:ind w:left="720"/>
      </w:pPr>
      <w:r>
        <w:t>Table 11 – Community Hot Spot areas</w:t>
      </w:r>
    </w:p>
    <w:p w:rsidR="001D5300" w:rsidRPr="00B46937" w:rsidRDefault="00DE0E38" w:rsidP="00B46937">
      <w:pPr>
        <w:pStyle w:val="ListParagraph"/>
        <w:numPr>
          <w:ilvl w:val="0"/>
          <w:numId w:val="21"/>
        </w:numPr>
        <w:jc w:val="both"/>
        <w:rPr>
          <w:rFonts w:cs="Arial"/>
        </w:rPr>
      </w:pPr>
      <w:r>
        <w:rPr>
          <w:rFonts w:cs="Arial"/>
        </w:rPr>
        <w:t xml:space="preserve">     </w:t>
      </w:r>
      <w:r w:rsidR="001D5300" w:rsidRPr="001D5300">
        <w:rPr>
          <w:rFonts w:cs="Arial"/>
        </w:rPr>
        <w:t>Community Hot Spot areas</w:t>
      </w:r>
      <w:r w:rsidR="001D5300">
        <w:rPr>
          <w:rFonts w:cs="Arial"/>
        </w:rPr>
        <w:t xml:space="preserve"> in </w:t>
      </w:r>
      <w:r w:rsidR="0072364F">
        <w:rPr>
          <w:rFonts w:cs="Arial"/>
        </w:rPr>
        <w:t>summary</w:t>
      </w:r>
      <w:r w:rsidR="001D5300" w:rsidRPr="001D5300">
        <w:rPr>
          <w:rFonts w:cs="Arial"/>
        </w:rPr>
        <w:t xml:space="preserve">; </w:t>
      </w:r>
    </w:p>
    <w:p w:rsidR="0072364F" w:rsidRPr="001D1164" w:rsidRDefault="001D5300" w:rsidP="00DE0E38">
      <w:pPr>
        <w:ind w:left="720"/>
      </w:pPr>
      <w:r>
        <w:t>Within Community nursing the City East and City West hubs are hot spots due to vacancies, the Charnwood hub is a hot spot due to high numbers of staff on maternity leave.</w:t>
      </w:r>
      <w:r w:rsidR="0072364F" w:rsidRPr="0072364F">
        <w:rPr>
          <w:rFonts w:cs="Arial"/>
        </w:rPr>
        <w:t xml:space="preserve"> </w:t>
      </w:r>
      <w:r w:rsidR="0072364F">
        <w:rPr>
          <w:rFonts w:cs="Arial"/>
        </w:rPr>
        <w:t>Staffing is risk assessed across the service line and substantive staff are moved across teams and hubs dependant on patient acuity and dependency.</w:t>
      </w:r>
    </w:p>
    <w:p w:rsidR="002350CC" w:rsidRDefault="002350CC" w:rsidP="00A000BC">
      <w:pPr>
        <w:jc w:val="both"/>
      </w:pPr>
    </w:p>
    <w:p w:rsidR="001D5300" w:rsidRPr="00A000BC" w:rsidRDefault="002350CC" w:rsidP="0072364F">
      <w:pPr>
        <w:ind w:left="720"/>
      </w:pPr>
      <w:r w:rsidRPr="00A000BC">
        <w:t>Looked After Children team</w:t>
      </w:r>
      <w:r w:rsidR="0072364F" w:rsidRPr="00A000BC">
        <w:t xml:space="preserve">, CAMHS Crisis, CAMHS City and County and Healthy Together </w:t>
      </w:r>
      <w:r w:rsidRPr="00A000BC">
        <w:t>City</w:t>
      </w:r>
      <w:r w:rsidR="0072364F" w:rsidRPr="00A000BC">
        <w:t xml:space="preserve"> and East teams remain hot spot </w:t>
      </w:r>
      <w:r w:rsidRPr="00A000BC">
        <w:t xml:space="preserve">areas within FYPC Community; they are rated </w:t>
      </w:r>
      <w:r w:rsidR="0072364F" w:rsidRPr="00A000BC">
        <w:t xml:space="preserve">to be at </w:t>
      </w:r>
      <w:r w:rsidRPr="00A000BC">
        <w:t>Amber escalation level due to only</w:t>
      </w:r>
      <w:r w:rsidR="0072364F" w:rsidRPr="00A000BC">
        <w:t xml:space="preserve"> </w:t>
      </w:r>
      <w:r w:rsidRPr="00A000BC">
        <w:t xml:space="preserve">70% of the established team </w:t>
      </w:r>
      <w:r w:rsidR="00C165B1" w:rsidRPr="00A000BC">
        <w:t xml:space="preserve">being </w:t>
      </w:r>
      <w:r w:rsidRPr="00A000BC">
        <w:t>available to work.  </w:t>
      </w:r>
      <w:r w:rsidR="0072364F" w:rsidRPr="00A000BC">
        <w:t>Eating Disorders team is rated as Red escalation level due to only 69% of the established team being available to work.</w:t>
      </w:r>
      <w:r w:rsidRPr="00A000BC">
        <w:t xml:space="preserve">         </w:t>
      </w:r>
    </w:p>
    <w:p w:rsidR="001D1164" w:rsidRPr="00A000BC" w:rsidRDefault="001D1164" w:rsidP="00E025CF">
      <w:pPr>
        <w:jc w:val="both"/>
        <w:rPr>
          <w:rFonts w:cs="Arial"/>
        </w:rPr>
      </w:pPr>
    </w:p>
    <w:p w:rsidR="0072364F" w:rsidRPr="00A000BC" w:rsidRDefault="00DA5035" w:rsidP="0072364F">
      <w:pPr>
        <w:ind w:left="720"/>
      </w:pPr>
      <w:r w:rsidRPr="00A000BC">
        <w:t>Mitigation plans are in place within the service for moving staff internally, where possible, and vacant posts are being proactively advertised</w:t>
      </w:r>
      <w:r w:rsidR="0072364F" w:rsidRPr="00A000BC">
        <w:t>, locum support</w:t>
      </w:r>
      <w:r w:rsidR="00DE0E38" w:rsidRPr="00A000BC">
        <w:t xml:space="preserve"> recruited to and additional hours in place for existing substantive staff where possible  to increase capacity</w:t>
      </w:r>
      <w:r w:rsidR="0072364F" w:rsidRPr="00A000BC">
        <w:t xml:space="preserve"> . R</w:t>
      </w:r>
      <w:r w:rsidRPr="00A000BC">
        <w:t>isk</w:t>
      </w:r>
      <w:r w:rsidR="0072364F" w:rsidRPr="00A000BC">
        <w:t>s continue to</w:t>
      </w:r>
      <w:r w:rsidRPr="00A000BC">
        <w:t xml:space="preserve"> be monitored internally on a weekl</w:t>
      </w:r>
      <w:r w:rsidR="0072364F" w:rsidRPr="00A000BC">
        <w:t>y basis until staffing improves.</w:t>
      </w:r>
    </w:p>
    <w:p w:rsidR="000A09BA" w:rsidRDefault="00DA5035" w:rsidP="00B46937">
      <w:r w:rsidRPr="00A000BC">
        <w:t>.</w:t>
      </w:r>
      <w:r w:rsidR="00B46937">
        <w:t xml:space="preserve"> </w:t>
      </w:r>
    </w:p>
    <w:p w:rsidR="00642ABC" w:rsidRPr="000A09BA" w:rsidRDefault="00642ABC" w:rsidP="000A09BA">
      <w:pPr>
        <w:ind w:left="720"/>
      </w:pPr>
      <w:r w:rsidRPr="00092D5B">
        <w:rPr>
          <w:b/>
        </w:rPr>
        <w:t>Recruitment</w:t>
      </w:r>
      <w:r w:rsidR="006772F3">
        <w:rPr>
          <w:b/>
        </w:rPr>
        <w:t xml:space="preserve"> and Retention</w:t>
      </w:r>
    </w:p>
    <w:p w:rsidR="00642ABC" w:rsidRDefault="00642ABC" w:rsidP="00642ABC">
      <w:pPr>
        <w:jc w:val="both"/>
        <w:rPr>
          <w:b/>
        </w:rPr>
      </w:pPr>
    </w:p>
    <w:p w:rsidR="00642ABC" w:rsidRDefault="00DE0E38" w:rsidP="000147A3">
      <w:pPr>
        <w:ind w:left="720" w:hanging="720"/>
        <w:jc w:val="both"/>
        <w:rPr>
          <w:rFonts w:cs="Arial"/>
        </w:rPr>
      </w:pPr>
      <w:r>
        <w:rPr>
          <w:rFonts w:cs="Arial"/>
        </w:rPr>
        <w:t>42</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49552B" w:rsidRDefault="00850BE6" w:rsidP="00D24EA7">
            <w:pPr>
              <w:jc w:val="center"/>
              <w:rPr>
                <w:rFonts w:eastAsiaTheme="minorHAnsi" w:cs="Arial"/>
                <w:sz w:val="18"/>
                <w:szCs w:val="18"/>
                <w:lang w:eastAsia="en-US"/>
              </w:rPr>
            </w:pPr>
            <w:r>
              <w:rPr>
                <w:rFonts w:eastAsiaTheme="minorHAnsi" w:cs="Arial"/>
                <w:sz w:val="18"/>
                <w:szCs w:val="18"/>
                <w:lang w:eastAsia="en-US"/>
              </w:rPr>
              <w:t>21.0</w:t>
            </w:r>
          </w:p>
        </w:tc>
        <w:tc>
          <w:tcPr>
            <w:tcW w:w="850" w:type="dxa"/>
            <w:shd w:val="clear" w:color="auto" w:fill="auto"/>
            <w:vAlign w:val="center"/>
          </w:tcPr>
          <w:p w:rsidR="00D24EA7" w:rsidRPr="0049552B" w:rsidRDefault="00850BE6" w:rsidP="00D24EA7">
            <w:pPr>
              <w:jc w:val="center"/>
              <w:rPr>
                <w:rFonts w:eastAsiaTheme="minorHAnsi" w:cs="Arial"/>
                <w:sz w:val="18"/>
                <w:szCs w:val="18"/>
                <w:lang w:eastAsia="en-US"/>
              </w:rPr>
            </w:pPr>
            <w:r>
              <w:rPr>
                <w:rFonts w:eastAsiaTheme="minorHAnsi" w:cs="Arial"/>
                <w:sz w:val="18"/>
                <w:szCs w:val="18"/>
                <w:lang w:eastAsia="en-US"/>
              </w:rPr>
              <w:t>3.94</w:t>
            </w:r>
          </w:p>
        </w:tc>
        <w:tc>
          <w:tcPr>
            <w:tcW w:w="709" w:type="dxa"/>
            <w:shd w:val="clear" w:color="auto" w:fill="auto"/>
            <w:vAlign w:val="center"/>
          </w:tcPr>
          <w:p w:rsidR="00D24EA7" w:rsidRPr="0049552B" w:rsidRDefault="00850BE6" w:rsidP="00D24EA7">
            <w:pPr>
              <w:jc w:val="center"/>
              <w:rPr>
                <w:rFonts w:eastAsiaTheme="minorHAnsi" w:cs="Arial"/>
                <w:sz w:val="18"/>
                <w:szCs w:val="18"/>
                <w:lang w:eastAsia="en-US"/>
              </w:rPr>
            </w:pPr>
            <w:r>
              <w:rPr>
                <w:rFonts w:eastAsiaTheme="minorHAnsi" w:cs="Arial"/>
                <w:sz w:val="18"/>
                <w:szCs w:val="18"/>
                <w:lang w:eastAsia="en-US"/>
              </w:rPr>
              <w:t>4.0</w:t>
            </w:r>
          </w:p>
        </w:tc>
        <w:tc>
          <w:tcPr>
            <w:tcW w:w="851" w:type="dxa"/>
            <w:shd w:val="clear" w:color="auto" w:fill="auto"/>
            <w:vAlign w:val="center"/>
          </w:tcPr>
          <w:p w:rsidR="00D24EA7" w:rsidRPr="0049552B" w:rsidRDefault="006772F3" w:rsidP="00D24EA7">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24EA7" w:rsidRPr="0049552B" w:rsidRDefault="00850BE6" w:rsidP="00D24EA7">
            <w:pPr>
              <w:jc w:val="center"/>
              <w:rPr>
                <w:rFonts w:eastAsiaTheme="minorHAnsi" w:cs="Arial"/>
                <w:sz w:val="18"/>
                <w:szCs w:val="18"/>
                <w:lang w:eastAsia="en-US"/>
              </w:rPr>
            </w:pPr>
            <w:r>
              <w:rPr>
                <w:rFonts w:eastAsiaTheme="minorHAnsi" w:cs="Arial"/>
                <w:sz w:val="18"/>
                <w:szCs w:val="18"/>
                <w:lang w:eastAsia="en-US"/>
              </w:rPr>
              <w:t>9.2</w:t>
            </w:r>
          </w:p>
        </w:tc>
        <w:tc>
          <w:tcPr>
            <w:tcW w:w="992" w:type="dxa"/>
            <w:shd w:val="clear" w:color="auto" w:fill="auto"/>
            <w:vAlign w:val="center"/>
          </w:tcPr>
          <w:p w:rsidR="00D24EA7" w:rsidRPr="0049552B" w:rsidRDefault="00850BE6" w:rsidP="00D24EA7">
            <w:pPr>
              <w:jc w:val="center"/>
              <w:rPr>
                <w:rFonts w:eastAsiaTheme="minorHAnsi" w:cs="Arial"/>
                <w:sz w:val="18"/>
                <w:szCs w:val="18"/>
                <w:lang w:eastAsia="en-US"/>
              </w:rPr>
            </w:pPr>
            <w:r>
              <w:rPr>
                <w:rFonts w:eastAsiaTheme="minorHAnsi" w:cs="Arial"/>
                <w:sz w:val="18"/>
                <w:szCs w:val="18"/>
                <w:lang w:eastAsia="en-US"/>
              </w:rPr>
              <w:t>1.0</w:t>
            </w:r>
          </w:p>
        </w:tc>
      </w:tr>
      <w:tr w:rsidR="006772F3" w:rsidRPr="00DC2B5E" w:rsidTr="00D71AC0">
        <w:trPr>
          <w:jc w:val="center"/>
        </w:trPr>
        <w:tc>
          <w:tcPr>
            <w:tcW w:w="3614" w:type="dxa"/>
            <w:shd w:val="clear" w:color="auto" w:fill="auto"/>
            <w:vAlign w:val="center"/>
          </w:tcPr>
          <w:p w:rsidR="006772F3" w:rsidRPr="0049552B" w:rsidRDefault="006772F3" w:rsidP="00417E47">
            <w:pPr>
              <w:rPr>
                <w:rFonts w:cs="Arial"/>
                <w:sz w:val="18"/>
                <w:szCs w:val="18"/>
              </w:rPr>
            </w:pPr>
            <w:r w:rsidRPr="0049552B">
              <w:rPr>
                <w:rFonts w:cs="Arial"/>
                <w:sz w:val="18"/>
                <w:szCs w:val="18"/>
              </w:rPr>
              <w:t>CHS - ICS</w:t>
            </w:r>
          </w:p>
        </w:tc>
        <w:tc>
          <w:tcPr>
            <w:tcW w:w="764"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5.0</w:t>
            </w:r>
          </w:p>
        </w:tc>
        <w:tc>
          <w:tcPr>
            <w:tcW w:w="850"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4.0</w:t>
            </w:r>
          </w:p>
        </w:tc>
        <w:tc>
          <w:tcPr>
            <w:tcW w:w="709"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0</w:t>
            </w:r>
          </w:p>
        </w:tc>
        <w:tc>
          <w:tcPr>
            <w:tcW w:w="851"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2.0</w:t>
            </w:r>
          </w:p>
        </w:tc>
        <w:tc>
          <w:tcPr>
            <w:tcW w:w="850"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1.0</w:t>
            </w:r>
          </w:p>
        </w:tc>
        <w:tc>
          <w:tcPr>
            <w:tcW w:w="992" w:type="dxa"/>
            <w:shd w:val="clear" w:color="auto" w:fill="auto"/>
            <w:vAlign w:val="center"/>
          </w:tcPr>
          <w:p w:rsidR="006772F3" w:rsidRDefault="006772F3">
            <w:pPr>
              <w:jc w:val="center"/>
              <w:rPr>
                <w:rFonts w:ascii="Calibri" w:eastAsiaTheme="minorHAnsi" w:hAnsi="Calibri"/>
                <w:sz w:val="18"/>
                <w:szCs w:val="18"/>
                <w:lang w:eastAsia="en-US"/>
              </w:rPr>
            </w:pPr>
            <w:r>
              <w:rPr>
                <w:sz w:val="18"/>
                <w:szCs w:val="18"/>
              </w:rPr>
              <w:t>0</w:t>
            </w:r>
          </w:p>
        </w:tc>
      </w:tr>
      <w:tr w:rsidR="00417E47" w:rsidRPr="00DC2B5E" w:rsidTr="00D71AC0">
        <w:trPr>
          <w:jc w:val="center"/>
        </w:trPr>
        <w:tc>
          <w:tcPr>
            <w:tcW w:w="3614" w:type="dxa"/>
            <w:shd w:val="clear" w:color="auto" w:fill="auto"/>
            <w:vAlign w:val="center"/>
          </w:tcPr>
          <w:p w:rsidR="00417E47" w:rsidRPr="0049552B" w:rsidRDefault="00417E47" w:rsidP="00417E47">
            <w:pPr>
              <w:rPr>
                <w:rFonts w:cs="Arial"/>
                <w:sz w:val="18"/>
                <w:szCs w:val="18"/>
                <w:highlight w:val="yellow"/>
              </w:rPr>
            </w:pPr>
            <w:r w:rsidRPr="0049552B">
              <w:rPr>
                <w:rFonts w:cs="Arial"/>
                <w:sz w:val="18"/>
                <w:szCs w:val="18"/>
              </w:rPr>
              <w:t>MHSOP</w:t>
            </w:r>
          </w:p>
        </w:tc>
        <w:tc>
          <w:tcPr>
            <w:tcW w:w="764"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2.24</w:t>
            </w:r>
          </w:p>
        </w:tc>
        <w:tc>
          <w:tcPr>
            <w:tcW w:w="850"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1.0</w:t>
            </w:r>
          </w:p>
        </w:tc>
        <w:tc>
          <w:tcPr>
            <w:tcW w:w="709"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0.64</w:t>
            </w:r>
          </w:p>
        </w:tc>
        <w:tc>
          <w:tcPr>
            <w:tcW w:w="992" w:type="dxa"/>
            <w:shd w:val="clear" w:color="auto" w:fill="auto"/>
            <w:vAlign w:val="center"/>
          </w:tcPr>
          <w:p w:rsidR="00417E47" w:rsidRPr="0049552B" w:rsidRDefault="006772F3" w:rsidP="00417E47">
            <w:pPr>
              <w:spacing w:line="276" w:lineRule="auto"/>
              <w:jc w:val="center"/>
              <w:rPr>
                <w:rFonts w:eastAsiaTheme="minorHAnsi" w:cs="Arial"/>
                <w:sz w:val="18"/>
                <w:szCs w:val="18"/>
                <w:lang w:eastAsia="en-US"/>
              </w:rPr>
            </w:pPr>
            <w:r>
              <w:rPr>
                <w:rFonts w:eastAsiaTheme="minorHAnsi" w:cs="Arial"/>
                <w:sz w:val="18"/>
                <w:szCs w:val="18"/>
                <w:lang w:eastAsia="en-US"/>
              </w:rPr>
              <w:t>0</w:t>
            </w:r>
          </w:p>
        </w:tc>
      </w:tr>
      <w:tr w:rsidR="00FE1800" w:rsidRPr="009C6019" w:rsidTr="00D177B4">
        <w:trPr>
          <w:jc w:val="center"/>
        </w:trPr>
        <w:tc>
          <w:tcPr>
            <w:tcW w:w="3614" w:type="dxa"/>
            <w:shd w:val="clear" w:color="auto" w:fill="auto"/>
          </w:tcPr>
          <w:p w:rsidR="00FE1800" w:rsidRPr="0049552B" w:rsidRDefault="00FE1800" w:rsidP="00164DF1">
            <w:pPr>
              <w:rPr>
                <w:rFonts w:cs="Arial"/>
                <w:sz w:val="18"/>
                <w:szCs w:val="18"/>
                <w:highlight w:val="yellow"/>
              </w:rPr>
            </w:pPr>
            <w:r w:rsidRPr="0049552B">
              <w:rPr>
                <w:rFonts w:cs="Arial"/>
                <w:sz w:val="18"/>
                <w:szCs w:val="18"/>
              </w:rPr>
              <w:t>AMH/LD</w:t>
            </w:r>
          </w:p>
        </w:tc>
        <w:tc>
          <w:tcPr>
            <w:tcW w:w="764"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27.4</w:t>
            </w:r>
          </w:p>
        </w:tc>
        <w:tc>
          <w:tcPr>
            <w:tcW w:w="850"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6.9</w:t>
            </w:r>
          </w:p>
        </w:tc>
        <w:tc>
          <w:tcPr>
            <w:tcW w:w="709"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0</w:t>
            </w:r>
          </w:p>
        </w:tc>
        <w:tc>
          <w:tcPr>
            <w:tcW w:w="851"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0</w:t>
            </w:r>
          </w:p>
        </w:tc>
        <w:tc>
          <w:tcPr>
            <w:tcW w:w="850"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5.6</w:t>
            </w:r>
          </w:p>
        </w:tc>
        <w:tc>
          <w:tcPr>
            <w:tcW w:w="992" w:type="dxa"/>
            <w:shd w:val="clear" w:color="auto" w:fill="auto"/>
          </w:tcPr>
          <w:p w:rsidR="00FE1800" w:rsidRPr="00FE1800" w:rsidRDefault="00FE1800" w:rsidP="00FE1800">
            <w:pPr>
              <w:jc w:val="center"/>
              <w:rPr>
                <w:rFonts w:ascii="Calibri" w:eastAsiaTheme="minorHAnsi" w:hAnsi="Calibri"/>
                <w:sz w:val="18"/>
                <w:szCs w:val="18"/>
                <w:lang w:eastAsia="en-US"/>
              </w:rPr>
            </w:pPr>
            <w:r w:rsidRPr="00FE1800">
              <w:rPr>
                <w:sz w:val="18"/>
                <w:szCs w:val="18"/>
              </w:rPr>
              <w:t>0</w:t>
            </w:r>
          </w:p>
        </w:tc>
      </w:tr>
      <w:tr w:rsidR="00417E47" w:rsidRPr="00DC2B5E" w:rsidTr="0019277A">
        <w:trPr>
          <w:trHeight w:val="274"/>
          <w:jc w:val="center"/>
        </w:trPr>
        <w:tc>
          <w:tcPr>
            <w:tcW w:w="3614" w:type="dxa"/>
            <w:shd w:val="clear" w:color="auto" w:fill="auto"/>
          </w:tcPr>
          <w:p w:rsidR="00417E47" w:rsidRPr="0049552B" w:rsidRDefault="00417E47"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417E47" w:rsidRPr="0049552B" w:rsidRDefault="006772F3" w:rsidP="00417E47">
            <w:pPr>
              <w:jc w:val="center"/>
              <w:rPr>
                <w:rFonts w:cs="Arial"/>
                <w:sz w:val="18"/>
                <w:szCs w:val="18"/>
              </w:rPr>
            </w:pPr>
            <w:r>
              <w:rPr>
                <w:rFonts w:cs="Arial"/>
                <w:sz w:val="18"/>
                <w:szCs w:val="18"/>
              </w:rPr>
              <w:t>18.96</w:t>
            </w:r>
          </w:p>
        </w:tc>
        <w:tc>
          <w:tcPr>
            <w:tcW w:w="850" w:type="dxa"/>
            <w:shd w:val="clear" w:color="auto" w:fill="auto"/>
            <w:vAlign w:val="center"/>
          </w:tcPr>
          <w:p w:rsidR="00417E47" w:rsidRPr="0049552B" w:rsidRDefault="006772F3" w:rsidP="00417E47">
            <w:pPr>
              <w:jc w:val="center"/>
              <w:rPr>
                <w:rFonts w:cs="Arial"/>
                <w:sz w:val="18"/>
                <w:szCs w:val="18"/>
              </w:rPr>
            </w:pPr>
            <w:r>
              <w:rPr>
                <w:rFonts w:cs="Arial"/>
                <w:sz w:val="18"/>
                <w:szCs w:val="18"/>
              </w:rPr>
              <w:t>4.6</w:t>
            </w:r>
          </w:p>
        </w:tc>
        <w:tc>
          <w:tcPr>
            <w:tcW w:w="709" w:type="dxa"/>
            <w:shd w:val="clear" w:color="auto" w:fill="auto"/>
            <w:vAlign w:val="center"/>
          </w:tcPr>
          <w:p w:rsidR="00417E47" w:rsidRPr="0049552B" w:rsidRDefault="006772F3" w:rsidP="00417E47">
            <w:pPr>
              <w:jc w:val="center"/>
              <w:rPr>
                <w:rFonts w:cs="Arial"/>
                <w:sz w:val="18"/>
                <w:szCs w:val="18"/>
              </w:rPr>
            </w:pPr>
            <w:r>
              <w:rPr>
                <w:rFonts w:cs="Arial"/>
                <w:sz w:val="18"/>
                <w:szCs w:val="18"/>
              </w:rPr>
              <w:t>0.8</w:t>
            </w:r>
          </w:p>
        </w:tc>
        <w:tc>
          <w:tcPr>
            <w:tcW w:w="851" w:type="dxa"/>
            <w:shd w:val="clear" w:color="auto" w:fill="auto"/>
            <w:vAlign w:val="center"/>
          </w:tcPr>
          <w:p w:rsidR="00417E47" w:rsidRPr="0049552B" w:rsidRDefault="006772F3" w:rsidP="00417E47">
            <w:pPr>
              <w:jc w:val="center"/>
              <w:rPr>
                <w:rFonts w:cs="Arial"/>
                <w:sz w:val="18"/>
                <w:szCs w:val="18"/>
              </w:rPr>
            </w:pPr>
            <w:r>
              <w:rPr>
                <w:rFonts w:cs="Arial"/>
                <w:sz w:val="18"/>
                <w:szCs w:val="18"/>
              </w:rPr>
              <w:t>0</w:t>
            </w:r>
          </w:p>
        </w:tc>
        <w:tc>
          <w:tcPr>
            <w:tcW w:w="850" w:type="dxa"/>
            <w:shd w:val="clear" w:color="auto" w:fill="auto"/>
            <w:vAlign w:val="center"/>
          </w:tcPr>
          <w:p w:rsidR="00417E47" w:rsidRPr="0049552B" w:rsidRDefault="006772F3" w:rsidP="00417E47">
            <w:pPr>
              <w:jc w:val="center"/>
              <w:rPr>
                <w:rFonts w:cs="Arial"/>
                <w:sz w:val="18"/>
                <w:szCs w:val="18"/>
              </w:rPr>
            </w:pPr>
            <w:r>
              <w:rPr>
                <w:rFonts w:cs="Arial"/>
                <w:sz w:val="18"/>
                <w:szCs w:val="18"/>
              </w:rPr>
              <w:t>7.6</w:t>
            </w:r>
          </w:p>
        </w:tc>
        <w:tc>
          <w:tcPr>
            <w:tcW w:w="992" w:type="dxa"/>
            <w:shd w:val="clear" w:color="auto" w:fill="auto"/>
            <w:vAlign w:val="center"/>
          </w:tcPr>
          <w:p w:rsidR="00417E47" w:rsidRPr="0049552B" w:rsidRDefault="006772F3" w:rsidP="00417E47">
            <w:pPr>
              <w:jc w:val="center"/>
              <w:rPr>
                <w:rFonts w:cs="Arial"/>
                <w:sz w:val="18"/>
                <w:szCs w:val="18"/>
              </w:rPr>
            </w:pPr>
            <w:r>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49552B" w:rsidRDefault="0049552B" w:rsidP="00AB7DA1">
            <w:pPr>
              <w:rPr>
                <w:rFonts w:cs="Arial"/>
                <w:b/>
                <w:sz w:val="18"/>
                <w:szCs w:val="18"/>
              </w:rPr>
            </w:pPr>
          </w:p>
          <w:p w:rsidR="00E921D5" w:rsidRPr="0049552B" w:rsidRDefault="00850BE6" w:rsidP="00AB7DA1">
            <w:pPr>
              <w:rPr>
                <w:rFonts w:cs="Arial"/>
                <w:b/>
                <w:sz w:val="18"/>
                <w:szCs w:val="18"/>
              </w:rPr>
            </w:pPr>
            <w:r>
              <w:rPr>
                <w:rFonts w:cs="Arial"/>
                <w:b/>
                <w:sz w:val="18"/>
                <w:szCs w:val="18"/>
              </w:rPr>
              <w:t>Trust Total Februa</w:t>
            </w:r>
            <w:r w:rsidR="00D24EA7" w:rsidRPr="0049552B">
              <w:rPr>
                <w:rFonts w:cs="Arial"/>
                <w:b/>
                <w:sz w:val="18"/>
                <w:szCs w:val="18"/>
              </w:rPr>
              <w:t>ry 2019</w:t>
            </w:r>
          </w:p>
        </w:tc>
        <w:tc>
          <w:tcPr>
            <w:tcW w:w="764"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74.6</w:t>
            </w:r>
          </w:p>
        </w:tc>
        <w:tc>
          <w:tcPr>
            <w:tcW w:w="850"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20.44</w:t>
            </w:r>
          </w:p>
        </w:tc>
        <w:tc>
          <w:tcPr>
            <w:tcW w:w="709"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4.8</w:t>
            </w:r>
          </w:p>
        </w:tc>
        <w:tc>
          <w:tcPr>
            <w:tcW w:w="851"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2.0</w:t>
            </w:r>
          </w:p>
        </w:tc>
        <w:tc>
          <w:tcPr>
            <w:tcW w:w="850"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24.04</w:t>
            </w:r>
          </w:p>
        </w:tc>
        <w:tc>
          <w:tcPr>
            <w:tcW w:w="992" w:type="dxa"/>
            <w:tcBorders>
              <w:bottom w:val="single" w:sz="4" w:space="0" w:color="auto"/>
            </w:tcBorders>
            <w:shd w:val="clear" w:color="auto" w:fill="auto"/>
          </w:tcPr>
          <w:p w:rsidR="00372816" w:rsidRPr="0049552B" w:rsidRDefault="00EF3A6A" w:rsidP="00AB7DA1">
            <w:pPr>
              <w:jc w:val="center"/>
              <w:rPr>
                <w:rFonts w:cs="Arial"/>
                <w:b/>
                <w:sz w:val="18"/>
                <w:szCs w:val="18"/>
              </w:rPr>
            </w:pPr>
            <w:r>
              <w:rPr>
                <w:rFonts w:cs="Arial"/>
                <w:b/>
                <w:sz w:val="18"/>
                <w:szCs w:val="18"/>
              </w:rPr>
              <w:t>1.0</w:t>
            </w:r>
          </w:p>
        </w:tc>
      </w:tr>
      <w:tr w:rsidR="00850BE6" w:rsidRPr="00DC2B5E" w:rsidTr="00D71AC0">
        <w:trPr>
          <w:jc w:val="center"/>
        </w:trPr>
        <w:tc>
          <w:tcPr>
            <w:tcW w:w="3614" w:type="dxa"/>
            <w:tcBorders>
              <w:bottom w:val="single" w:sz="4" w:space="0" w:color="auto"/>
            </w:tcBorders>
            <w:shd w:val="clear" w:color="auto" w:fill="auto"/>
            <w:vAlign w:val="center"/>
          </w:tcPr>
          <w:p w:rsidR="00850BE6" w:rsidRPr="0049552B" w:rsidRDefault="00850BE6" w:rsidP="00AB7DA1">
            <w:pPr>
              <w:rPr>
                <w:rFonts w:cs="Arial"/>
                <w:sz w:val="18"/>
                <w:szCs w:val="18"/>
              </w:rPr>
            </w:pPr>
          </w:p>
          <w:p w:rsidR="00850BE6" w:rsidRPr="0049552B" w:rsidRDefault="00850BE6" w:rsidP="00FE77BE">
            <w:pPr>
              <w:rPr>
                <w:rFonts w:cs="Arial"/>
                <w:sz w:val="18"/>
                <w:szCs w:val="18"/>
              </w:rPr>
            </w:pPr>
            <w:r>
              <w:rPr>
                <w:rFonts w:cs="Arial"/>
                <w:sz w:val="18"/>
                <w:szCs w:val="18"/>
              </w:rPr>
              <w:t>Trust Total January 2019</w:t>
            </w:r>
          </w:p>
        </w:tc>
        <w:tc>
          <w:tcPr>
            <w:tcW w:w="764"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57.81</w:t>
            </w:r>
          </w:p>
        </w:tc>
        <w:tc>
          <w:tcPr>
            <w:tcW w:w="850"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15.2</w:t>
            </w:r>
          </w:p>
        </w:tc>
        <w:tc>
          <w:tcPr>
            <w:tcW w:w="709"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3.6</w:t>
            </w:r>
          </w:p>
        </w:tc>
        <w:tc>
          <w:tcPr>
            <w:tcW w:w="851"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1.0</w:t>
            </w:r>
          </w:p>
        </w:tc>
        <w:tc>
          <w:tcPr>
            <w:tcW w:w="850"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22.8</w:t>
            </w:r>
          </w:p>
        </w:tc>
        <w:tc>
          <w:tcPr>
            <w:tcW w:w="992" w:type="dxa"/>
            <w:tcBorders>
              <w:bottom w:val="single" w:sz="4" w:space="0" w:color="auto"/>
            </w:tcBorders>
            <w:shd w:val="clear" w:color="auto" w:fill="auto"/>
          </w:tcPr>
          <w:p w:rsidR="00850BE6" w:rsidRDefault="00850BE6" w:rsidP="009A6F96">
            <w:pPr>
              <w:jc w:val="center"/>
              <w:rPr>
                <w:rFonts w:cs="Arial"/>
                <w:b/>
                <w:sz w:val="18"/>
                <w:szCs w:val="18"/>
              </w:rPr>
            </w:pPr>
          </w:p>
          <w:p w:rsidR="00850BE6" w:rsidRPr="0049552B" w:rsidRDefault="00850BE6" w:rsidP="009A6F96">
            <w:pPr>
              <w:jc w:val="center"/>
              <w:rPr>
                <w:rFonts w:cs="Arial"/>
                <w:b/>
                <w:sz w:val="18"/>
                <w:szCs w:val="18"/>
              </w:rPr>
            </w:pPr>
            <w:r w:rsidRPr="0049552B">
              <w:rPr>
                <w:rFonts w:cs="Arial"/>
                <w:b/>
                <w:sz w:val="18"/>
                <w:szCs w:val="18"/>
              </w:rPr>
              <w:t>0</w:t>
            </w:r>
          </w:p>
        </w:tc>
      </w:tr>
    </w:tbl>
    <w:p w:rsidR="00092D5B" w:rsidRPr="00B46937" w:rsidRDefault="00372816" w:rsidP="00B46937">
      <w:pPr>
        <w:pStyle w:val="Caption"/>
        <w:ind w:left="720"/>
      </w:pPr>
      <w:r>
        <w:t>Table 1</w:t>
      </w:r>
      <w:r w:rsidR="00642ABC">
        <w:t>3</w:t>
      </w:r>
      <w:r>
        <w:t xml:space="preserve"> </w:t>
      </w:r>
      <w:r w:rsidR="00E921D5">
        <w:t>- Recruitment summary community</w:t>
      </w: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1D5300" w:rsidRDefault="00EF4C33" w:rsidP="00DE0E38">
      <w:pPr>
        <w:pStyle w:val="ListParagraph"/>
        <w:numPr>
          <w:ilvl w:val="0"/>
          <w:numId w:val="26"/>
        </w:numPr>
        <w:jc w:val="both"/>
      </w:pPr>
      <w:r w:rsidRPr="00DE0E38">
        <w:rPr>
          <w:rFonts w:cs="Arial"/>
        </w:rPr>
        <w:t xml:space="preserve">The Trust continues to demonstrate compliance with the National Quality Board (NQB) </w:t>
      </w:r>
      <w:r w:rsidR="000147A3" w:rsidRPr="00DE0E38">
        <w:rPr>
          <w:rFonts w:cs="Arial"/>
        </w:rPr>
        <w:t xml:space="preserve">    </w:t>
      </w:r>
      <w:r w:rsidR="00714691" w:rsidRPr="00DE0E38">
        <w:rPr>
          <w:rFonts w:cs="Arial"/>
        </w:rPr>
        <w:t xml:space="preserve">  </w:t>
      </w:r>
      <w:r w:rsidRPr="00DE0E38">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1D5300" w:rsidRPr="001D5300" w:rsidRDefault="001D5300" w:rsidP="00E167FA">
      <w:pPr>
        <w:pStyle w:val="ListParagraph"/>
        <w:ind w:left="360"/>
        <w:jc w:val="both"/>
      </w:pPr>
    </w:p>
    <w:p w:rsidR="00010995" w:rsidRPr="00B46937" w:rsidRDefault="00EF4C33" w:rsidP="00010995">
      <w:pPr>
        <w:pStyle w:val="ListParagraph"/>
        <w:numPr>
          <w:ilvl w:val="0"/>
          <w:numId w:val="26"/>
        </w:numPr>
        <w:jc w:val="both"/>
      </w:pPr>
      <w:r w:rsidRPr="00B46937">
        <w:rPr>
          <w:rFonts w:cs="Arial"/>
        </w:rPr>
        <w:t xml:space="preserve">Each directorate has a standard operating procedure for the escalation of safer staffing </w:t>
      </w:r>
      <w:r w:rsidR="00714691" w:rsidRPr="00B46937">
        <w:rPr>
          <w:rFonts w:cs="Arial"/>
        </w:rPr>
        <w:t xml:space="preserve">  </w:t>
      </w:r>
      <w:r w:rsidRPr="00B46937">
        <w:rPr>
          <w:rFonts w:cs="Arial"/>
        </w:rPr>
        <w:t xml:space="preserve">risks and any significant issues are notified to the Chief Nurse on a weekly basis. </w:t>
      </w:r>
    </w:p>
    <w:p w:rsidR="00B46937" w:rsidRDefault="00B46937" w:rsidP="00B46937">
      <w:pPr>
        <w:jc w:val="both"/>
      </w:pPr>
    </w:p>
    <w:p w:rsidR="00010995" w:rsidRPr="00714691" w:rsidRDefault="00010995" w:rsidP="00DE0E38">
      <w:pPr>
        <w:pStyle w:val="ListParagraph"/>
        <w:numPr>
          <w:ilvl w:val="0"/>
          <w:numId w:val="26"/>
        </w:numPr>
        <w:jc w:val="both"/>
      </w:pPr>
      <w:r>
        <w:t xml:space="preserve">In light of the triangulated review of fill rates, nurse sensitive indicators and patient feedback, the Chief Nurse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855839" w:rsidRDefault="00855839" w:rsidP="00EF4C33"/>
    <w:p w:rsidR="00EF4C33" w:rsidRDefault="00274697" w:rsidP="00EF4C33">
      <w:pPr>
        <w:rPr>
          <w:rFonts w:ascii="Elephant" w:hAnsi="Elephant"/>
          <w:color w:val="4F81BD"/>
        </w:rPr>
      </w:pPr>
      <w:r>
        <w:t xml:space="preserve">Presenting Director: </w:t>
      </w:r>
      <w:r>
        <w:tab/>
      </w:r>
      <w:r w:rsidR="0019277A">
        <w:t>Anne Scott</w:t>
      </w:r>
      <w:r w:rsidR="00EF4C33">
        <w:t xml:space="preserve"> </w:t>
      </w:r>
      <w:r w:rsidR="0019277A">
        <w:t>–</w:t>
      </w:r>
      <w:r w:rsidR="00EF4C33">
        <w:t xml:space="preserve"> </w:t>
      </w:r>
      <w:r w:rsidR="0019277A">
        <w:t xml:space="preserve">Interim </w:t>
      </w:r>
      <w:r w:rsidR="00EF4C33" w:rsidRPr="00EF4C33">
        <w:t>Ch</w:t>
      </w:r>
      <w:r w:rsidR="0019277A">
        <w:t>ief Nurse</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B46937" w:rsidRDefault="00B46937" w:rsidP="00B46937">
      <w:pPr>
        <w:ind w:left="2880" w:hanging="2880"/>
      </w:pPr>
    </w:p>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EF4C33" w:rsidRPr="00EF4C33" w:rsidRDefault="00EF4C33" w:rsidP="00EF4C33">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p w:rsidR="00C02EE5" w:rsidRPr="00034312" w:rsidRDefault="00C02EE5" w:rsidP="00B46937">
      <w:pPr>
        <w:jc w:val="both"/>
        <w:rPr>
          <w:rFonts w:cs="Arial"/>
        </w:rPr>
        <w:sectPr w:rsidR="00C02EE5" w:rsidRPr="00034312" w:rsidSect="00C16370">
          <w:footerReference w:type="default" r:id="rId10"/>
          <w:pgSz w:w="11906" w:h="16838"/>
          <w:pgMar w:top="993" w:right="991" w:bottom="1276" w:left="709" w:header="708" w:footer="139" w:gutter="0"/>
          <w:cols w:space="708"/>
          <w:docGrid w:linePitch="360"/>
        </w:sectPr>
      </w:pP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1511DA" w:rsidRPr="001511DA" w:rsidTr="00BE355F">
        <w:trPr>
          <w:gridAfter w:val="8"/>
          <w:wAfter w:w="1576" w:type="pct"/>
          <w:trHeight w:val="126"/>
          <w:tblHeader/>
        </w:trPr>
        <w:tc>
          <w:tcPr>
            <w:tcW w:w="598" w:type="pct"/>
            <w:gridSpan w:val="2"/>
            <w:vMerge w:val="restart"/>
            <w:noWrap/>
            <w:vAlign w:val="center"/>
            <w:hideMark/>
          </w:tcPr>
          <w:p w:rsidR="001511DA" w:rsidRPr="001511DA" w:rsidRDefault="001511DA" w:rsidP="001511DA">
            <w:pPr>
              <w:rPr>
                <w:rFonts w:cs="Arial"/>
                <w:b/>
                <w:sz w:val="12"/>
                <w:szCs w:val="12"/>
              </w:rPr>
            </w:pPr>
            <w:r>
              <w:rPr>
                <w:rFonts w:cs="Arial"/>
                <w:b/>
                <w:bCs/>
                <w:sz w:val="12"/>
                <w:szCs w:val="12"/>
              </w:rPr>
              <w:t xml:space="preserve">Appendix 1 - </w:t>
            </w:r>
            <w:r w:rsidRPr="001511DA">
              <w:rPr>
                <w:rFonts w:cs="Arial"/>
                <w:b/>
                <w:bCs/>
                <w:sz w:val="12"/>
                <w:szCs w:val="12"/>
              </w:rPr>
              <w:t>February 2019</w:t>
            </w:r>
            <w:r>
              <w:rPr>
                <w:rFonts w:cs="Arial"/>
                <w:b/>
                <w:bCs/>
                <w:sz w:val="12"/>
                <w:szCs w:val="12"/>
              </w:rPr>
              <w:t xml:space="preserve"> Scorecard</w:t>
            </w:r>
          </w:p>
          <w:p w:rsidR="001511DA" w:rsidRPr="001511DA" w:rsidRDefault="001511DA" w:rsidP="00BE355F">
            <w:pPr>
              <w:jc w:val="center"/>
              <w:rPr>
                <w:rFonts w:cs="Arial"/>
                <w:sz w:val="12"/>
                <w:szCs w:val="12"/>
              </w:rPr>
            </w:pPr>
          </w:p>
          <w:p w:rsidR="001511DA" w:rsidRPr="001511DA" w:rsidRDefault="001511DA" w:rsidP="00BE355F">
            <w:pPr>
              <w:jc w:val="center"/>
              <w:rPr>
                <w:rFonts w:cs="Arial"/>
                <w:sz w:val="12"/>
                <w:szCs w:val="12"/>
              </w:rPr>
            </w:pPr>
          </w:p>
        </w:tc>
        <w:tc>
          <w:tcPr>
            <w:tcW w:w="181" w:type="pct"/>
            <w:vAlign w:val="center"/>
          </w:tcPr>
          <w:p w:rsidR="001511DA" w:rsidRPr="001511DA" w:rsidRDefault="001511DA" w:rsidP="00BE355F">
            <w:pPr>
              <w:jc w:val="center"/>
              <w:rPr>
                <w:rFonts w:cs="Arial"/>
                <w:bCs/>
                <w:sz w:val="12"/>
                <w:szCs w:val="12"/>
              </w:rPr>
            </w:pPr>
          </w:p>
        </w:tc>
        <w:tc>
          <w:tcPr>
            <w:tcW w:w="181" w:type="pct"/>
            <w:tcBorders>
              <w:top w:val="nil"/>
              <w:left w:val="nil"/>
              <w:bottom w:val="nil"/>
              <w:right w:val="single" w:sz="4" w:space="0" w:color="auto"/>
            </w:tcBorders>
            <w:vAlign w:val="center"/>
          </w:tcPr>
          <w:p w:rsidR="001511DA" w:rsidRPr="001511DA" w:rsidRDefault="001511DA" w:rsidP="00BE355F">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Skill Mix Met</w:t>
            </w:r>
          </w:p>
          <w:p w:rsidR="001511DA" w:rsidRPr="001511DA" w:rsidRDefault="001511DA" w:rsidP="00BE355F">
            <w:pPr>
              <w:jc w:val="center"/>
              <w:rPr>
                <w:rFonts w:cs="Arial"/>
                <w:b/>
                <w:bCs/>
                <w:color w:val="FFFFFF"/>
                <w:sz w:val="12"/>
                <w:szCs w:val="12"/>
              </w:rPr>
            </w:pPr>
          </w:p>
          <w:p w:rsidR="001511DA" w:rsidRPr="001511DA" w:rsidRDefault="001511DA" w:rsidP="00BE355F">
            <w:pPr>
              <w:jc w:val="center"/>
              <w:rPr>
                <w:rFonts w:cs="Arial"/>
                <w:b/>
                <w:bCs/>
                <w:color w:val="FFFFFF"/>
                <w:sz w:val="12"/>
                <w:szCs w:val="12"/>
              </w:rPr>
            </w:pPr>
            <w:r w:rsidRPr="001511DA">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 Temporary Workers</w:t>
            </w:r>
          </w:p>
          <w:p w:rsidR="001511DA" w:rsidRPr="001511DA" w:rsidRDefault="001511DA" w:rsidP="00BE355F">
            <w:pPr>
              <w:jc w:val="center"/>
              <w:rPr>
                <w:rFonts w:cs="Arial"/>
                <w:b/>
                <w:bCs/>
                <w:color w:val="FFFFFF"/>
                <w:sz w:val="12"/>
                <w:szCs w:val="12"/>
              </w:rPr>
            </w:pPr>
          </w:p>
          <w:p w:rsidR="001511DA" w:rsidRPr="001511DA" w:rsidRDefault="001511DA" w:rsidP="00BE355F">
            <w:pPr>
              <w:jc w:val="center"/>
              <w:rPr>
                <w:rFonts w:cs="Arial"/>
                <w:b/>
                <w:bCs/>
                <w:color w:val="FFFFFF"/>
                <w:sz w:val="12"/>
                <w:szCs w:val="12"/>
              </w:rPr>
            </w:pPr>
            <w:r w:rsidRPr="001511DA">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ind w:left="-58" w:firstLine="58"/>
              <w:jc w:val="center"/>
              <w:rPr>
                <w:rFonts w:cs="Arial"/>
                <w:b/>
                <w:bCs/>
                <w:color w:val="FFFFFF"/>
                <w:sz w:val="12"/>
                <w:szCs w:val="12"/>
              </w:rPr>
            </w:pPr>
            <w:r w:rsidRPr="001511DA">
              <w:rPr>
                <w:rFonts w:cs="Arial"/>
                <w:b/>
                <w:bCs/>
                <w:color w:val="FFFFFF"/>
                <w:sz w:val="12"/>
                <w:szCs w:val="12"/>
              </w:rPr>
              <w:t>Overall CHPPD</w:t>
            </w:r>
          </w:p>
          <w:p w:rsidR="001511DA" w:rsidRPr="001511DA" w:rsidRDefault="001511DA" w:rsidP="00BE355F">
            <w:pPr>
              <w:ind w:left="-58" w:firstLine="58"/>
              <w:jc w:val="center"/>
              <w:rPr>
                <w:rFonts w:cs="Arial"/>
                <w:b/>
                <w:bCs/>
                <w:color w:val="FFFFFF"/>
                <w:sz w:val="12"/>
                <w:szCs w:val="12"/>
              </w:rPr>
            </w:pPr>
          </w:p>
          <w:p w:rsidR="001511DA" w:rsidRPr="001511DA" w:rsidRDefault="001511DA" w:rsidP="00BE355F">
            <w:pPr>
              <w:ind w:left="-58" w:firstLine="58"/>
              <w:jc w:val="center"/>
              <w:rPr>
                <w:rFonts w:cs="Arial"/>
                <w:b/>
                <w:bCs/>
                <w:color w:val="FFFFFF"/>
                <w:sz w:val="12"/>
                <w:szCs w:val="12"/>
              </w:rPr>
            </w:pPr>
            <w:r w:rsidRPr="001511DA">
              <w:rPr>
                <w:rFonts w:cs="Arial"/>
                <w:b/>
                <w:bCs/>
                <w:color w:val="FFFFFF"/>
                <w:sz w:val="12"/>
                <w:szCs w:val="12"/>
              </w:rPr>
              <w:t>(Nursing and AHP)</w:t>
            </w:r>
          </w:p>
        </w:tc>
      </w:tr>
      <w:tr w:rsidR="001511DA" w:rsidRPr="001511DA" w:rsidTr="00BE355F">
        <w:trPr>
          <w:gridAfter w:val="8"/>
          <w:wAfter w:w="1576" w:type="pct"/>
          <w:trHeight w:val="216"/>
          <w:tblHeader/>
        </w:trPr>
        <w:tc>
          <w:tcPr>
            <w:tcW w:w="598" w:type="pct"/>
            <w:gridSpan w:val="2"/>
            <w:vMerge/>
            <w:vAlign w:val="center"/>
            <w:hideMark/>
          </w:tcPr>
          <w:p w:rsidR="001511DA" w:rsidRPr="001511DA" w:rsidRDefault="001511DA" w:rsidP="00BE355F">
            <w:pPr>
              <w:jc w:val="center"/>
              <w:rPr>
                <w:rFonts w:cs="Arial"/>
                <w:sz w:val="12"/>
                <w:szCs w:val="12"/>
              </w:rPr>
            </w:pPr>
          </w:p>
        </w:tc>
        <w:tc>
          <w:tcPr>
            <w:tcW w:w="181" w:type="pct"/>
            <w:vAlign w:val="center"/>
          </w:tcPr>
          <w:p w:rsidR="001511DA" w:rsidRPr="001511DA" w:rsidRDefault="001511DA" w:rsidP="00BE355F">
            <w:pPr>
              <w:jc w:val="center"/>
              <w:rPr>
                <w:rFonts w:cs="Arial"/>
                <w:bCs/>
                <w:sz w:val="12"/>
                <w:szCs w:val="12"/>
              </w:rPr>
            </w:pPr>
          </w:p>
        </w:tc>
        <w:tc>
          <w:tcPr>
            <w:tcW w:w="181" w:type="pct"/>
            <w:tcBorders>
              <w:top w:val="nil"/>
              <w:left w:val="nil"/>
              <w:bottom w:val="nil"/>
              <w:right w:val="single" w:sz="4" w:space="0" w:color="auto"/>
            </w:tcBorders>
            <w:vAlign w:val="center"/>
          </w:tcPr>
          <w:p w:rsidR="001511DA" w:rsidRPr="001511DA" w:rsidRDefault="001511DA" w:rsidP="00BE355F">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1511DA" w:rsidRPr="001511DA" w:rsidRDefault="001511DA" w:rsidP="00BE355F">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1511DA" w:rsidRPr="001511DA" w:rsidRDefault="001511DA" w:rsidP="00BE355F">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1511DA" w:rsidRPr="001511DA" w:rsidRDefault="001511DA" w:rsidP="00BE355F">
            <w:pPr>
              <w:jc w:val="center"/>
              <w:rPr>
                <w:rFonts w:cs="Arial"/>
                <w:b/>
                <w:bCs/>
                <w:color w:val="FFFFFF"/>
                <w:sz w:val="12"/>
                <w:szCs w:val="12"/>
              </w:rPr>
            </w:pPr>
          </w:p>
        </w:tc>
      </w:tr>
      <w:tr w:rsidR="001511DA" w:rsidRPr="001511DA" w:rsidTr="00BE355F">
        <w:trPr>
          <w:gridAfter w:val="8"/>
          <w:wAfter w:w="1576" w:type="pct"/>
          <w:trHeight w:val="237"/>
          <w:tblHeader/>
        </w:trPr>
        <w:tc>
          <w:tcPr>
            <w:tcW w:w="184" w:type="pct"/>
            <w:tcBorders>
              <w:bottom w:val="single" w:sz="4" w:space="0" w:color="auto"/>
            </w:tcBorders>
            <w:vAlign w:val="center"/>
            <w:hideMark/>
          </w:tcPr>
          <w:p w:rsidR="001511DA" w:rsidRPr="001511DA" w:rsidRDefault="001511DA" w:rsidP="00BE355F">
            <w:pPr>
              <w:jc w:val="center"/>
              <w:rPr>
                <w:sz w:val="12"/>
                <w:szCs w:val="12"/>
              </w:rPr>
            </w:pPr>
          </w:p>
        </w:tc>
        <w:tc>
          <w:tcPr>
            <w:tcW w:w="414" w:type="pct"/>
            <w:tcBorders>
              <w:bottom w:val="single" w:sz="4" w:space="0" w:color="auto"/>
            </w:tcBorders>
            <w:vAlign w:val="center"/>
            <w:hideMark/>
          </w:tcPr>
          <w:p w:rsidR="001511DA" w:rsidRPr="001511DA" w:rsidRDefault="001511DA" w:rsidP="00BE355F">
            <w:pPr>
              <w:jc w:val="center"/>
              <w:rPr>
                <w:sz w:val="12"/>
                <w:szCs w:val="12"/>
              </w:rPr>
            </w:pPr>
          </w:p>
        </w:tc>
        <w:tc>
          <w:tcPr>
            <w:tcW w:w="181" w:type="pct"/>
            <w:tcBorders>
              <w:left w:val="nil"/>
              <w:bottom w:val="single" w:sz="4" w:space="0" w:color="auto"/>
            </w:tcBorders>
            <w:vAlign w:val="center"/>
          </w:tcPr>
          <w:p w:rsidR="001511DA" w:rsidRPr="001511DA" w:rsidRDefault="001511DA" w:rsidP="00BE355F">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1511DA" w:rsidRPr="001511DA" w:rsidRDefault="001511DA" w:rsidP="00BE355F">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 xml:space="preserve">Nurse Day </w:t>
            </w:r>
            <w:r w:rsidRPr="001511DA">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1511DA" w:rsidRPr="001511DA" w:rsidRDefault="001511DA" w:rsidP="00BE355F">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1511DA" w:rsidRPr="001511DA" w:rsidRDefault="001511DA" w:rsidP="00BE355F">
            <w:pPr>
              <w:jc w:val="center"/>
              <w:rPr>
                <w:rFonts w:cs="Arial"/>
                <w:b/>
                <w:bCs/>
                <w:color w:val="FFFFFF"/>
                <w:sz w:val="12"/>
                <w:szCs w:val="12"/>
              </w:rPr>
            </w:pPr>
          </w:p>
        </w:tc>
      </w:tr>
      <w:tr w:rsidR="001511DA" w:rsidRPr="001511DA" w:rsidTr="00BE355F">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Ward</w:t>
            </w:r>
          </w:p>
          <w:p w:rsidR="001511DA" w:rsidRPr="001511DA" w:rsidRDefault="001511DA" w:rsidP="00BE355F">
            <w:pPr>
              <w:jc w:val="center"/>
              <w:rPr>
                <w:sz w:val="12"/>
                <w:szCs w:val="12"/>
              </w:rPr>
            </w:pPr>
            <w:r w:rsidRPr="001511DA">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1511DA" w:rsidRPr="001511DA" w:rsidRDefault="001511DA" w:rsidP="00BE355F">
            <w:pPr>
              <w:ind w:right="315"/>
              <w:jc w:val="center"/>
              <w:rPr>
                <w:sz w:val="12"/>
                <w:szCs w:val="12"/>
              </w:rPr>
            </w:pPr>
            <w:r w:rsidRPr="001511DA">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ind w:left="-62"/>
              <w:jc w:val="center"/>
              <w:rPr>
                <w:rFonts w:cs="Arial"/>
                <w:bCs/>
                <w:sz w:val="12"/>
                <w:szCs w:val="12"/>
              </w:rPr>
            </w:pPr>
            <w:r w:rsidRPr="001511DA">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w:t>
            </w:r>
            <w:r w:rsidRPr="001511DA">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w:t>
            </w:r>
            <w:r w:rsidRPr="001511DA">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w:t>
            </w:r>
            <w:r w:rsidRPr="001511DA">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w:t>
            </w:r>
            <w:r w:rsidRPr="001511DA">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registered </w:t>
            </w:r>
            <w:r w:rsidRPr="001511DA">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 xml:space="preserve">Average % fill rate </w:t>
            </w:r>
            <w:r w:rsidRPr="001511DA">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p>
        </w:tc>
      </w:tr>
      <w:tr w:rsidR="001511DA" w:rsidRPr="001511DA" w:rsidTr="00BE355F">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cs="Arial"/>
                <w:b/>
                <w:bCs/>
                <w:color w:val="FFFFFF"/>
                <w:sz w:val="12"/>
                <w:szCs w:val="12"/>
              </w:rPr>
            </w:pPr>
            <w:r w:rsidRPr="001511DA">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1511DA" w:rsidRPr="001511DA" w:rsidRDefault="001511DA" w:rsidP="00BE355F">
            <w:pPr>
              <w:ind w:left="-62"/>
              <w:jc w:val="center"/>
              <w:rPr>
                <w:rFonts w:asciiTheme="minorHAnsi" w:hAnsiTheme="minorHAnsi" w:cs="Arial"/>
                <w:b/>
                <w:bCs/>
                <w:color w:val="FFFFFF"/>
                <w:sz w:val="12"/>
                <w:szCs w:val="12"/>
              </w:rPr>
            </w:pPr>
            <w:r w:rsidRPr="001511DA">
              <w:rPr>
                <w:rFonts w:asciiTheme="minorHAnsi" w:hAnsiTheme="minorHAnsi"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1511DA" w:rsidRPr="001511DA" w:rsidRDefault="001511DA" w:rsidP="00BE355F">
            <w:pPr>
              <w:jc w:val="center"/>
              <w:rPr>
                <w:rFonts w:asciiTheme="minorHAnsi" w:hAnsiTheme="minorHAnsi" w:cs="Arial"/>
                <w:b/>
                <w:bCs/>
                <w:color w:val="FFFFFF"/>
                <w:sz w:val="12"/>
                <w:szCs w:val="12"/>
              </w:rPr>
            </w:pPr>
            <w:r w:rsidRPr="001511DA">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asciiTheme="minorHAnsi" w:hAnsiTheme="minorHAnsi" w:cs="Arial"/>
                <w:b/>
                <w:bCs/>
                <w:color w:val="FFFFFF"/>
                <w:sz w:val="12"/>
                <w:szCs w:val="12"/>
              </w:rPr>
            </w:pPr>
            <w:r w:rsidRPr="001511DA">
              <w:rPr>
                <w:rFonts w:asciiTheme="minorHAnsi" w:hAnsiTheme="minorHAnsi"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511DA" w:rsidRPr="001511DA" w:rsidRDefault="001511DA" w:rsidP="00BE355F">
            <w:pPr>
              <w:jc w:val="center"/>
              <w:rPr>
                <w:rFonts w:asciiTheme="minorHAnsi" w:hAnsiTheme="minorHAnsi" w:cs="Arial"/>
                <w:b/>
                <w:bCs/>
                <w:color w:val="FFFFFF"/>
                <w:sz w:val="12"/>
                <w:szCs w:val="12"/>
              </w:rPr>
            </w:pPr>
            <w:r w:rsidRPr="001511DA">
              <w:rPr>
                <w:rFonts w:asciiTheme="minorHAnsi" w:hAnsiTheme="minorHAnsi"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1511DA" w:rsidRPr="001511DA" w:rsidRDefault="001511DA" w:rsidP="00BE355F">
            <w:pPr>
              <w:jc w:val="center"/>
              <w:rPr>
                <w:rFonts w:cs="Arial"/>
                <w:b/>
                <w:bCs/>
                <w:color w:val="FFFFFF"/>
                <w:sz w:val="12"/>
                <w:szCs w:val="12"/>
              </w:rPr>
            </w:pPr>
            <w:r w:rsidRPr="001511DA">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1511DA" w:rsidRPr="001511DA" w:rsidRDefault="001511DA" w:rsidP="00BE355F">
            <w:pPr>
              <w:jc w:val="center"/>
              <w:rPr>
                <w:rFonts w:cs="Arial"/>
                <w:b/>
                <w:bCs/>
                <w:color w:val="FFFFFF"/>
                <w:sz w:val="12"/>
                <w:szCs w:val="12"/>
              </w:rPr>
            </w:pPr>
          </w:p>
        </w:tc>
      </w:tr>
      <w:tr w:rsidR="001511DA" w:rsidRPr="00CE2962" w:rsidTr="00CE2962">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 xml:space="preserve">AMH </w:t>
            </w:r>
          </w:p>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w:t>
            </w:r>
          </w:p>
        </w:tc>
        <w:tc>
          <w:tcPr>
            <w:tcW w:w="274"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115.3%</w:t>
            </w:r>
          </w:p>
        </w:tc>
        <w:tc>
          <w:tcPr>
            <w:tcW w:w="269" w:type="pct"/>
            <w:tcBorders>
              <w:top w:val="single" w:sz="4" w:space="0" w:color="auto"/>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150.9%</w:t>
            </w:r>
          </w:p>
        </w:tc>
        <w:tc>
          <w:tcPr>
            <w:tcW w:w="286" w:type="pct"/>
            <w:tcBorders>
              <w:top w:val="single" w:sz="4" w:space="0" w:color="auto"/>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94.6%</w:t>
            </w:r>
          </w:p>
        </w:tc>
        <w:tc>
          <w:tcPr>
            <w:tcW w:w="253" w:type="pct"/>
            <w:tcBorders>
              <w:top w:val="single" w:sz="4" w:space="0" w:color="auto"/>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139.3%</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91.7%</w:t>
            </w:r>
          </w:p>
        </w:tc>
        <w:tc>
          <w:tcPr>
            <w:tcW w:w="160" w:type="pct"/>
            <w:tcBorders>
              <w:top w:val="single" w:sz="4" w:space="0" w:color="auto"/>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24.6%</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24.6%</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6.7</w:t>
            </w:r>
          </w:p>
        </w:tc>
      </w:tr>
      <w:tr w:rsidR="001511DA" w:rsidRPr="00CE2962" w:rsidTr="00CE2962">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88.6%</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136.6%</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103.6%</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210.7%</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76.2%</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39.3%</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35.3%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6.2</w:t>
            </w:r>
          </w:p>
        </w:tc>
      </w:tr>
      <w:tr w:rsidR="001511DA" w:rsidRPr="00CE2962" w:rsidTr="00CE2962">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95.2%</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207.1%</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135.7%</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417.9%</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86.9%</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48.5%</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46.2%</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7.4</w:t>
            </w:r>
          </w:p>
        </w:tc>
      </w:tr>
      <w:tr w:rsidR="001511DA" w:rsidRPr="00CE2962" w:rsidTr="00CE2962">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275.2%</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185.7%</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280.4%</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95.2%</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45.5%</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36.9%</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8.6%</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16.8</w:t>
            </w:r>
          </w:p>
        </w:tc>
      </w:tr>
      <w:tr w:rsidR="001511DA" w:rsidRPr="00CE2962" w:rsidTr="00CE2962">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95.5%</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167.9%</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189.3%</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73.8%</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31.2%</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31.0%</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6.3</w:t>
            </w:r>
          </w:p>
        </w:tc>
      </w:tr>
      <w:tr w:rsidR="001511DA" w:rsidRPr="00CE2962" w:rsidTr="00CE2962">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88.0%</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144.6%</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91.1%</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182.1%</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67.9%</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25.8%</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16.5%</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6.2</w:t>
            </w:r>
          </w:p>
        </w:tc>
      </w:tr>
      <w:tr w:rsidR="001511DA" w:rsidRPr="00CE2962" w:rsidTr="00CE2962">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86.7%</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167.0%</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98.2%</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150.0%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65.5%</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39.8%</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37.7%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6.4</w:t>
            </w:r>
          </w:p>
        </w:tc>
      </w:tr>
      <w:tr w:rsidR="001511DA" w:rsidRPr="00CE2962" w:rsidTr="00CE2962">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175.9%</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260.7%</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73.8%</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45.3%</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6.5</w:t>
            </w:r>
          </w:p>
        </w:tc>
      </w:tr>
      <w:tr w:rsidR="001511DA" w:rsidRPr="00CE2962" w:rsidTr="00CE2962">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194.9%</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325.8%</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192.9%</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253.6%</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91.7%</w:t>
            </w:r>
          </w:p>
        </w:tc>
        <w:tc>
          <w:tcPr>
            <w:tcW w:w="160"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51.8%</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41.4%</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10.4%</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20.5</w:t>
            </w:r>
          </w:p>
        </w:tc>
      </w:tr>
      <w:tr w:rsidR="001511DA" w:rsidRPr="00CE2962" w:rsidTr="00CE2962">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 xml:space="preserve">AMH </w:t>
            </w:r>
          </w:p>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108.9%</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129.8%</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148.2%</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90.5%</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18.7%</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18.2%</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0.5%</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8.8</w:t>
            </w:r>
          </w:p>
        </w:tc>
      </w:tr>
      <w:tr w:rsidR="001511DA" w:rsidRPr="00CE2962" w:rsidTr="00CE2962">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29</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121.4%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138.5%</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117.9%</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94.0%</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41.3%</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40.7%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0.6%</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4.7</w:t>
            </w:r>
          </w:p>
        </w:tc>
      </w:tr>
      <w:tr w:rsidR="001511DA" w:rsidRPr="00CE2962" w:rsidTr="00CE2962">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31</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140.6%</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182.2%</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125.9%</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239.0%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90.5%</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17.6%</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17.6%</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8.8</w:t>
            </w:r>
          </w:p>
        </w:tc>
      </w:tr>
      <w:tr w:rsidR="001511DA" w:rsidRPr="00CE2962" w:rsidTr="00CE2962">
        <w:trPr>
          <w:trHeight w:val="266"/>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w:t>
            </w:r>
          </w:p>
        </w:tc>
        <w:tc>
          <w:tcPr>
            <w:tcW w:w="274" w:type="pct"/>
            <w:tcBorders>
              <w:top w:val="nil"/>
              <w:left w:val="single" w:sz="4" w:space="0" w:color="auto"/>
              <w:bottom w:val="single" w:sz="4" w:space="0" w:color="auto"/>
              <w:right w:val="single" w:sz="4" w:space="0" w:color="auto"/>
            </w:tcBorders>
            <w:shd w:val="clear" w:color="auto" w:fill="92D05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108.9%</w:t>
            </w:r>
          </w:p>
        </w:tc>
        <w:tc>
          <w:tcPr>
            <w:tcW w:w="269" w:type="pct"/>
            <w:tcBorders>
              <w:top w:val="nil"/>
              <w:left w:val="nil"/>
              <w:bottom w:val="single" w:sz="4" w:space="0" w:color="auto"/>
              <w:right w:val="single" w:sz="4" w:space="0" w:color="auto"/>
            </w:tcBorders>
            <w:shd w:val="clear" w:color="auto" w:fill="92D05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214.3%</w:t>
            </w:r>
          </w:p>
        </w:tc>
        <w:tc>
          <w:tcPr>
            <w:tcW w:w="286" w:type="pct"/>
            <w:tcBorders>
              <w:top w:val="nil"/>
              <w:left w:val="nil"/>
              <w:bottom w:val="single" w:sz="4" w:space="0" w:color="auto"/>
              <w:right w:val="single" w:sz="4" w:space="0" w:color="auto"/>
            </w:tcBorders>
            <w:shd w:val="clear" w:color="auto" w:fill="FF000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50.0%</w:t>
            </w:r>
          </w:p>
        </w:tc>
        <w:tc>
          <w:tcPr>
            <w:tcW w:w="253" w:type="pct"/>
            <w:tcBorders>
              <w:top w:val="nil"/>
              <w:left w:val="nil"/>
              <w:bottom w:val="single" w:sz="4" w:space="0" w:color="auto"/>
              <w:right w:val="single" w:sz="4" w:space="0" w:color="auto"/>
            </w:tcBorders>
            <w:shd w:val="clear" w:color="auto" w:fill="92D05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200.0%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w:t>
            </w:r>
          </w:p>
        </w:tc>
        <w:tc>
          <w:tcPr>
            <w:tcW w:w="237" w:type="pct"/>
            <w:tcBorders>
              <w:top w:val="nil"/>
              <w:left w:val="single" w:sz="4" w:space="0" w:color="auto"/>
              <w:bottom w:val="single" w:sz="4" w:space="0" w:color="auto"/>
              <w:right w:val="single" w:sz="4" w:space="0" w:color="auto"/>
            </w:tcBorders>
            <w:shd w:val="clear" w:color="auto" w:fill="FF000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54.8%</w:t>
            </w:r>
          </w:p>
        </w:tc>
        <w:tc>
          <w:tcPr>
            <w:tcW w:w="160" w:type="pct"/>
            <w:tcBorders>
              <w:top w:val="nil"/>
              <w:left w:val="nil"/>
              <w:bottom w:val="single" w:sz="4" w:space="0" w:color="auto"/>
              <w:right w:val="single" w:sz="4" w:space="0" w:color="auto"/>
            </w:tcBorders>
            <w:shd w:val="clear" w:color="auto" w:fill="FF0000"/>
            <w:noWrap/>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53.4%</w:t>
            </w:r>
          </w:p>
        </w:tc>
        <w:tc>
          <w:tcPr>
            <w:tcW w:w="136" w:type="pct"/>
            <w:tcBorders>
              <w:top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45.6%</w:t>
            </w:r>
          </w:p>
        </w:tc>
        <w:tc>
          <w:tcPr>
            <w:tcW w:w="165"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7.8%</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13.0</w:t>
            </w:r>
          </w:p>
        </w:tc>
        <w:tc>
          <w:tcPr>
            <w:tcW w:w="144" w:type="pct"/>
            <w:tcBorders>
              <w:left w:val="single" w:sz="4" w:space="0" w:color="auto"/>
            </w:tcBorders>
            <w:vAlign w:val="center"/>
          </w:tcPr>
          <w:p w:rsidR="001511DA" w:rsidRPr="00CE2962" w:rsidRDefault="001511DA" w:rsidP="00BE355F">
            <w:pPr>
              <w:jc w:val="center"/>
              <w:rPr>
                <w:rFonts w:cs="Arial"/>
                <w:b/>
                <w:sz w:val="12"/>
                <w:szCs w:val="12"/>
              </w:rPr>
            </w:pPr>
          </w:p>
        </w:tc>
        <w:tc>
          <w:tcPr>
            <w:tcW w:w="217" w:type="pct"/>
            <w:vAlign w:val="center"/>
            <w:hideMark/>
          </w:tcPr>
          <w:p w:rsidR="001511DA" w:rsidRPr="00CE2962" w:rsidRDefault="001511DA" w:rsidP="00BE355F">
            <w:pPr>
              <w:jc w:val="center"/>
              <w:rPr>
                <w:rFonts w:cs="Arial"/>
                <w:b/>
                <w:color w:val="000000"/>
                <w:sz w:val="12"/>
                <w:szCs w:val="12"/>
              </w:rPr>
            </w:pPr>
          </w:p>
        </w:tc>
        <w:tc>
          <w:tcPr>
            <w:tcW w:w="221" w:type="pct"/>
            <w:vAlign w:val="center"/>
            <w:hideMark/>
          </w:tcPr>
          <w:p w:rsidR="001511DA" w:rsidRPr="00CE2962" w:rsidRDefault="001511DA" w:rsidP="00BE355F">
            <w:pPr>
              <w:jc w:val="center"/>
              <w:rPr>
                <w:rFonts w:cs="Arial"/>
                <w:b/>
                <w:color w:val="000000"/>
                <w:sz w:val="12"/>
                <w:szCs w:val="12"/>
              </w:rPr>
            </w:pPr>
          </w:p>
        </w:tc>
        <w:tc>
          <w:tcPr>
            <w:tcW w:w="221" w:type="pct"/>
            <w:vAlign w:val="center"/>
            <w:hideMark/>
          </w:tcPr>
          <w:p w:rsidR="001511DA" w:rsidRPr="00CE2962" w:rsidRDefault="001511DA" w:rsidP="00BE355F">
            <w:pPr>
              <w:jc w:val="center"/>
              <w:rPr>
                <w:rFonts w:cs="Arial"/>
                <w:b/>
                <w:sz w:val="12"/>
                <w:szCs w:val="12"/>
              </w:rPr>
            </w:pPr>
            <w:r w:rsidRPr="00CE2962">
              <w:rPr>
                <w:rFonts w:cs="Arial"/>
                <w:b/>
                <w:sz w:val="12"/>
                <w:szCs w:val="12"/>
              </w:rPr>
              <w:t>87.1%</w:t>
            </w:r>
          </w:p>
        </w:tc>
        <w:tc>
          <w:tcPr>
            <w:tcW w:w="221" w:type="pct"/>
            <w:vAlign w:val="center"/>
            <w:hideMark/>
          </w:tcPr>
          <w:p w:rsidR="001511DA" w:rsidRPr="00CE2962" w:rsidRDefault="001511DA" w:rsidP="00BE355F">
            <w:pPr>
              <w:jc w:val="center"/>
              <w:rPr>
                <w:rFonts w:cs="Arial"/>
                <w:b/>
                <w:color w:val="000000"/>
                <w:sz w:val="12"/>
                <w:szCs w:val="12"/>
              </w:rPr>
            </w:pPr>
            <w:r w:rsidRPr="00CE2962">
              <w:rPr>
                <w:rFonts w:cs="Arial"/>
                <w:b/>
                <w:color w:val="000000"/>
                <w:sz w:val="12"/>
                <w:szCs w:val="12"/>
              </w:rPr>
              <w:t>221.0%</w:t>
            </w:r>
          </w:p>
        </w:tc>
        <w:tc>
          <w:tcPr>
            <w:tcW w:w="221" w:type="pct"/>
            <w:vAlign w:val="center"/>
            <w:hideMark/>
          </w:tcPr>
          <w:p w:rsidR="001511DA" w:rsidRPr="00CE2962" w:rsidRDefault="001511DA" w:rsidP="00BE355F">
            <w:pPr>
              <w:jc w:val="center"/>
              <w:rPr>
                <w:rFonts w:cs="Arial"/>
                <w:b/>
                <w:sz w:val="12"/>
                <w:szCs w:val="12"/>
              </w:rPr>
            </w:pPr>
            <w:r w:rsidRPr="00CE2962">
              <w:rPr>
                <w:rFonts w:cs="Arial"/>
                <w:b/>
                <w:sz w:val="12"/>
                <w:szCs w:val="12"/>
              </w:rPr>
              <w:t>93.5%</w:t>
            </w:r>
          </w:p>
        </w:tc>
        <w:tc>
          <w:tcPr>
            <w:tcW w:w="221" w:type="pct"/>
            <w:vAlign w:val="center"/>
            <w:hideMark/>
          </w:tcPr>
          <w:p w:rsidR="001511DA" w:rsidRPr="00CE2962" w:rsidRDefault="001511DA" w:rsidP="00BE355F">
            <w:pPr>
              <w:jc w:val="center"/>
              <w:rPr>
                <w:rFonts w:cs="Arial"/>
                <w:b/>
                <w:color w:val="000000"/>
                <w:sz w:val="12"/>
                <w:szCs w:val="12"/>
              </w:rPr>
            </w:pPr>
            <w:r w:rsidRPr="00CE2962">
              <w:rPr>
                <w:rFonts w:cs="Arial"/>
                <w:b/>
                <w:color w:val="000000"/>
                <w:sz w:val="12"/>
                <w:szCs w:val="12"/>
              </w:rPr>
              <w:t>377.4%</w:t>
            </w:r>
          </w:p>
        </w:tc>
        <w:tc>
          <w:tcPr>
            <w:tcW w:w="110" w:type="pct"/>
            <w:vAlign w:val="center"/>
            <w:hideMark/>
          </w:tcPr>
          <w:p w:rsidR="001511DA" w:rsidRPr="00CE2962" w:rsidRDefault="001511DA" w:rsidP="00BE355F">
            <w:pPr>
              <w:jc w:val="center"/>
              <w:rPr>
                <w:rFonts w:cs="Arial"/>
                <w:b/>
                <w:color w:val="000000"/>
                <w:sz w:val="12"/>
                <w:szCs w:val="12"/>
              </w:rPr>
            </w:pPr>
            <w:r w:rsidRPr="00CE2962">
              <w:rPr>
                <w:rFonts w:cs="Arial"/>
                <w:b/>
                <w:color w:val="000000"/>
                <w:sz w:val="12"/>
                <w:szCs w:val="12"/>
              </w:rPr>
              <w:t>68.82%</w:t>
            </w:r>
          </w:p>
        </w:tc>
      </w:tr>
      <w:tr w:rsidR="001511DA" w:rsidRPr="00CE2962" w:rsidTr="00CE2962">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79.3%</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216.1%</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105.4%</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66.7%</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24.8%</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6.4</w:t>
            </w: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81.4%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259.5%</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98.2%</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183.9%</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64.3%</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38.4%</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34.7%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3.7%</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7.1</w:t>
            </w: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207.1%</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107.1%</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100.1%</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100.2%</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81.0%</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18.1%</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13.0%</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6.9</w:t>
            </w:r>
          </w:p>
        </w:tc>
      </w:tr>
      <w:tr w:rsidR="001511DA" w:rsidRPr="00CE2962" w:rsidTr="00CE2962">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85.3%</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203.6%</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112.5%</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77.4%</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17.1%</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4.8%</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7.2</w:t>
            </w:r>
          </w:p>
        </w:tc>
      </w:tr>
      <w:tr w:rsidR="001511DA" w:rsidRPr="00CE2962" w:rsidTr="00CE2962">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66.1%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328.1%</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92.9%</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217.9%</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27.4%</w:t>
            </w:r>
          </w:p>
        </w:tc>
        <w:tc>
          <w:tcPr>
            <w:tcW w:w="160"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53.4%</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51.6%</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9.6</w:t>
            </w:r>
          </w:p>
        </w:tc>
      </w:tr>
      <w:tr w:rsidR="001511DA" w:rsidRPr="00CE2962" w:rsidTr="00CE2962">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422.3%</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378.6%</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75.0%</w:t>
            </w:r>
          </w:p>
        </w:tc>
        <w:tc>
          <w:tcPr>
            <w:tcW w:w="160"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54.4%</w:t>
            </w:r>
          </w:p>
        </w:tc>
        <w:tc>
          <w:tcPr>
            <w:tcW w:w="136" w:type="pct"/>
            <w:tcBorders>
              <w:top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52.4%</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13.8</w:t>
            </w:r>
          </w:p>
        </w:tc>
        <w:tc>
          <w:tcPr>
            <w:tcW w:w="144" w:type="pct"/>
            <w:tcBorders>
              <w:left w:val="single" w:sz="4" w:space="0" w:color="auto"/>
            </w:tcBorders>
          </w:tcPr>
          <w:p w:rsidR="001511DA" w:rsidRPr="00CE2962" w:rsidRDefault="001511DA" w:rsidP="00BE355F">
            <w:pPr>
              <w:jc w:val="center"/>
              <w:rPr>
                <w:rFonts w:cs="Arial"/>
                <w:b/>
                <w:color w:val="000000"/>
                <w:sz w:val="12"/>
                <w:szCs w:val="12"/>
              </w:rPr>
            </w:pPr>
          </w:p>
        </w:tc>
      </w:tr>
      <w:tr w:rsidR="001511DA" w:rsidRPr="00CE2962" w:rsidTr="00CE2962">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125.3%</w:t>
            </w:r>
          </w:p>
        </w:tc>
        <w:tc>
          <w:tcPr>
            <w:tcW w:w="269"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78.8%</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101.5%</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104.1%</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67.9%</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31.8%</w:t>
            </w:r>
          </w:p>
        </w:tc>
        <w:tc>
          <w:tcPr>
            <w:tcW w:w="136" w:type="pct"/>
            <w:tcBorders>
              <w:top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22.7%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9.0%</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7.7</w:t>
            </w:r>
          </w:p>
        </w:tc>
        <w:tc>
          <w:tcPr>
            <w:tcW w:w="144" w:type="pct"/>
            <w:tcBorders>
              <w:left w:val="single" w:sz="4" w:space="0" w:color="auto"/>
            </w:tcBorders>
          </w:tcPr>
          <w:p w:rsidR="001511DA" w:rsidRPr="00CE2962" w:rsidRDefault="001511DA" w:rsidP="00BE355F">
            <w:pPr>
              <w:jc w:val="center"/>
              <w:rPr>
                <w:rFonts w:cs="Arial"/>
                <w:b/>
                <w:color w:val="000000"/>
                <w:sz w:val="12"/>
                <w:szCs w:val="12"/>
              </w:rPr>
            </w:pPr>
          </w:p>
        </w:tc>
      </w:tr>
      <w:tr w:rsidR="001511DA" w:rsidRPr="00CE2962" w:rsidTr="00CE2962">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99.1%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125.0%</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91.9%</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97.5%</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15.4%</w:t>
            </w:r>
          </w:p>
        </w:tc>
        <w:tc>
          <w:tcPr>
            <w:tcW w:w="136" w:type="pct"/>
            <w:tcBorders>
              <w:top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7.2</w:t>
            </w:r>
          </w:p>
        </w:tc>
        <w:tc>
          <w:tcPr>
            <w:tcW w:w="144" w:type="pct"/>
            <w:tcBorders>
              <w:left w:val="single" w:sz="4" w:space="0" w:color="auto"/>
            </w:tcBorders>
          </w:tcPr>
          <w:p w:rsidR="001511DA" w:rsidRPr="00CE2962" w:rsidRDefault="001511DA" w:rsidP="00BE355F">
            <w:pPr>
              <w:jc w:val="center"/>
              <w:rPr>
                <w:rFonts w:cs="Arial"/>
                <w:b/>
                <w:color w:val="000000"/>
                <w:sz w:val="12"/>
                <w:szCs w:val="12"/>
              </w:rPr>
            </w:pP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100.9%</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120.5%</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94.0%</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12.2%</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8.8%</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3.3%</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5.8</w:t>
            </w: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97.4%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192.2%</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93.1%</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100.5%</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97.6%</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25.9%</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18.8%</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7.1%</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10.9</w:t>
            </w:r>
          </w:p>
        </w:tc>
      </w:tr>
      <w:tr w:rsidR="001511DA" w:rsidRPr="00CE2962" w:rsidTr="00CE2962">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97.3%</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112.5%</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99.6%</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100.0%</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94.0%</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32.6%</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26.0%</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6.6%</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8.2</w:t>
            </w:r>
          </w:p>
        </w:tc>
      </w:tr>
      <w:tr w:rsidR="001511DA" w:rsidRPr="00CE2962" w:rsidTr="00CE2962">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22</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113.4%</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180.4%</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203.6%</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121.4%</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96.4%</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100.2%</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98.8%</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11.5%</w:t>
            </w:r>
          </w:p>
        </w:tc>
        <w:tc>
          <w:tcPr>
            <w:tcW w:w="136" w:type="pct"/>
            <w:tcBorders>
              <w:top w:val="single" w:sz="4" w:space="0" w:color="auto"/>
              <w:left w:val="nil"/>
              <w:bottom w:val="single" w:sz="4" w:space="0" w:color="auto"/>
              <w:right w:val="single" w:sz="4" w:space="0" w:color="auto"/>
            </w:tcBorders>
            <w:shd w:val="clear" w:color="auto" w:fill="FFFFFF" w:themeFill="background1"/>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6.4</w:t>
            </w:r>
          </w:p>
        </w:tc>
      </w:tr>
      <w:tr w:rsidR="001511DA" w:rsidRPr="00CE2962" w:rsidTr="00CE2962">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104.3%</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183.9%</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91.1%</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96.7%</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100.0%</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92.9%</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6.1%</w:t>
            </w:r>
          </w:p>
        </w:tc>
        <w:tc>
          <w:tcPr>
            <w:tcW w:w="136" w:type="pct"/>
            <w:tcBorders>
              <w:top w:val="single" w:sz="4" w:space="0" w:color="auto"/>
              <w:left w:val="nil"/>
              <w:bottom w:val="single" w:sz="4" w:space="0" w:color="auto"/>
              <w:right w:val="single" w:sz="4" w:space="0" w:color="auto"/>
            </w:tcBorders>
            <w:shd w:val="clear" w:color="auto" w:fill="FFFFFF" w:themeFill="background1"/>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4.8%</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10.5</w:t>
            </w: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w:t>
            </w:r>
          </w:p>
        </w:tc>
        <w:tc>
          <w:tcPr>
            <w:tcW w:w="274"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69.9%</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219.6%</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110.7%</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99.4%</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97.6%</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41.7%</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22.3%</w:t>
            </w:r>
          </w:p>
        </w:tc>
        <w:tc>
          <w:tcPr>
            <w:tcW w:w="136" w:type="pct"/>
            <w:tcBorders>
              <w:top w:val="single" w:sz="4" w:space="0" w:color="auto"/>
              <w:left w:val="nil"/>
              <w:bottom w:val="single" w:sz="4" w:space="0" w:color="auto"/>
              <w:right w:val="single" w:sz="4" w:space="0" w:color="auto"/>
            </w:tcBorders>
            <w:shd w:val="clear" w:color="auto" w:fill="FFFFFF" w:themeFill="background1"/>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13.5%</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8.8%</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8.5</w:t>
            </w:r>
          </w:p>
        </w:tc>
      </w:tr>
      <w:tr w:rsidR="001511DA" w:rsidRPr="00CE2962" w:rsidTr="00CE2962">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183.9%</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108.9%</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98.8%</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22.4%</w:t>
            </w:r>
          </w:p>
        </w:tc>
        <w:tc>
          <w:tcPr>
            <w:tcW w:w="136" w:type="pct"/>
            <w:tcBorders>
              <w:top w:val="single" w:sz="4" w:space="0" w:color="auto"/>
              <w:left w:val="nil"/>
              <w:bottom w:val="single" w:sz="4" w:space="0" w:color="auto"/>
              <w:right w:val="single" w:sz="4" w:space="0" w:color="auto"/>
            </w:tcBorders>
            <w:shd w:val="clear" w:color="auto" w:fill="FFFFFF" w:themeFill="background1"/>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16.2%</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6.2%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7.6</w:t>
            </w:r>
          </w:p>
        </w:tc>
      </w:tr>
      <w:tr w:rsidR="001511DA" w:rsidRPr="00CE2962" w:rsidTr="00CE2962">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22</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193.8%</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203.6%</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101.0%</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86.3%</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14.9%</w:t>
            </w:r>
          </w:p>
        </w:tc>
        <w:tc>
          <w:tcPr>
            <w:tcW w:w="136" w:type="pct"/>
            <w:tcBorders>
              <w:top w:val="single" w:sz="4" w:space="0" w:color="auto"/>
              <w:left w:val="nil"/>
              <w:bottom w:val="single" w:sz="4" w:space="0" w:color="auto"/>
              <w:right w:val="single" w:sz="4" w:space="0" w:color="auto"/>
            </w:tcBorders>
            <w:shd w:val="clear" w:color="auto" w:fill="FFFFFF" w:themeFill="background1"/>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11.3%</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3.6%</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6.9</w:t>
            </w:r>
          </w:p>
        </w:tc>
      </w:tr>
      <w:tr w:rsidR="001511DA" w:rsidRPr="00CE2962" w:rsidTr="00CE2962">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126.6%</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191.7%</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100.0%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190.6%</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101.1%</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96.4%</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45.0%</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44.7%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11.4</w:t>
            </w:r>
          </w:p>
        </w:tc>
      </w:tr>
      <w:tr w:rsidR="001511DA" w:rsidRPr="00CE2962" w:rsidTr="00CE2962">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148.1%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211.4%</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153.8%</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182.1%</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107.3%</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94.0%</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25.8%</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21.9%</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3.9%</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16.5</w:t>
            </w:r>
          </w:p>
        </w:tc>
      </w:tr>
      <w:tr w:rsidR="001511DA" w:rsidRPr="00CE2962" w:rsidTr="00CE2962">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116.1%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164.3%</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89.3%</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110.7%</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89.3%</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13.6%</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13.6%</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17.9</w:t>
            </w:r>
          </w:p>
        </w:tc>
      </w:tr>
      <w:tr w:rsidR="001511DA" w:rsidRPr="00CE2962" w:rsidTr="00CE2962">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133.3%</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579.3%</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87.5%</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450.0%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91.7%</w:t>
            </w:r>
          </w:p>
        </w:tc>
        <w:tc>
          <w:tcPr>
            <w:tcW w:w="160"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50.1%</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48.9%</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1.2%</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32.5</w:t>
            </w:r>
          </w:p>
        </w:tc>
      </w:tr>
      <w:tr w:rsidR="001511DA" w:rsidRPr="00CE2962" w:rsidTr="00CE2962">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116.1%</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201.8%</w:t>
            </w:r>
          </w:p>
        </w:tc>
        <w:tc>
          <w:tcPr>
            <w:tcW w:w="286" w:type="pct"/>
            <w:tcBorders>
              <w:top w:val="nil"/>
              <w:left w:val="nil"/>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42.9%</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182.1%</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FF0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77.4%</w:t>
            </w:r>
          </w:p>
        </w:tc>
        <w:tc>
          <w:tcPr>
            <w:tcW w:w="160"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18.7%</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18.7%</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20.5</w:t>
            </w:r>
          </w:p>
        </w:tc>
      </w:tr>
      <w:tr w:rsidR="001511DA" w:rsidRPr="00CE2962" w:rsidTr="00CE2962">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1511DA" w:rsidRPr="00CE2962" w:rsidRDefault="001511DA" w:rsidP="00BE355F">
            <w:pPr>
              <w:rPr>
                <w:rFonts w:asciiTheme="minorHAnsi" w:hAnsiTheme="minorHAnsi"/>
                <w:b/>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3</w:t>
            </w: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158.1%</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231.0%</w:t>
            </w:r>
          </w:p>
        </w:tc>
        <w:tc>
          <w:tcPr>
            <w:tcW w:w="237" w:type="pct"/>
            <w:tcBorders>
              <w:top w:val="single" w:sz="4" w:space="0" w:color="auto"/>
              <w:left w:val="nil"/>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single" w:sz="4" w:space="0" w:color="auto"/>
              <w:left w:val="single" w:sz="4" w:space="0" w:color="auto"/>
              <w:bottom w:val="single" w:sz="4" w:space="0" w:color="auto"/>
              <w:right w:val="single" w:sz="4" w:space="0" w:color="auto"/>
            </w:tcBorders>
            <w:shd w:val="clear" w:color="auto" w:fill="92D050"/>
            <w:vAlign w:val="center"/>
          </w:tcPr>
          <w:p w:rsidR="001511DA" w:rsidRPr="00CE2962" w:rsidRDefault="001511DA" w:rsidP="00BE355F">
            <w:pPr>
              <w:jc w:val="center"/>
              <w:rPr>
                <w:rFonts w:ascii="Calibri" w:hAnsi="Calibri" w:cs="Arial"/>
                <w:b/>
                <w:sz w:val="12"/>
                <w:szCs w:val="12"/>
              </w:rPr>
            </w:pPr>
            <w:r w:rsidRPr="00CE2962">
              <w:rPr>
                <w:rFonts w:ascii="Calibri" w:hAnsi="Calibri" w:cs="Arial"/>
                <w:b/>
                <w:sz w:val="12"/>
                <w:szCs w:val="12"/>
              </w:rPr>
              <w:t>- </w:t>
            </w:r>
          </w:p>
        </w:tc>
        <w:tc>
          <w:tcPr>
            <w:tcW w:w="237"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95.2%</w:t>
            </w:r>
          </w:p>
        </w:tc>
        <w:tc>
          <w:tcPr>
            <w:tcW w:w="160" w:type="pct"/>
            <w:tcBorders>
              <w:top w:val="nil"/>
              <w:left w:val="nil"/>
              <w:bottom w:val="single" w:sz="4" w:space="0" w:color="auto"/>
              <w:right w:val="single" w:sz="4" w:space="0" w:color="auto"/>
            </w:tcBorders>
            <w:shd w:val="clear" w:color="auto" w:fill="FFC000"/>
            <w:noWrap/>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23.9%</w:t>
            </w:r>
          </w:p>
        </w:tc>
        <w:tc>
          <w:tcPr>
            <w:tcW w:w="136" w:type="pct"/>
            <w:tcBorders>
              <w:top w:val="single" w:sz="4" w:space="0" w:color="auto"/>
              <w:left w:val="nil"/>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23.5%</w:t>
            </w:r>
          </w:p>
        </w:tc>
        <w:tc>
          <w:tcPr>
            <w:tcW w:w="165" w:type="pct"/>
            <w:tcBorders>
              <w:top w:val="single" w:sz="4" w:space="0" w:color="auto"/>
              <w:left w:val="single" w:sz="4" w:space="0" w:color="auto"/>
              <w:bottom w:val="single" w:sz="4" w:space="0" w:color="auto"/>
              <w:right w:val="single" w:sz="4" w:space="0" w:color="auto"/>
            </w:tcBorders>
            <w:vAlign w:val="bottom"/>
          </w:tcPr>
          <w:p w:rsidR="001511DA" w:rsidRPr="00CE2962" w:rsidRDefault="001511DA" w:rsidP="00BE355F">
            <w:pPr>
              <w:jc w:val="center"/>
              <w:rPr>
                <w:rFonts w:ascii="Calibri" w:hAnsi="Calibri"/>
                <w:b/>
                <w:color w:val="000000"/>
                <w:sz w:val="12"/>
                <w:szCs w:val="12"/>
              </w:rPr>
            </w:pPr>
            <w:r w:rsidRPr="00CE2962">
              <w:rPr>
                <w:rFonts w:ascii="Calibri" w:hAnsi="Calibri"/>
                <w:b/>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1511DA" w:rsidRPr="00CE2962" w:rsidRDefault="001511DA" w:rsidP="00BE355F">
            <w:pPr>
              <w:jc w:val="center"/>
              <w:rPr>
                <w:rFonts w:ascii="Calibri" w:hAnsi="Calibri" w:cs="Arial"/>
                <w:b/>
                <w:color w:val="000000"/>
                <w:sz w:val="12"/>
                <w:szCs w:val="12"/>
              </w:rPr>
            </w:pPr>
            <w:r w:rsidRPr="00CE2962">
              <w:rPr>
                <w:rFonts w:ascii="Calibri" w:hAnsi="Calibri" w:cs="Arial"/>
                <w:b/>
                <w:color w:val="000000"/>
                <w:sz w:val="12"/>
                <w:szCs w:val="12"/>
              </w:rPr>
              <w:t>17.4</w:t>
            </w:r>
          </w:p>
        </w:tc>
      </w:tr>
      <w:tr w:rsidR="001511DA" w:rsidRPr="00CE2962" w:rsidTr="00DC368E">
        <w:trPr>
          <w:gridAfter w:val="8"/>
          <w:wAfter w:w="1576" w:type="pct"/>
          <w:trHeight w:val="225"/>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511DA" w:rsidRPr="00CE2962" w:rsidRDefault="001511DA" w:rsidP="00BE355F">
            <w:pPr>
              <w:jc w:val="center"/>
              <w:rPr>
                <w:rFonts w:asciiTheme="minorHAnsi" w:hAnsiTheme="minorHAnsi"/>
                <w:b/>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11DA" w:rsidRPr="00CE2962" w:rsidRDefault="001511DA" w:rsidP="00BE355F">
            <w:pPr>
              <w:jc w:val="center"/>
              <w:rPr>
                <w:rFonts w:asciiTheme="minorHAnsi" w:hAnsiTheme="minorHAnsi"/>
                <w:b/>
                <w:color w:val="000000"/>
                <w:sz w:val="12"/>
                <w:szCs w:val="12"/>
              </w:rPr>
            </w:pPr>
          </w:p>
        </w:tc>
        <w:tc>
          <w:tcPr>
            <w:tcW w:w="274" w:type="pct"/>
            <w:tcBorders>
              <w:top w:val="nil"/>
              <w:left w:val="single" w:sz="4" w:space="0" w:color="auto"/>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bCs/>
                <w:color w:val="000000"/>
                <w:sz w:val="12"/>
                <w:szCs w:val="12"/>
              </w:rPr>
            </w:pPr>
            <w:r w:rsidRPr="00CE2962">
              <w:rPr>
                <w:rFonts w:ascii="Calibri" w:hAnsi="Calibri"/>
                <w:b/>
                <w:bCs/>
                <w:color w:val="000000"/>
                <w:sz w:val="12"/>
                <w:szCs w:val="12"/>
              </w:rPr>
              <w:t>103.2%</w:t>
            </w:r>
          </w:p>
        </w:tc>
        <w:tc>
          <w:tcPr>
            <w:tcW w:w="269"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bCs/>
                <w:color w:val="000000"/>
                <w:sz w:val="12"/>
                <w:szCs w:val="12"/>
              </w:rPr>
            </w:pPr>
            <w:r w:rsidRPr="00CE2962">
              <w:rPr>
                <w:rFonts w:ascii="Calibri" w:hAnsi="Calibri"/>
                <w:b/>
                <w:bCs/>
                <w:color w:val="000000"/>
                <w:sz w:val="12"/>
                <w:szCs w:val="12"/>
              </w:rPr>
              <w:t>202.4%</w:t>
            </w:r>
          </w:p>
        </w:tc>
        <w:tc>
          <w:tcPr>
            <w:tcW w:w="286"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bCs/>
                <w:color w:val="000000"/>
                <w:sz w:val="12"/>
                <w:szCs w:val="12"/>
              </w:rPr>
            </w:pPr>
            <w:r w:rsidRPr="00CE2962">
              <w:rPr>
                <w:rFonts w:ascii="Calibri" w:hAnsi="Calibri"/>
                <w:b/>
                <w:bCs/>
                <w:color w:val="000000"/>
                <w:sz w:val="12"/>
                <w:szCs w:val="12"/>
              </w:rPr>
              <w:t>108.0%</w:t>
            </w:r>
          </w:p>
        </w:tc>
        <w:tc>
          <w:tcPr>
            <w:tcW w:w="253" w:type="pct"/>
            <w:tcBorders>
              <w:top w:val="nil"/>
              <w:left w:val="nil"/>
              <w:bottom w:val="single" w:sz="4" w:space="0" w:color="auto"/>
              <w:right w:val="single" w:sz="4" w:space="0" w:color="auto"/>
            </w:tcBorders>
            <w:shd w:val="clear" w:color="auto" w:fill="92D050"/>
            <w:noWrap/>
            <w:vAlign w:val="bottom"/>
          </w:tcPr>
          <w:p w:rsidR="001511DA" w:rsidRPr="00CE2962" w:rsidRDefault="001511DA" w:rsidP="00BE355F">
            <w:pPr>
              <w:jc w:val="center"/>
              <w:rPr>
                <w:rFonts w:ascii="Calibri" w:hAnsi="Calibri"/>
                <w:b/>
                <w:bCs/>
                <w:color w:val="000000"/>
                <w:sz w:val="12"/>
                <w:szCs w:val="12"/>
              </w:rPr>
            </w:pPr>
            <w:r w:rsidRPr="00CE2962">
              <w:rPr>
                <w:rFonts w:ascii="Calibri" w:hAnsi="Calibri"/>
                <w:b/>
                <w:bCs/>
                <w:color w:val="000000"/>
                <w:sz w:val="12"/>
                <w:szCs w:val="12"/>
              </w:rPr>
              <w:t>184.6%</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511DA" w:rsidRPr="00CE2962" w:rsidRDefault="001511DA" w:rsidP="00BE355F">
            <w:pPr>
              <w:jc w:val="center"/>
              <w:rPr>
                <w:rFonts w:asciiTheme="minorHAnsi" w:hAnsiTheme="minorHAnsi"/>
                <w:b/>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511DA" w:rsidRPr="00CE2962" w:rsidRDefault="001511DA" w:rsidP="00BE355F">
            <w:pPr>
              <w:jc w:val="center"/>
              <w:rPr>
                <w:rFonts w:asciiTheme="minorHAnsi" w:hAnsiTheme="minorHAnsi"/>
                <w:b/>
                <w:color w:val="000000"/>
                <w:sz w:val="12"/>
                <w:szCs w:val="12"/>
              </w:rPr>
            </w:pPr>
          </w:p>
        </w:tc>
        <w:tc>
          <w:tcPr>
            <w:tcW w:w="237" w:type="pct"/>
            <w:tcBorders>
              <w:top w:val="nil"/>
              <w:left w:val="single" w:sz="4" w:space="0" w:color="auto"/>
              <w:bottom w:val="single" w:sz="4" w:space="0" w:color="auto"/>
              <w:right w:val="single" w:sz="4" w:space="0" w:color="auto"/>
            </w:tcBorders>
            <w:shd w:val="clear" w:color="auto" w:fill="92D050"/>
            <w:noWrap/>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82.0%</w:t>
            </w:r>
          </w:p>
        </w:tc>
        <w:tc>
          <w:tcPr>
            <w:tcW w:w="160" w:type="pct"/>
            <w:tcBorders>
              <w:top w:val="nil"/>
              <w:left w:val="nil"/>
              <w:bottom w:val="single" w:sz="4" w:space="0" w:color="auto"/>
              <w:right w:val="single" w:sz="4" w:space="0" w:color="auto"/>
            </w:tcBorders>
            <w:shd w:val="clear" w:color="auto" w:fill="FFC000"/>
            <w:noWrap/>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32.6%</w:t>
            </w:r>
          </w:p>
        </w:tc>
        <w:tc>
          <w:tcPr>
            <w:tcW w:w="136" w:type="pct"/>
            <w:tcBorders>
              <w:top w:val="single" w:sz="4" w:space="0" w:color="auto"/>
              <w:left w:val="nil"/>
              <w:bottom w:val="single" w:sz="4" w:space="0" w:color="auto"/>
              <w:right w:val="single" w:sz="4" w:space="0" w:color="auto"/>
            </w:tcBorders>
            <w:shd w:val="clear" w:color="auto" w:fill="auto"/>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29.1%</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1511DA" w:rsidRPr="00CE2962" w:rsidRDefault="001511DA" w:rsidP="00BE355F">
            <w:pPr>
              <w:jc w:val="center"/>
              <w:rPr>
                <w:rFonts w:asciiTheme="minorHAnsi" w:hAnsiTheme="minorHAnsi"/>
                <w:b/>
                <w:color w:val="000000"/>
                <w:sz w:val="12"/>
                <w:szCs w:val="12"/>
              </w:rPr>
            </w:pPr>
            <w:r w:rsidRPr="00CE2962">
              <w:rPr>
                <w:rFonts w:asciiTheme="minorHAnsi" w:hAnsiTheme="minorHAnsi"/>
                <w:b/>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11DA" w:rsidRPr="00CE2962" w:rsidRDefault="001511DA" w:rsidP="00BE355F">
            <w:pPr>
              <w:jc w:val="center"/>
              <w:rPr>
                <w:rFonts w:asciiTheme="minorHAnsi" w:hAnsiTheme="minorHAnsi"/>
                <w:b/>
                <w:color w:val="000000"/>
                <w:sz w:val="12"/>
                <w:szCs w:val="12"/>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4F" w:rsidRDefault="0071004F" w:rsidP="00841826">
      <w:r>
        <w:separator/>
      </w:r>
    </w:p>
  </w:endnote>
  <w:endnote w:type="continuationSeparator" w:id="0">
    <w:p w:rsidR="0071004F" w:rsidRDefault="0071004F"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71004F" w:rsidRPr="00F224C6" w:rsidRDefault="0071004F">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67196C">
              <w:rPr>
                <w:bCs/>
                <w:noProof/>
                <w:sz w:val="20"/>
                <w:szCs w:val="20"/>
              </w:rPr>
              <w:t>1</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67196C">
              <w:rPr>
                <w:bCs/>
                <w:noProof/>
                <w:sz w:val="20"/>
                <w:szCs w:val="20"/>
              </w:rPr>
              <w:t>10</w:t>
            </w:r>
            <w:r w:rsidRPr="00F224C6">
              <w:rPr>
                <w:bCs/>
                <w:sz w:val="20"/>
                <w:szCs w:val="20"/>
              </w:rPr>
              <w:fldChar w:fldCharType="end"/>
            </w:r>
          </w:p>
        </w:sdtContent>
      </w:sdt>
    </w:sdtContent>
  </w:sdt>
  <w:p w:rsidR="0071004F" w:rsidRPr="00F224C6" w:rsidRDefault="0071004F">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4F" w:rsidRDefault="0071004F" w:rsidP="00841826">
      <w:r>
        <w:separator/>
      </w:r>
    </w:p>
  </w:footnote>
  <w:footnote w:type="continuationSeparator" w:id="0">
    <w:p w:rsidR="0071004F" w:rsidRDefault="0071004F"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9E"/>
    <w:multiLevelType w:val="hybridMultilevel"/>
    <w:tmpl w:val="2DEE504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0420758C"/>
    <w:multiLevelType w:val="hybridMultilevel"/>
    <w:tmpl w:val="A3D238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A317FC3"/>
    <w:multiLevelType w:val="hybridMultilevel"/>
    <w:tmpl w:val="75F0D76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4">
    <w:nsid w:val="26D04451"/>
    <w:multiLevelType w:val="hybridMultilevel"/>
    <w:tmpl w:val="EDD21792"/>
    <w:lvl w:ilvl="0" w:tplc="0B68113E">
      <w:start w:val="3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9D91F7D"/>
    <w:multiLevelType w:val="hybridMultilevel"/>
    <w:tmpl w:val="1A2207E4"/>
    <w:lvl w:ilvl="0" w:tplc="BDEC75D0">
      <w:start w:val="75"/>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B97068"/>
    <w:multiLevelType w:val="hybridMultilevel"/>
    <w:tmpl w:val="05F0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7177B34"/>
    <w:multiLevelType w:val="hybridMultilevel"/>
    <w:tmpl w:val="B20630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9B541B1"/>
    <w:multiLevelType w:val="hybridMultilevel"/>
    <w:tmpl w:val="EF26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A024657"/>
    <w:multiLevelType w:val="hybridMultilevel"/>
    <w:tmpl w:val="8ECA60D2"/>
    <w:lvl w:ilvl="0" w:tplc="B246A01A">
      <w:start w:val="43"/>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A8A2FA0"/>
    <w:multiLevelType w:val="hybridMultilevel"/>
    <w:tmpl w:val="B3E008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5D403D4A"/>
    <w:multiLevelType w:val="hybridMultilevel"/>
    <w:tmpl w:val="7FD47DF8"/>
    <w:lvl w:ilvl="0" w:tplc="FB3E10BC">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E87844"/>
    <w:multiLevelType w:val="hybridMultilevel"/>
    <w:tmpl w:val="2F9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C42DCF"/>
    <w:multiLevelType w:val="hybridMultilevel"/>
    <w:tmpl w:val="33C8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20FF0"/>
    <w:multiLevelType w:val="hybridMultilevel"/>
    <w:tmpl w:val="3C1A3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8064350"/>
    <w:multiLevelType w:val="hybridMultilevel"/>
    <w:tmpl w:val="1D74684E"/>
    <w:lvl w:ilvl="0" w:tplc="CFE4E544">
      <w:start w:val="1"/>
      <w:numFmt w:val="decimal"/>
      <w:lvlText w:val="%1"/>
      <w:lvlJc w:val="left"/>
      <w:pPr>
        <w:ind w:left="4471"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5"/>
  </w:num>
  <w:num w:numId="5">
    <w:abstractNumId w:val="17"/>
  </w:num>
  <w:num w:numId="6">
    <w:abstractNumId w:val="2"/>
  </w:num>
  <w:num w:numId="7">
    <w:abstractNumId w:val="10"/>
  </w:num>
  <w:num w:numId="8">
    <w:abstractNumId w:val="11"/>
  </w:num>
  <w:num w:numId="9">
    <w:abstractNumId w:val="12"/>
  </w:num>
  <w:num w:numId="10">
    <w:abstractNumId w:val="5"/>
  </w:num>
  <w:num w:numId="11">
    <w:abstractNumId w:val="1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6"/>
  </w:num>
  <w:num w:numId="15">
    <w:abstractNumId w:val="16"/>
  </w:num>
  <w:num w:numId="16">
    <w:abstractNumId w:val="13"/>
  </w:num>
  <w:num w:numId="17">
    <w:abstractNumId w:val="0"/>
  </w:num>
  <w:num w:numId="18">
    <w:abstractNumId w:val="3"/>
  </w:num>
  <w:num w:numId="19">
    <w:abstractNumId w:val="0"/>
  </w:num>
  <w:num w:numId="20">
    <w:abstractNumId w:val="19"/>
  </w:num>
  <w:num w:numId="21">
    <w:abstractNumId w:val="4"/>
  </w:num>
  <w:num w:numId="22">
    <w:abstractNumId w:val="14"/>
  </w:num>
  <w:num w:numId="23">
    <w:abstractNumId w:val="8"/>
  </w:num>
  <w:num w:numId="24">
    <w:abstractNumId w:val="18"/>
  </w:num>
  <w:num w:numId="25">
    <w:abstractNumId w:val="1"/>
  </w:num>
  <w:num w:numId="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0995"/>
    <w:rsid w:val="00013CC2"/>
    <w:rsid w:val="00014218"/>
    <w:rsid w:val="000147A3"/>
    <w:rsid w:val="00016898"/>
    <w:rsid w:val="00020C1A"/>
    <w:rsid w:val="00023F79"/>
    <w:rsid w:val="0002666E"/>
    <w:rsid w:val="000301C1"/>
    <w:rsid w:val="00034312"/>
    <w:rsid w:val="000345F0"/>
    <w:rsid w:val="000401E9"/>
    <w:rsid w:val="000572D5"/>
    <w:rsid w:val="000620F3"/>
    <w:rsid w:val="0006275B"/>
    <w:rsid w:val="000644A8"/>
    <w:rsid w:val="0007458C"/>
    <w:rsid w:val="000748DD"/>
    <w:rsid w:val="000827F8"/>
    <w:rsid w:val="000850A2"/>
    <w:rsid w:val="00092B29"/>
    <w:rsid w:val="00092D5B"/>
    <w:rsid w:val="0009320B"/>
    <w:rsid w:val="00094C0F"/>
    <w:rsid w:val="000A09BA"/>
    <w:rsid w:val="000A14B6"/>
    <w:rsid w:val="000A3A00"/>
    <w:rsid w:val="000A4D99"/>
    <w:rsid w:val="000A4FE9"/>
    <w:rsid w:val="000B143E"/>
    <w:rsid w:val="000B1A1C"/>
    <w:rsid w:val="000B6C63"/>
    <w:rsid w:val="000C016C"/>
    <w:rsid w:val="000C0D6C"/>
    <w:rsid w:val="000C0F4E"/>
    <w:rsid w:val="000C11B2"/>
    <w:rsid w:val="000C6F46"/>
    <w:rsid w:val="000D27BB"/>
    <w:rsid w:val="000D5066"/>
    <w:rsid w:val="000D630B"/>
    <w:rsid w:val="000D644E"/>
    <w:rsid w:val="000E136D"/>
    <w:rsid w:val="000E2C65"/>
    <w:rsid w:val="000F5473"/>
    <w:rsid w:val="000F66C4"/>
    <w:rsid w:val="000F7C76"/>
    <w:rsid w:val="0010009A"/>
    <w:rsid w:val="00102B5F"/>
    <w:rsid w:val="001127FC"/>
    <w:rsid w:val="00114868"/>
    <w:rsid w:val="0011736B"/>
    <w:rsid w:val="001224C3"/>
    <w:rsid w:val="0012455F"/>
    <w:rsid w:val="00124FCD"/>
    <w:rsid w:val="00124FD0"/>
    <w:rsid w:val="001322FF"/>
    <w:rsid w:val="00134D43"/>
    <w:rsid w:val="00141F4D"/>
    <w:rsid w:val="001479E4"/>
    <w:rsid w:val="001511DA"/>
    <w:rsid w:val="00151996"/>
    <w:rsid w:val="00157149"/>
    <w:rsid w:val="00157BE3"/>
    <w:rsid w:val="001637E0"/>
    <w:rsid w:val="0016450F"/>
    <w:rsid w:val="00164DF1"/>
    <w:rsid w:val="0016520E"/>
    <w:rsid w:val="00166E3A"/>
    <w:rsid w:val="00175055"/>
    <w:rsid w:val="00181536"/>
    <w:rsid w:val="001833A9"/>
    <w:rsid w:val="00185652"/>
    <w:rsid w:val="0018688B"/>
    <w:rsid w:val="00190856"/>
    <w:rsid w:val="001913BB"/>
    <w:rsid w:val="0019277A"/>
    <w:rsid w:val="001958C4"/>
    <w:rsid w:val="001A5258"/>
    <w:rsid w:val="001B0D6C"/>
    <w:rsid w:val="001B70C3"/>
    <w:rsid w:val="001C3951"/>
    <w:rsid w:val="001C3CCB"/>
    <w:rsid w:val="001C7982"/>
    <w:rsid w:val="001D1164"/>
    <w:rsid w:val="001D5300"/>
    <w:rsid w:val="001D7CEA"/>
    <w:rsid w:val="0020166F"/>
    <w:rsid w:val="00202F8C"/>
    <w:rsid w:val="00203063"/>
    <w:rsid w:val="00207FDE"/>
    <w:rsid w:val="00211460"/>
    <w:rsid w:val="00222CB0"/>
    <w:rsid w:val="002241AC"/>
    <w:rsid w:val="00230F78"/>
    <w:rsid w:val="0023426F"/>
    <w:rsid w:val="002350CC"/>
    <w:rsid w:val="002433F6"/>
    <w:rsid w:val="00243481"/>
    <w:rsid w:val="002468B6"/>
    <w:rsid w:val="00255585"/>
    <w:rsid w:val="0026569F"/>
    <w:rsid w:val="00265A41"/>
    <w:rsid w:val="00265FCC"/>
    <w:rsid w:val="00267159"/>
    <w:rsid w:val="002738CE"/>
    <w:rsid w:val="00274697"/>
    <w:rsid w:val="00276013"/>
    <w:rsid w:val="00276391"/>
    <w:rsid w:val="002773F3"/>
    <w:rsid w:val="00284C8D"/>
    <w:rsid w:val="00286E93"/>
    <w:rsid w:val="00290D6F"/>
    <w:rsid w:val="00291983"/>
    <w:rsid w:val="002A4E3F"/>
    <w:rsid w:val="002A692E"/>
    <w:rsid w:val="002B0A53"/>
    <w:rsid w:val="002B1754"/>
    <w:rsid w:val="002B3314"/>
    <w:rsid w:val="002B6375"/>
    <w:rsid w:val="002D3967"/>
    <w:rsid w:val="002E7676"/>
    <w:rsid w:val="002E76E5"/>
    <w:rsid w:val="002F22C1"/>
    <w:rsid w:val="002F4FE0"/>
    <w:rsid w:val="00300F9F"/>
    <w:rsid w:val="0030491D"/>
    <w:rsid w:val="0030780F"/>
    <w:rsid w:val="0031369B"/>
    <w:rsid w:val="00314539"/>
    <w:rsid w:val="00320FBE"/>
    <w:rsid w:val="00325A91"/>
    <w:rsid w:val="00337418"/>
    <w:rsid w:val="0034120C"/>
    <w:rsid w:val="00351837"/>
    <w:rsid w:val="003643CB"/>
    <w:rsid w:val="003649A8"/>
    <w:rsid w:val="003704E0"/>
    <w:rsid w:val="00372816"/>
    <w:rsid w:val="0037681E"/>
    <w:rsid w:val="00382489"/>
    <w:rsid w:val="00394096"/>
    <w:rsid w:val="00395D70"/>
    <w:rsid w:val="003A26CF"/>
    <w:rsid w:val="003B283F"/>
    <w:rsid w:val="003B6DCB"/>
    <w:rsid w:val="003B7343"/>
    <w:rsid w:val="003D315C"/>
    <w:rsid w:val="003D612C"/>
    <w:rsid w:val="003E01BA"/>
    <w:rsid w:val="003E42AC"/>
    <w:rsid w:val="003F02B4"/>
    <w:rsid w:val="003F2986"/>
    <w:rsid w:val="003F6149"/>
    <w:rsid w:val="003F7354"/>
    <w:rsid w:val="004046FF"/>
    <w:rsid w:val="00413998"/>
    <w:rsid w:val="00414111"/>
    <w:rsid w:val="00417E47"/>
    <w:rsid w:val="00420606"/>
    <w:rsid w:val="00422A11"/>
    <w:rsid w:val="00425ABD"/>
    <w:rsid w:val="004277F9"/>
    <w:rsid w:val="00427993"/>
    <w:rsid w:val="00432597"/>
    <w:rsid w:val="00437992"/>
    <w:rsid w:val="0044238D"/>
    <w:rsid w:val="004502F0"/>
    <w:rsid w:val="00451C95"/>
    <w:rsid w:val="004525A5"/>
    <w:rsid w:val="0045540A"/>
    <w:rsid w:val="0045694A"/>
    <w:rsid w:val="0046249D"/>
    <w:rsid w:val="004624B1"/>
    <w:rsid w:val="00463BBD"/>
    <w:rsid w:val="00464B12"/>
    <w:rsid w:val="004806F6"/>
    <w:rsid w:val="0048792D"/>
    <w:rsid w:val="0049552B"/>
    <w:rsid w:val="00495CFD"/>
    <w:rsid w:val="004A073A"/>
    <w:rsid w:val="004B24F1"/>
    <w:rsid w:val="004B35EF"/>
    <w:rsid w:val="004B744D"/>
    <w:rsid w:val="004C0D1D"/>
    <w:rsid w:val="004C5403"/>
    <w:rsid w:val="004C594A"/>
    <w:rsid w:val="004D0408"/>
    <w:rsid w:val="004D1235"/>
    <w:rsid w:val="004E0B29"/>
    <w:rsid w:val="004E1315"/>
    <w:rsid w:val="004E4DBD"/>
    <w:rsid w:val="004E7D29"/>
    <w:rsid w:val="004F0BA4"/>
    <w:rsid w:val="004F6009"/>
    <w:rsid w:val="004F742D"/>
    <w:rsid w:val="00506406"/>
    <w:rsid w:val="005100A1"/>
    <w:rsid w:val="00512601"/>
    <w:rsid w:val="00513B99"/>
    <w:rsid w:val="005155FB"/>
    <w:rsid w:val="00521F07"/>
    <w:rsid w:val="0052219D"/>
    <w:rsid w:val="005235C5"/>
    <w:rsid w:val="00535363"/>
    <w:rsid w:val="00543142"/>
    <w:rsid w:val="00545AF0"/>
    <w:rsid w:val="00546DC3"/>
    <w:rsid w:val="00553D46"/>
    <w:rsid w:val="005543EE"/>
    <w:rsid w:val="0055586A"/>
    <w:rsid w:val="005620A2"/>
    <w:rsid w:val="00566B9B"/>
    <w:rsid w:val="00566E5D"/>
    <w:rsid w:val="00575791"/>
    <w:rsid w:val="00577C49"/>
    <w:rsid w:val="005808F8"/>
    <w:rsid w:val="00584EB0"/>
    <w:rsid w:val="00587572"/>
    <w:rsid w:val="00587E30"/>
    <w:rsid w:val="00593AD1"/>
    <w:rsid w:val="005A0BF9"/>
    <w:rsid w:val="005A19C0"/>
    <w:rsid w:val="005A1C1E"/>
    <w:rsid w:val="005B097A"/>
    <w:rsid w:val="005B66AC"/>
    <w:rsid w:val="005B7F3B"/>
    <w:rsid w:val="005C0B84"/>
    <w:rsid w:val="005C4DB1"/>
    <w:rsid w:val="005C7179"/>
    <w:rsid w:val="005C7299"/>
    <w:rsid w:val="005D2199"/>
    <w:rsid w:val="005E6F5A"/>
    <w:rsid w:val="005F52F2"/>
    <w:rsid w:val="005F578C"/>
    <w:rsid w:val="0060103F"/>
    <w:rsid w:val="00605ADA"/>
    <w:rsid w:val="00606F5D"/>
    <w:rsid w:val="00610167"/>
    <w:rsid w:val="006210A9"/>
    <w:rsid w:val="00622651"/>
    <w:rsid w:val="00625AB9"/>
    <w:rsid w:val="00626FEC"/>
    <w:rsid w:val="00633365"/>
    <w:rsid w:val="00637482"/>
    <w:rsid w:val="006417D3"/>
    <w:rsid w:val="00642ABC"/>
    <w:rsid w:val="0064335D"/>
    <w:rsid w:val="00643E97"/>
    <w:rsid w:val="006469D3"/>
    <w:rsid w:val="0065158C"/>
    <w:rsid w:val="00653470"/>
    <w:rsid w:val="00654C32"/>
    <w:rsid w:val="00663816"/>
    <w:rsid w:val="00664DF1"/>
    <w:rsid w:val="0067196C"/>
    <w:rsid w:val="00672542"/>
    <w:rsid w:val="006772F3"/>
    <w:rsid w:val="00681471"/>
    <w:rsid w:val="006855C4"/>
    <w:rsid w:val="00686C2D"/>
    <w:rsid w:val="00691C02"/>
    <w:rsid w:val="00695572"/>
    <w:rsid w:val="006A088E"/>
    <w:rsid w:val="006A1192"/>
    <w:rsid w:val="006A327B"/>
    <w:rsid w:val="006B1D7E"/>
    <w:rsid w:val="006B3359"/>
    <w:rsid w:val="006B6366"/>
    <w:rsid w:val="006B7E54"/>
    <w:rsid w:val="006C4EFD"/>
    <w:rsid w:val="006D209D"/>
    <w:rsid w:val="006D639D"/>
    <w:rsid w:val="006D7D17"/>
    <w:rsid w:val="006E03BE"/>
    <w:rsid w:val="006E4E43"/>
    <w:rsid w:val="006F2CF2"/>
    <w:rsid w:val="006F45FC"/>
    <w:rsid w:val="006F4ACF"/>
    <w:rsid w:val="00702236"/>
    <w:rsid w:val="0070531E"/>
    <w:rsid w:val="00705C6C"/>
    <w:rsid w:val="007067A8"/>
    <w:rsid w:val="007068DB"/>
    <w:rsid w:val="007077C5"/>
    <w:rsid w:val="007079CA"/>
    <w:rsid w:val="0071004F"/>
    <w:rsid w:val="007109A9"/>
    <w:rsid w:val="00711A58"/>
    <w:rsid w:val="007134E8"/>
    <w:rsid w:val="00714691"/>
    <w:rsid w:val="00717DD1"/>
    <w:rsid w:val="0072130B"/>
    <w:rsid w:val="007215B9"/>
    <w:rsid w:val="0072364F"/>
    <w:rsid w:val="00725225"/>
    <w:rsid w:val="00732BA5"/>
    <w:rsid w:val="00735C11"/>
    <w:rsid w:val="00736FFB"/>
    <w:rsid w:val="0073727E"/>
    <w:rsid w:val="007405C0"/>
    <w:rsid w:val="00741073"/>
    <w:rsid w:val="0074442D"/>
    <w:rsid w:val="007455CB"/>
    <w:rsid w:val="0075258D"/>
    <w:rsid w:val="00753BC1"/>
    <w:rsid w:val="00755488"/>
    <w:rsid w:val="00757A6B"/>
    <w:rsid w:val="00760D20"/>
    <w:rsid w:val="00765EAB"/>
    <w:rsid w:val="00766602"/>
    <w:rsid w:val="007709E3"/>
    <w:rsid w:val="00771D1F"/>
    <w:rsid w:val="007826CF"/>
    <w:rsid w:val="007827F8"/>
    <w:rsid w:val="007841AD"/>
    <w:rsid w:val="007879EE"/>
    <w:rsid w:val="00792361"/>
    <w:rsid w:val="0079251E"/>
    <w:rsid w:val="007A2106"/>
    <w:rsid w:val="007A2BA7"/>
    <w:rsid w:val="007A2F32"/>
    <w:rsid w:val="007A38C1"/>
    <w:rsid w:val="007A3F26"/>
    <w:rsid w:val="007B77B5"/>
    <w:rsid w:val="007C369F"/>
    <w:rsid w:val="007D361F"/>
    <w:rsid w:val="007E74F1"/>
    <w:rsid w:val="007F76FE"/>
    <w:rsid w:val="00801107"/>
    <w:rsid w:val="0080176C"/>
    <w:rsid w:val="00802BCA"/>
    <w:rsid w:val="008059A1"/>
    <w:rsid w:val="00814C50"/>
    <w:rsid w:val="00814F4A"/>
    <w:rsid w:val="0082007A"/>
    <w:rsid w:val="00825B05"/>
    <w:rsid w:val="008348C2"/>
    <w:rsid w:val="00841826"/>
    <w:rsid w:val="00850BE6"/>
    <w:rsid w:val="00851102"/>
    <w:rsid w:val="00851977"/>
    <w:rsid w:val="00852D76"/>
    <w:rsid w:val="00855839"/>
    <w:rsid w:val="00856C20"/>
    <w:rsid w:val="008570CE"/>
    <w:rsid w:val="00860231"/>
    <w:rsid w:val="00867B89"/>
    <w:rsid w:val="008745CB"/>
    <w:rsid w:val="0087500B"/>
    <w:rsid w:val="00875842"/>
    <w:rsid w:val="0087683B"/>
    <w:rsid w:val="00876F02"/>
    <w:rsid w:val="00881B5F"/>
    <w:rsid w:val="00890F0E"/>
    <w:rsid w:val="00893272"/>
    <w:rsid w:val="008940A1"/>
    <w:rsid w:val="008A17E0"/>
    <w:rsid w:val="008A7808"/>
    <w:rsid w:val="008B2596"/>
    <w:rsid w:val="008B3B4A"/>
    <w:rsid w:val="008B52C8"/>
    <w:rsid w:val="008B6D5D"/>
    <w:rsid w:val="008C1B5A"/>
    <w:rsid w:val="008C73B1"/>
    <w:rsid w:val="008D5B9A"/>
    <w:rsid w:val="008E474D"/>
    <w:rsid w:val="008E4DAE"/>
    <w:rsid w:val="008E74C3"/>
    <w:rsid w:val="008F308E"/>
    <w:rsid w:val="009004AC"/>
    <w:rsid w:val="0090086E"/>
    <w:rsid w:val="00906695"/>
    <w:rsid w:val="00913B56"/>
    <w:rsid w:val="0092297C"/>
    <w:rsid w:val="009261D5"/>
    <w:rsid w:val="0092779F"/>
    <w:rsid w:val="009277C4"/>
    <w:rsid w:val="009305B6"/>
    <w:rsid w:val="009306F8"/>
    <w:rsid w:val="00932E2A"/>
    <w:rsid w:val="0093427C"/>
    <w:rsid w:val="00935FAE"/>
    <w:rsid w:val="00936B41"/>
    <w:rsid w:val="0094090E"/>
    <w:rsid w:val="00944CDA"/>
    <w:rsid w:val="0094717B"/>
    <w:rsid w:val="0095259C"/>
    <w:rsid w:val="00953124"/>
    <w:rsid w:val="00966302"/>
    <w:rsid w:val="00971F98"/>
    <w:rsid w:val="00972589"/>
    <w:rsid w:val="00975D80"/>
    <w:rsid w:val="00981476"/>
    <w:rsid w:val="009864DE"/>
    <w:rsid w:val="009933C0"/>
    <w:rsid w:val="00994615"/>
    <w:rsid w:val="0099600A"/>
    <w:rsid w:val="009960A0"/>
    <w:rsid w:val="009972D0"/>
    <w:rsid w:val="009A366A"/>
    <w:rsid w:val="009A6F96"/>
    <w:rsid w:val="009B0197"/>
    <w:rsid w:val="009B119D"/>
    <w:rsid w:val="009B6DCB"/>
    <w:rsid w:val="009C1564"/>
    <w:rsid w:val="009C6019"/>
    <w:rsid w:val="009C606E"/>
    <w:rsid w:val="009F000A"/>
    <w:rsid w:val="009F3F5B"/>
    <w:rsid w:val="009F6DD5"/>
    <w:rsid w:val="00A000BC"/>
    <w:rsid w:val="00A025CB"/>
    <w:rsid w:val="00A07CD6"/>
    <w:rsid w:val="00A12A7C"/>
    <w:rsid w:val="00A137FF"/>
    <w:rsid w:val="00A139E8"/>
    <w:rsid w:val="00A203BD"/>
    <w:rsid w:val="00A20609"/>
    <w:rsid w:val="00A22F54"/>
    <w:rsid w:val="00A23A40"/>
    <w:rsid w:val="00A2441A"/>
    <w:rsid w:val="00A30B29"/>
    <w:rsid w:val="00A313C5"/>
    <w:rsid w:val="00A32CC2"/>
    <w:rsid w:val="00A35483"/>
    <w:rsid w:val="00A45A00"/>
    <w:rsid w:val="00A46A39"/>
    <w:rsid w:val="00A46C60"/>
    <w:rsid w:val="00A503EC"/>
    <w:rsid w:val="00A550E5"/>
    <w:rsid w:val="00A61F04"/>
    <w:rsid w:val="00A7043E"/>
    <w:rsid w:val="00A73125"/>
    <w:rsid w:val="00A77D56"/>
    <w:rsid w:val="00A805EC"/>
    <w:rsid w:val="00A81D16"/>
    <w:rsid w:val="00A865EE"/>
    <w:rsid w:val="00A87BB6"/>
    <w:rsid w:val="00A95BE6"/>
    <w:rsid w:val="00A96B1E"/>
    <w:rsid w:val="00AA0727"/>
    <w:rsid w:val="00AA2733"/>
    <w:rsid w:val="00AA2D74"/>
    <w:rsid w:val="00AA627C"/>
    <w:rsid w:val="00AB00E4"/>
    <w:rsid w:val="00AB0B82"/>
    <w:rsid w:val="00AB24A4"/>
    <w:rsid w:val="00AB2A8E"/>
    <w:rsid w:val="00AB615C"/>
    <w:rsid w:val="00AB7DA1"/>
    <w:rsid w:val="00AC2A96"/>
    <w:rsid w:val="00AC2C27"/>
    <w:rsid w:val="00AC6CAB"/>
    <w:rsid w:val="00AD26E3"/>
    <w:rsid w:val="00AD3BB3"/>
    <w:rsid w:val="00AD731D"/>
    <w:rsid w:val="00AD7F74"/>
    <w:rsid w:val="00AE07C4"/>
    <w:rsid w:val="00AE7AC4"/>
    <w:rsid w:val="00AF079D"/>
    <w:rsid w:val="00B02E60"/>
    <w:rsid w:val="00B041D1"/>
    <w:rsid w:val="00B04C3C"/>
    <w:rsid w:val="00B051DA"/>
    <w:rsid w:val="00B05C33"/>
    <w:rsid w:val="00B0766D"/>
    <w:rsid w:val="00B076AE"/>
    <w:rsid w:val="00B1626B"/>
    <w:rsid w:val="00B17F25"/>
    <w:rsid w:val="00B20ED3"/>
    <w:rsid w:val="00B2330E"/>
    <w:rsid w:val="00B27EBF"/>
    <w:rsid w:val="00B31775"/>
    <w:rsid w:val="00B31B17"/>
    <w:rsid w:val="00B3355D"/>
    <w:rsid w:val="00B35D37"/>
    <w:rsid w:val="00B46937"/>
    <w:rsid w:val="00B47F4E"/>
    <w:rsid w:val="00B50EB5"/>
    <w:rsid w:val="00B51123"/>
    <w:rsid w:val="00B52F74"/>
    <w:rsid w:val="00B53967"/>
    <w:rsid w:val="00B56AAB"/>
    <w:rsid w:val="00B5799A"/>
    <w:rsid w:val="00B63772"/>
    <w:rsid w:val="00B720BE"/>
    <w:rsid w:val="00B73CFC"/>
    <w:rsid w:val="00B80B92"/>
    <w:rsid w:val="00B84AE5"/>
    <w:rsid w:val="00B8608C"/>
    <w:rsid w:val="00B87A2B"/>
    <w:rsid w:val="00BA2A3D"/>
    <w:rsid w:val="00BB18AC"/>
    <w:rsid w:val="00BB252A"/>
    <w:rsid w:val="00BB284A"/>
    <w:rsid w:val="00BB34C0"/>
    <w:rsid w:val="00BC79F2"/>
    <w:rsid w:val="00BD0C13"/>
    <w:rsid w:val="00BD7B38"/>
    <w:rsid w:val="00BE355F"/>
    <w:rsid w:val="00BE5851"/>
    <w:rsid w:val="00BF42BE"/>
    <w:rsid w:val="00BF57B4"/>
    <w:rsid w:val="00BF5AFC"/>
    <w:rsid w:val="00BF5D21"/>
    <w:rsid w:val="00BF602D"/>
    <w:rsid w:val="00C00605"/>
    <w:rsid w:val="00C02EE5"/>
    <w:rsid w:val="00C11863"/>
    <w:rsid w:val="00C158E3"/>
    <w:rsid w:val="00C16370"/>
    <w:rsid w:val="00C165B1"/>
    <w:rsid w:val="00C43C03"/>
    <w:rsid w:val="00C450B7"/>
    <w:rsid w:val="00C46363"/>
    <w:rsid w:val="00C477F1"/>
    <w:rsid w:val="00C5003E"/>
    <w:rsid w:val="00C50248"/>
    <w:rsid w:val="00C71A00"/>
    <w:rsid w:val="00C72048"/>
    <w:rsid w:val="00C7753D"/>
    <w:rsid w:val="00C82D0B"/>
    <w:rsid w:val="00C92BB4"/>
    <w:rsid w:val="00C95B68"/>
    <w:rsid w:val="00CA0A30"/>
    <w:rsid w:val="00CA6140"/>
    <w:rsid w:val="00CB073B"/>
    <w:rsid w:val="00CB1E16"/>
    <w:rsid w:val="00CB2020"/>
    <w:rsid w:val="00CC28E4"/>
    <w:rsid w:val="00CC2F43"/>
    <w:rsid w:val="00CC3362"/>
    <w:rsid w:val="00CC4B19"/>
    <w:rsid w:val="00CC53F6"/>
    <w:rsid w:val="00CC5BBE"/>
    <w:rsid w:val="00CC6AD1"/>
    <w:rsid w:val="00CD1F5C"/>
    <w:rsid w:val="00CD3397"/>
    <w:rsid w:val="00CD4A9F"/>
    <w:rsid w:val="00CE2873"/>
    <w:rsid w:val="00CE2962"/>
    <w:rsid w:val="00CE5B92"/>
    <w:rsid w:val="00CE6C7B"/>
    <w:rsid w:val="00CE7AF6"/>
    <w:rsid w:val="00CF2F78"/>
    <w:rsid w:val="00CF7163"/>
    <w:rsid w:val="00D14635"/>
    <w:rsid w:val="00D15B60"/>
    <w:rsid w:val="00D17654"/>
    <w:rsid w:val="00D177B4"/>
    <w:rsid w:val="00D24EA7"/>
    <w:rsid w:val="00D25661"/>
    <w:rsid w:val="00D30891"/>
    <w:rsid w:val="00D32A96"/>
    <w:rsid w:val="00D35D19"/>
    <w:rsid w:val="00D42044"/>
    <w:rsid w:val="00D4348F"/>
    <w:rsid w:val="00D479A0"/>
    <w:rsid w:val="00D500D1"/>
    <w:rsid w:val="00D5683B"/>
    <w:rsid w:val="00D63A14"/>
    <w:rsid w:val="00D64C40"/>
    <w:rsid w:val="00D65624"/>
    <w:rsid w:val="00D66C7B"/>
    <w:rsid w:val="00D71AC0"/>
    <w:rsid w:val="00D730EF"/>
    <w:rsid w:val="00D73723"/>
    <w:rsid w:val="00D76234"/>
    <w:rsid w:val="00D80224"/>
    <w:rsid w:val="00D872F5"/>
    <w:rsid w:val="00D93F3A"/>
    <w:rsid w:val="00D9702F"/>
    <w:rsid w:val="00DA074D"/>
    <w:rsid w:val="00DA5035"/>
    <w:rsid w:val="00DA6763"/>
    <w:rsid w:val="00DB3E93"/>
    <w:rsid w:val="00DB5D48"/>
    <w:rsid w:val="00DB7AE7"/>
    <w:rsid w:val="00DC0921"/>
    <w:rsid w:val="00DC0966"/>
    <w:rsid w:val="00DC149D"/>
    <w:rsid w:val="00DC2B5E"/>
    <w:rsid w:val="00DC368E"/>
    <w:rsid w:val="00DC613A"/>
    <w:rsid w:val="00DC65F3"/>
    <w:rsid w:val="00DD3854"/>
    <w:rsid w:val="00DD4FB3"/>
    <w:rsid w:val="00DD7B0C"/>
    <w:rsid w:val="00DE0E38"/>
    <w:rsid w:val="00DE1C44"/>
    <w:rsid w:val="00DE23DE"/>
    <w:rsid w:val="00DE5C36"/>
    <w:rsid w:val="00DE686F"/>
    <w:rsid w:val="00DF24E9"/>
    <w:rsid w:val="00DF75D7"/>
    <w:rsid w:val="00E01814"/>
    <w:rsid w:val="00E01BB2"/>
    <w:rsid w:val="00E021AD"/>
    <w:rsid w:val="00E025CF"/>
    <w:rsid w:val="00E02687"/>
    <w:rsid w:val="00E154FB"/>
    <w:rsid w:val="00E167FA"/>
    <w:rsid w:val="00E21189"/>
    <w:rsid w:val="00E22993"/>
    <w:rsid w:val="00E23CFF"/>
    <w:rsid w:val="00E26CC6"/>
    <w:rsid w:val="00E34B65"/>
    <w:rsid w:val="00E37632"/>
    <w:rsid w:val="00E40225"/>
    <w:rsid w:val="00E402A1"/>
    <w:rsid w:val="00E4480F"/>
    <w:rsid w:val="00E4481F"/>
    <w:rsid w:val="00E45697"/>
    <w:rsid w:val="00E51846"/>
    <w:rsid w:val="00E54D1B"/>
    <w:rsid w:val="00E55230"/>
    <w:rsid w:val="00E66C27"/>
    <w:rsid w:val="00E71744"/>
    <w:rsid w:val="00E8023E"/>
    <w:rsid w:val="00E85858"/>
    <w:rsid w:val="00E86DB3"/>
    <w:rsid w:val="00E90541"/>
    <w:rsid w:val="00E921D5"/>
    <w:rsid w:val="00E92B86"/>
    <w:rsid w:val="00E96045"/>
    <w:rsid w:val="00E96D1B"/>
    <w:rsid w:val="00EA04C1"/>
    <w:rsid w:val="00EA072E"/>
    <w:rsid w:val="00EA167B"/>
    <w:rsid w:val="00EA5B79"/>
    <w:rsid w:val="00EC5D3C"/>
    <w:rsid w:val="00EC65D9"/>
    <w:rsid w:val="00ED23B9"/>
    <w:rsid w:val="00ED7DBF"/>
    <w:rsid w:val="00EE17ED"/>
    <w:rsid w:val="00EE4DCD"/>
    <w:rsid w:val="00EF2E20"/>
    <w:rsid w:val="00EF3A6A"/>
    <w:rsid w:val="00EF4C33"/>
    <w:rsid w:val="00EF504A"/>
    <w:rsid w:val="00EF71FC"/>
    <w:rsid w:val="00F00BAC"/>
    <w:rsid w:val="00F00C24"/>
    <w:rsid w:val="00F02180"/>
    <w:rsid w:val="00F224C6"/>
    <w:rsid w:val="00F26D85"/>
    <w:rsid w:val="00F30796"/>
    <w:rsid w:val="00F36B55"/>
    <w:rsid w:val="00F408BD"/>
    <w:rsid w:val="00F469A4"/>
    <w:rsid w:val="00F5412F"/>
    <w:rsid w:val="00F558A7"/>
    <w:rsid w:val="00F625AB"/>
    <w:rsid w:val="00F634D5"/>
    <w:rsid w:val="00F73256"/>
    <w:rsid w:val="00F73C47"/>
    <w:rsid w:val="00F765EB"/>
    <w:rsid w:val="00F85F93"/>
    <w:rsid w:val="00F86802"/>
    <w:rsid w:val="00F87919"/>
    <w:rsid w:val="00F90FA8"/>
    <w:rsid w:val="00F922F2"/>
    <w:rsid w:val="00F9336F"/>
    <w:rsid w:val="00F94B52"/>
    <w:rsid w:val="00F96B27"/>
    <w:rsid w:val="00F970BF"/>
    <w:rsid w:val="00F979F0"/>
    <w:rsid w:val="00FA0A14"/>
    <w:rsid w:val="00FA1C17"/>
    <w:rsid w:val="00FA3319"/>
    <w:rsid w:val="00FB15D9"/>
    <w:rsid w:val="00FC607D"/>
    <w:rsid w:val="00FD060A"/>
    <w:rsid w:val="00FD182A"/>
    <w:rsid w:val="00FD4A40"/>
    <w:rsid w:val="00FE1131"/>
    <w:rsid w:val="00FE15A4"/>
    <w:rsid w:val="00FE1800"/>
    <w:rsid w:val="00FE35F9"/>
    <w:rsid w:val="00FE613B"/>
    <w:rsid w:val="00FE77BE"/>
    <w:rsid w:val="00FF116C"/>
    <w:rsid w:val="00FF16B4"/>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E960-0838-44D6-AC0D-AC672BFE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2</cp:revision>
  <cp:lastPrinted>2018-09-14T13:48:00Z</cp:lastPrinted>
  <dcterms:created xsi:type="dcterms:W3CDTF">2019-03-14T11:59:00Z</dcterms:created>
  <dcterms:modified xsi:type="dcterms:W3CDTF">2019-03-14T11:59:00Z</dcterms:modified>
</cp:coreProperties>
</file>