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drawings/drawing9.xml" ContentType="application/vnd.openxmlformats-officedocument.drawingml.chartshapes+xml"/>
  <Override PartName="/word/charts/chart11.xml" ContentType="application/vnd.openxmlformats-officedocument.drawingml.chart+xml"/>
  <Override PartName="/word/drawings/drawing10.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00" w:rsidRDefault="000D0C00" w:rsidP="000D0C00">
      <w:bookmarkStart w:id="0" w:name="_Toc507569984"/>
    </w:p>
    <w:p w:rsidR="000D0C00" w:rsidRDefault="000D0C00" w:rsidP="000D0C00"/>
    <w:p w:rsidR="000D0C00" w:rsidRDefault="000D0C00" w:rsidP="000D0C00"/>
    <w:p w:rsidR="000D0C00" w:rsidRDefault="000D0C00" w:rsidP="000D0C00"/>
    <w:p w:rsidR="000D0C00" w:rsidRDefault="000D0C00" w:rsidP="000D0C00"/>
    <w:p w:rsidR="00B3503A" w:rsidRPr="003E5466" w:rsidRDefault="00ED5FC5" w:rsidP="007946E6">
      <w:pPr>
        <w:pStyle w:val="Heading1"/>
        <w:rPr>
          <w:color w:val="4F81BD" w:themeColor="accent1"/>
        </w:rPr>
      </w:pPr>
      <w:r w:rsidRPr="003E5466">
        <w:rPr>
          <w:color w:val="4F81BD" w:themeColor="accent1"/>
        </w:rPr>
        <w:t xml:space="preserve">Leicestershire Partnership NHS Trust: </w:t>
      </w:r>
      <w:r w:rsidR="00B3503A" w:rsidRPr="003E5466">
        <w:rPr>
          <w:color w:val="4F81BD" w:themeColor="accent1"/>
        </w:rPr>
        <w:t xml:space="preserve">Gender Pay Gap </w:t>
      </w:r>
      <w:bookmarkEnd w:id="0"/>
      <w:r w:rsidR="000D0C00" w:rsidRPr="003E5466">
        <w:rPr>
          <w:color w:val="4F81BD" w:themeColor="accent1"/>
        </w:rPr>
        <w:t>Report</w:t>
      </w:r>
    </w:p>
    <w:p w:rsidR="000D0C00" w:rsidRPr="003E5466" w:rsidRDefault="000D0C00" w:rsidP="000D0C00">
      <w:pPr>
        <w:rPr>
          <w:b/>
          <w:color w:val="4F81BD" w:themeColor="accent1"/>
          <w:sz w:val="8"/>
          <w:szCs w:val="8"/>
        </w:rPr>
      </w:pPr>
    </w:p>
    <w:p w:rsidR="000D0C00" w:rsidRPr="003E5466" w:rsidRDefault="000D0C00" w:rsidP="000D0C00">
      <w:pPr>
        <w:rPr>
          <w:b/>
          <w:color w:val="4F81BD" w:themeColor="accent1"/>
        </w:rPr>
      </w:pPr>
      <w:r w:rsidRPr="003E5466">
        <w:rPr>
          <w:b/>
          <w:color w:val="4F81BD" w:themeColor="accent1"/>
        </w:rPr>
        <w:t>3</w:t>
      </w:r>
      <w:r w:rsidR="00CB0F4E">
        <w:rPr>
          <w:b/>
          <w:color w:val="4F81BD" w:themeColor="accent1"/>
        </w:rPr>
        <w:t>1</w:t>
      </w:r>
      <w:r w:rsidR="00CB0F4E" w:rsidRPr="00CB0F4E">
        <w:rPr>
          <w:b/>
          <w:color w:val="4F81BD" w:themeColor="accent1"/>
          <w:vertAlign w:val="superscript"/>
        </w:rPr>
        <w:t>st</w:t>
      </w:r>
      <w:r w:rsidR="00CB0F4E">
        <w:rPr>
          <w:b/>
          <w:color w:val="4F81BD" w:themeColor="accent1"/>
        </w:rPr>
        <w:t xml:space="preserve"> </w:t>
      </w:r>
      <w:r w:rsidR="00967941">
        <w:rPr>
          <w:b/>
          <w:color w:val="4F81BD" w:themeColor="accent1"/>
        </w:rPr>
        <w:t>March 201</w:t>
      </w:r>
      <w:r w:rsidR="003443F0">
        <w:rPr>
          <w:b/>
          <w:color w:val="4F81BD" w:themeColor="accent1"/>
        </w:rPr>
        <w:t>9</w:t>
      </w:r>
    </w:p>
    <w:p w:rsidR="00686D4A" w:rsidRDefault="00686D4A" w:rsidP="00906F1C"/>
    <w:p w:rsidR="000D0C00" w:rsidRDefault="000D0C00" w:rsidP="00906F1C"/>
    <w:p w:rsidR="00B666A7" w:rsidRDefault="00B666A7" w:rsidP="00906F1C"/>
    <w:p w:rsidR="000D0C00" w:rsidRDefault="000D0C00" w:rsidP="000D0C00">
      <w:pPr>
        <w:pStyle w:val="Heading2"/>
        <w:rPr>
          <w:rFonts w:cs="Arial"/>
          <w:szCs w:val="24"/>
        </w:rPr>
      </w:pPr>
      <w:r>
        <w:t>Background to the gender pay gap analyses</w:t>
      </w:r>
    </w:p>
    <w:p w:rsidR="000D0C00" w:rsidRPr="00A7164C" w:rsidRDefault="000D0C00" w:rsidP="000D0C00"/>
    <w:p w:rsidR="000D0C00" w:rsidRDefault="000D0C00" w:rsidP="00C77099">
      <w:pPr>
        <w:tabs>
          <w:tab w:val="left" w:pos="3510"/>
        </w:tabs>
      </w:pPr>
      <w:r w:rsidRPr="00A7164C">
        <w:t>The Gender Pay Gap Regulations (a 2017 update to the Equality Act 2010) introduced a</w:t>
      </w:r>
      <w:r w:rsidR="00674690">
        <w:t>n annual</w:t>
      </w:r>
      <w:r w:rsidRPr="00A7164C">
        <w:t xml:space="preserve"> requirement for listed public authorities and private sector organisations with 250 or more employees to publish information relating to the difference between the pay of female and male employees:</w:t>
      </w:r>
    </w:p>
    <w:p w:rsidR="00C77099" w:rsidRPr="00A7164C" w:rsidRDefault="00C77099" w:rsidP="00C77099">
      <w:pPr>
        <w:tabs>
          <w:tab w:val="left" w:pos="3510"/>
        </w:tabs>
      </w:pPr>
    </w:p>
    <w:p w:rsidR="000D0C00" w:rsidRDefault="000D0C00" w:rsidP="00E733FD">
      <w:pPr>
        <w:pStyle w:val="ListParagraph"/>
        <w:numPr>
          <w:ilvl w:val="0"/>
          <w:numId w:val="1"/>
        </w:numPr>
        <w:tabs>
          <w:tab w:val="left" w:pos="6345"/>
        </w:tabs>
      </w:pPr>
      <w:r w:rsidRPr="00A7164C">
        <w:t>the difference between the mean hourly rate of pay of male full-pay relevant employees and that of female full-pay relevant employees;</w:t>
      </w:r>
    </w:p>
    <w:p w:rsidR="00C77099" w:rsidRPr="00A7164C" w:rsidRDefault="00C77099" w:rsidP="00C77099">
      <w:pPr>
        <w:pStyle w:val="ListParagraph"/>
        <w:tabs>
          <w:tab w:val="left" w:pos="6345"/>
        </w:tabs>
        <w:ind w:left="567"/>
      </w:pPr>
    </w:p>
    <w:p w:rsidR="000D0C00" w:rsidRDefault="000D0C00" w:rsidP="00E733FD">
      <w:pPr>
        <w:pStyle w:val="ListParagraph"/>
        <w:numPr>
          <w:ilvl w:val="0"/>
          <w:numId w:val="1"/>
        </w:numPr>
      </w:pPr>
      <w:r w:rsidRPr="00A7164C">
        <w:t>the difference between the median hourly rate of pay of male full-pay relevant employees and that of female full-pay relevant employees;</w:t>
      </w:r>
    </w:p>
    <w:p w:rsidR="00C77099" w:rsidRPr="00A7164C" w:rsidRDefault="00C77099" w:rsidP="00C77099"/>
    <w:p w:rsidR="000D0C00" w:rsidRDefault="000D0C00" w:rsidP="00E733FD">
      <w:pPr>
        <w:pStyle w:val="ListParagraph"/>
        <w:numPr>
          <w:ilvl w:val="0"/>
          <w:numId w:val="1"/>
        </w:numPr>
      </w:pPr>
      <w:r w:rsidRPr="00A7164C">
        <w:t>the difference between the mean bonus pay paid to male relevant employees and that paid to female relevant employees;</w:t>
      </w:r>
    </w:p>
    <w:p w:rsidR="00C77099" w:rsidRPr="00A7164C" w:rsidRDefault="00C77099" w:rsidP="00C77099"/>
    <w:p w:rsidR="000D0C00" w:rsidRDefault="000D0C00" w:rsidP="00E733FD">
      <w:pPr>
        <w:pStyle w:val="ListParagraph"/>
        <w:numPr>
          <w:ilvl w:val="0"/>
          <w:numId w:val="1"/>
        </w:numPr>
      </w:pPr>
      <w:r w:rsidRPr="00A7164C">
        <w:t>the difference between the median bonus pay paid to male relevant employees and that paid to female relevant employees;</w:t>
      </w:r>
    </w:p>
    <w:p w:rsidR="00C77099" w:rsidRPr="00A7164C" w:rsidRDefault="00C77099" w:rsidP="00C77099"/>
    <w:p w:rsidR="000D0C00" w:rsidRDefault="000D0C00" w:rsidP="00E733FD">
      <w:pPr>
        <w:pStyle w:val="ListParagraph"/>
        <w:numPr>
          <w:ilvl w:val="0"/>
          <w:numId w:val="1"/>
        </w:numPr>
      </w:pPr>
      <w:r w:rsidRPr="00A7164C">
        <w:t>the proportions of male and female relevant employees who were paid bonus pay;</w:t>
      </w:r>
    </w:p>
    <w:p w:rsidR="00C77099" w:rsidRPr="00A7164C" w:rsidRDefault="00C77099" w:rsidP="00C77099"/>
    <w:p w:rsidR="000D0C00" w:rsidRDefault="000D0C00" w:rsidP="00E733FD">
      <w:pPr>
        <w:pStyle w:val="ListParagraph"/>
        <w:numPr>
          <w:ilvl w:val="0"/>
          <w:numId w:val="1"/>
        </w:numPr>
      </w:pPr>
      <w:r w:rsidRPr="00A7164C">
        <w:t>and the proportions of male and female full-pay relevan</w:t>
      </w:r>
      <w:r w:rsidR="005A07BA">
        <w:t>t employees in the lower, lower-</w:t>
      </w:r>
      <w:r w:rsidRPr="00A7164C">
        <w:t>middle, upper</w:t>
      </w:r>
      <w:r w:rsidR="005A07BA">
        <w:t>-</w:t>
      </w:r>
      <w:r w:rsidRPr="00A7164C">
        <w:t>middle and upper quartile pay bands.</w:t>
      </w:r>
    </w:p>
    <w:p w:rsidR="00C77099" w:rsidRPr="00A7164C" w:rsidRDefault="00C77099" w:rsidP="00C77099"/>
    <w:p w:rsidR="000D0C00" w:rsidRPr="00A7164C" w:rsidRDefault="000D0C00" w:rsidP="000D0C00">
      <w:pPr>
        <w:pStyle w:val="ListParagraph"/>
        <w:ind w:left="567"/>
      </w:pPr>
      <w:r w:rsidRPr="00A7164C">
        <w:t>(A “relevant employee” means a person who is employed on the snapshot date; whilst a “full-pay relevant employee” means a relevant employee who is not, during the relevant pay period, being paid at a reduced rate or nil as a result of the employee being on leave.)</w:t>
      </w:r>
    </w:p>
    <w:p w:rsidR="00202860" w:rsidRDefault="00202860" w:rsidP="00906F1C"/>
    <w:p w:rsidR="00CE419A" w:rsidRDefault="00CE419A">
      <w:pPr>
        <w:spacing w:after="200" w:line="276" w:lineRule="auto"/>
      </w:pPr>
      <w:r>
        <w:br w:type="page"/>
      </w:r>
    </w:p>
    <w:p w:rsidR="00B666A7" w:rsidRDefault="00B666A7" w:rsidP="00906F1C"/>
    <w:p w:rsidR="00CE419A" w:rsidRDefault="00CE419A" w:rsidP="00906F1C"/>
    <w:p w:rsidR="00CE419A" w:rsidRDefault="00CE419A" w:rsidP="00906F1C">
      <w:bookmarkStart w:id="1" w:name="_GoBack"/>
      <w:bookmarkEnd w:id="1"/>
    </w:p>
    <w:p w:rsidR="00CE419A" w:rsidRDefault="00CE419A" w:rsidP="00906F1C"/>
    <w:p w:rsidR="000D0C00" w:rsidRDefault="000D0C00" w:rsidP="00906F1C"/>
    <w:p w:rsidR="000D0C00" w:rsidRDefault="000D0C00" w:rsidP="000D0C00">
      <w:pPr>
        <w:pStyle w:val="Heading2"/>
        <w:rPr>
          <w:rFonts w:cs="Arial"/>
          <w:szCs w:val="24"/>
        </w:rPr>
      </w:pPr>
      <w:r>
        <w:t>Leicestershire Partnership NHS Trust’s workforce</w:t>
      </w:r>
      <w:r w:rsidR="00202860">
        <w:t xml:space="preserve"> at March 201</w:t>
      </w:r>
      <w:r w:rsidR="005608A1">
        <w:t>9</w:t>
      </w:r>
    </w:p>
    <w:p w:rsidR="000D0C00" w:rsidRDefault="000D0C00" w:rsidP="00906F1C"/>
    <w:p w:rsidR="00B3503A" w:rsidRDefault="00B3503A" w:rsidP="000D0C00">
      <w:pPr>
        <w:rPr>
          <w:rFonts w:cs="Arial"/>
        </w:rPr>
      </w:pPr>
      <w:r w:rsidRPr="00A7164C">
        <w:rPr>
          <w:rFonts w:cs="Arial"/>
        </w:rPr>
        <w:t>Leicestershire Partnership NHS Trust (LPT) provides mental health, learning disability, and community health services to the population of Leicester, Leicestershire, and Rutland (mid-year population estimate at June 201</w:t>
      </w:r>
      <w:r w:rsidR="001A4160">
        <w:rPr>
          <w:rFonts w:cs="Arial"/>
        </w:rPr>
        <w:t>8</w:t>
      </w:r>
      <w:r w:rsidRPr="00A7164C">
        <w:rPr>
          <w:rFonts w:cs="Arial"/>
        </w:rPr>
        <w:t xml:space="preserve">: </w:t>
      </w:r>
      <w:r w:rsidR="001A4160">
        <w:rPr>
          <w:rFonts w:cs="Arial"/>
        </w:rPr>
        <w:t>1,09</w:t>
      </w:r>
      <w:r w:rsidR="005608A1" w:rsidRPr="005608A1">
        <w:rPr>
          <w:rFonts w:cs="Arial"/>
        </w:rPr>
        <w:t>3,</w:t>
      </w:r>
      <w:r w:rsidR="001A4160">
        <w:rPr>
          <w:rFonts w:cs="Arial"/>
        </w:rPr>
        <w:t>183</w:t>
      </w:r>
      <w:r w:rsidRPr="00A7164C">
        <w:rPr>
          <w:rFonts w:cs="Arial"/>
        </w:rPr>
        <w:t>).</w:t>
      </w:r>
      <w:r>
        <w:rPr>
          <w:rFonts w:cs="Arial"/>
        </w:rPr>
        <w:t xml:space="preserve">  </w:t>
      </w:r>
      <w:r w:rsidR="00D749EE">
        <w:rPr>
          <w:rFonts w:cs="Arial"/>
        </w:rPr>
        <w:t>At the end of March 201</w:t>
      </w:r>
      <w:r w:rsidR="005608A1">
        <w:rPr>
          <w:rFonts w:cs="Arial"/>
        </w:rPr>
        <w:t>9</w:t>
      </w:r>
      <w:r w:rsidRPr="00A7164C">
        <w:rPr>
          <w:rFonts w:cs="Arial"/>
        </w:rPr>
        <w:t>, LPT had a workforce of 6</w:t>
      </w:r>
      <w:r w:rsidR="00D749EE">
        <w:rPr>
          <w:rFonts w:cs="Arial"/>
        </w:rPr>
        <w:t>6</w:t>
      </w:r>
      <w:r w:rsidR="005608A1">
        <w:rPr>
          <w:rFonts w:cs="Arial"/>
        </w:rPr>
        <w:t>99</w:t>
      </w:r>
      <w:r w:rsidR="00D749EE">
        <w:rPr>
          <w:rFonts w:cs="Arial"/>
        </w:rPr>
        <w:t xml:space="preserve"> relevant employees (8</w:t>
      </w:r>
      <w:r w:rsidR="009530AE">
        <w:rPr>
          <w:rFonts w:cs="Arial"/>
        </w:rPr>
        <w:t>2</w:t>
      </w:r>
      <w:r w:rsidR="00D749EE">
        <w:rPr>
          <w:rFonts w:cs="Arial"/>
        </w:rPr>
        <w:t>.</w:t>
      </w:r>
      <w:r w:rsidR="009530AE">
        <w:rPr>
          <w:rFonts w:cs="Arial"/>
        </w:rPr>
        <w:t>3</w:t>
      </w:r>
      <w:r w:rsidR="00D749EE">
        <w:rPr>
          <w:rFonts w:cs="Arial"/>
        </w:rPr>
        <w:t>% female, 1</w:t>
      </w:r>
      <w:r w:rsidR="009530AE">
        <w:rPr>
          <w:rFonts w:cs="Arial"/>
        </w:rPr>
        <w:t>7</w:t>
      </w:r>
      <w:r w:rsidR="00D749EE">
        <w:rPr>
          <w:rFonts w:cs="Arial"/>
        </w:rPr>
        <w:t>.</w:t>
      </w:r>
      <w:r w:rsidR="009530AE">
        <w:rPr>
          <w:rFonts w:cs="Arial"/>
        </w:rPr>
        <w:t>7</w:t>
      </w:r>
      <w:r w:rsidRPr="00A7164C">
        <w:rPr>
          <w:rFonts w:cs="Arial"/>
        </w:rPr>
        <w:t>% male) of which 5</w:t>
      </w:r>
      <w:r w:rsidR="009530AE">
        <w:rPr>
          <w:rFonts w:cs="Arial"/>
        </w:rPr>
        <w:t>746</w:t>
      </w:r>
      <w:r w:rsidRPr="00A7164C">
        <w:rPr>
          <w:rFonts w:cs="Arial"/>
        </w:rPr>
        <w:t xml:space="preserve"> were </w:t>
      </w:r>
      <w:r w:rsidR="00FF6EEC">
        <w:rPr>
          <w:rFonts w:cs="Arial"/>
        </w:rPr>
        <w:t>full-pay</w:t>
      </w:r>
      <w:r w:rsidR="00D749EE">
        <w:rPr>
          <w:rFonts w:cs="Arial"/>
        </w:rPr>
        <w:t xml:space="preserve"> relevant employees (82.</w:t>
      </w:r>
      <w:r w:rsidR="009530AE">
        <w:rPr>
          <w:rFonts w:cs="Arial"/>
        </w:rPr>
        <w:t>2</w:t>
      </w:r>
      <w:r w:rsidR="00D749EE">
        <w:rPr>
          <w:rFonts w:cs="Arial"/>
        </w:rPr>
        <w:t>% female, 17.</w:t>
      </w:r>
      <w:r w:rsidR="009530AE">
        <w:rPr>
          <w:rFonts w:cs="Arial"/>
        </w:rPr>
        <w:t>8</w:t>
      </w:r>
      <w:r w:rsidRPr="00A7164C">
        <w:rPr>
          <w:rFonts w:cs="Arial"/>
        </w:rPr>
        <w:t>% male).</w:t>
      </w:r>
    </w:p>
    <w:p w:rsidR="005008B0" w:rsidRDefault="005008B0" w:rsidP="000D0C00">
      <w:pPr>
        <w:rPr>
          <w:rFonts w:cs="Arial"/>
        </w:rPr>
      </w:pPr>
    </w:p>
    <w:p w:rsidR="006145BC" w:rsidRDefault="00B3503A" w:rsidP="000D0C00">
      <w:pPr>
        <w:rPr>
          <w:rFonts w:cs="Arial"/>
        </w:rPr>
      </w:pPr>
      <w:r w:rsidRPr="00A7164C">
        <w:rPr>
          <w:rFonts w:cs="Arial"/>
        </w:rPr>
        <w:t xml:space="preserve">LPT’s workforce </w:t>
      </w:r>
      <w:r w:rsidR="000A7A57">
        <w:rPr>
          <w:rFonts w:cs="Arial"/>
        </w:rPr>
        <w:t>(</w:t>
      </w:r>
      <w:r w:rsidR="00FF6EEC">
        <w:rPr>
          <w:rFonts w:cs="Arial"/>
        </w:rPr>
        <w:t>full-pay</w:t>
      </w:r>
      <w:r w:rsidR="000A7A57">
        <w:rPr>
          <w:rFonts w:cs="Arial"/>
        </w:rPr>
        <w:t xml:space="preserve"> relevant employees) </w:t>
      </w:r>
      <w:r w:rsidRPr="00A7164C">
        <w:rPr>
          <w:rFonts w:cs="Arial"/>
        </w:rPr>
        <w:t>encompassed a variety of job roles</w:t>
      </w:r>
      <w:r w:rsidR="005F5413">
        <w:rPr>
          <w:rFonts w:cs="Arial"/>
        </w:rPr>
        <w:t xml:space="preserve">: </w:t>
      </w:r>
      <w:r w:rsidR="003419A3">
        <w:rPr>
          <w:rFonts w:cs="Arial"/>
        </w:rPr>
        <w:t>Ad</w:t>
      </w:r>
      <w:r w:rsidR="001E4460">
        <w:rPr>
          <w:rFonts w:cs="Arial"/>
        </w:rPr>
        <w:t>ditional Clinical Services (2</w:t>
      </w:r>
      <w:r w:rsidR="00206A91">
        <w:rPr>
          <w:rFonts w:cs="Arial"/>
        </w:rPr>
        <w:t>6</w:t>
      </w:r>
      <w:r w:rsidR="001E4460">
        <w:rPr>
          <w:rFonts w:cs="Arial"/>
        </w:rPr>
        <w:t>.7</w:t>
      </w:r>
      <w:r w:rsidR="005F5413" w:rsidRPr="005F5413">
        <w:rPr>
          <w:rFonts w:cs="Arial"/>
        </w:rPr>
        <w:t>%), Additional Professional Scientific and Tech</w:t>
      </w:r>
      <w:r w:rsidR="003419A3">
        <w:rPr>
          <w:rFonts w:cs="Arial"/>
        </w:rPr>
        <w:t>nical / Healthcare Scientists (</w:t>
      </w:r>
      <w:r w:rsidR="001E4460">
        <w:rPr>
          <w:rFonts w:cs="Arial"/>
        </w:rPr>
        <w:t>3.</w:t>
      </w:r>
      <w:r w:rsidR="00206A91">
        <w:rPr>
          <w:rFonts w:cs="Arial"/>
        </w:rPr>
        <w:t>3</w:t>
      </w:r>
      <w:r w:rsidR="005F5413" w:rsidRPr="005F5413">
        <w:rPr>
          <w:rFonts w:cs="Arial"/>
        </w:rPr>
        <w:t>%), Administrative and Clerical / Estates and Ancillary (2</w:t>
      </w:r>
      <w:r w:rsidR="00206A91">
        <w:rPr>
          <w:rFonts w:cs="Arial"/>
        </w:rPr>
        <w:t>5</w:t>
      </w:r>
      <w:r w:rsidR="001E4460">
        <w:rPr>
          <w:rFonts w:cs="Arial"/>
        </w:rPr>
        <w:t>.</w:t>
      </w:r>
      <w:r w:rsidR="00206A91">
        <w:rPr>
          <w:rFonts w:cs="Arial"/>
        </w:rPr>
        <w:t>0</w:t>
      </w:r>
      <w:r w:rsidR="005F5413" w:rsidRPr="005F5413">
        <w:rPr>
          <w:rFonts w:cs="Arial"/>
        </w:rPr>
        <w:t>%), Allied Health Professionals (10</w:t>
      </w:r>
      <w:r w:rsidR="001E4460">
        <w:rPr>
          <w:rFonts w:cs="Arial"/>
        </w:rPr>
        <w:t>.3%), Medical (3.</w:t>
      </w:r>
      <w:r w:rsidR="00206A91">
        <w:rPr>
          <w:rFonts w:cs="Arial"/>
        </w:rPr>
        <w:t>3</w:t>
      </w:r>
      <w:r w:rsidR="005F5413" w:rsidRPr="005F5413">
        <w:rPr>
          <w:rFonts w:cs="Arial"/>
        </w:rPr>
        <w:t xml:space="preserve">%), </w:t>
      </w:r>
      <w:r w:rsidR="00CE419A">
        <w:rPr>
          <w:rFonts w:cs="Arial"/>
        </w:rPr>
        <w:t xml:space="preserve">and </w:t>
      </w:r>
      <w:r w:rsidR="005F5413" w:rsidRPr="005F5413">
        <w:rPr>
          <w:rFonts w:cs="Arial"/>
        </w:rPr>
        <w:t>Registered Nurse</w:t>
      </w:r>
      <w:r w:rsidR="001E4460">
        <w:rPr>
          <w:rFonts w:cs="Arial"/>
        </w:rPr>
        <w:t>s (3</w:t>
      </w:r>
      <w:r w:rsidR="00206A91">
        <w:rPr>
          <w:rFonts w:cs="Arial"/>
        </w:rPr>
        <w:t>1</w:t>
      </w:r>
      <w:r w:rsidR="001E4460">
        <w:rPr>
          <w:rFonts w:cs="Arial"/>
        </w:rPr>
        <w:t>.</w:t>
      </w:r>
      <w:r w:rsidR="00206A91">
        <w:rPr>
          <w:rFonts w:cs="Arial"/>
        </w:rPr>
        <w:t>4</w:t>
      </w:r>
      <w:r w:rsidR="005F5413" w:rsidRPr="005F5413">
        <w:rPr>
          <w:rFonts w:cs="Arial"/>
        </w:rPr>
        <w:t>%)</w:t>
      </w:r>
      <w:r w:rsidR="00206A91">
        <w:rPr>
          <w:rFonts w:cs="Arial"/>
        </w:rPr>
        <w:t>.  M</w:t>
      </w:r>
      <w:r w:rsidR="003419A3">
        <w:rPr>
          <w:rFonts w:cs="Arial"/>
        </w:rPr>
        <w:t xml:space="preserve">en </w:t>
      </w:r>
      <w:r w:rsidR="00CE419A">
        <w:rPr>
          <w:rFonts w:cs="Arial"/>
        </w:rPr>
        <w:t xml:space="preserve">were </w:t>
      </w:r>
      <w:r w:rsidR="003419A3">
        <w:rPr>
          <w:rFonts w:cs="Arial"/>
        </w:rPr>
        <w:t xml:space="preserve">overrepresented in </w:t>
      </w:r>
      <w:r w:rsidR="00686487">
        <w:rPr>
          <w:rFonts w:cs="Arial"/>
        </w:rPr>
        <w:t xml:space="preserve">Administrative </w:t>
      </w:r>
      <w:r w:rsidR="005A07BA">
        <w:rPr>
          <w:rFonts w:cs="Arial"/>
        </w:rPr>
        <w:t xml:space="preserve">and Clerical roles </w:t>
      </w:r>
      <w:r w:rsidR="00686487">
        <w:rPr>
          <w:rFonts w:cs="Arial"/>
        </w:rPr>
        <w:t xml:space="preserve">and </w:t>
      </w:r>
      <w:r w:rsidR="005A07BA">
        <w:rPr>
          <w:rFonts w:cs="Arial"/>
        </w:rPr>
        <w:t xml:space="preserve">in </w:t>
      </w:r>
      <w:r w:rsidR="003419A3">
        <w:rPr>
          <w:rFonts w:cs="Arial"/>
        </w:rPr>
        <w:t>Medical roles (</w:t>
      </w:r>
      <w:r w:rsidR="00D172ED">
        <w:rPr>
          <w:rFonts w:cs="Arial"/>
        </w:rPr>
        <w:t>23.</w:t>
      </w:r>
      <w:r w:rsidR="00206A91">
        <w:rPr>
          <w:rFonts w:cs="Arial"/>
        </w:rPr>
        <w:t>4</w:t>
      </w:r>
      <w:r w:rsidR="00686487">
        <w:rPr>
          <w:rFonts w:cs="Arial"/>
        </w:rPr>
        <w:t xml:space="preserve">% male and </w:t>
      </w:r>
      <w:r w:rsidR="00D172ED">
        <w:rPr>
          <w:rFonts w:cs="Arial"/>
        </w:rPr>
        <w:t>4</w:t>
      </w:r>
      <w:r w:rsidR="00206A91">
        <w:rPr>
          <w:rFonts w:cs="Arial"/>
        </w:rPr>
        <w:t>6</w:t>
      </w:r>
      <w:r w:rsidR="00C77099">
        <w:rPr>
          <w:rFonts w:cs="Arial"/>
        </w:rPr>
        <w:t>.</w:t>
      </w:r>
      <w:r w:rsidR="00206A91">
        <w:rPr>
          <w:rFonts w:cs="Arial"/>
        </w:rPr>
        <w:t>8</w:t>
      </w:r>
      <w:r w:rsidR="00C77099">
        <w:rPr>
          <w:rFonts w:cs="Arial"/>
        </w:rPr>
        <w:t>% male, respectively)</w:t>
      </w:r>
      <w:r w:rsidR="002B6EA1">
        <w:rPr>
          <w:rFonts w:cs="Arial"/>
        </w:rPr>
        <w:t xml:space="preserve">; </w:t>
      </w:r>
      <w:r w:rsidR="00CE419A">
        <w:rPr>
          <w:rFonts w:cs="Arial"/>
        </w:rPr>
        <w:t xml:space="preserve">whilst </w:t>
      </w:r>
      <w:r w:rsidR="00206A91">
        <w:rPr>
          <w:rFonts w:cs="Arial"/>
        </w:rPr>
        <w:t xml:space="preserve">men were underrepresented in Allied Health Professional </w:t>
      </w:r>
      <w:r w:rsidR="005A07BA">
        <w:rPr>
          <w:rFonts w:cs="Arial"/>
        </w:rPr>
        <w:t xml:space="preserve">roles </w:t>
      </w:r>
      <w:r w:rsidR="00206A91">
        <w:rPr>
          <w:rFonts w:cs="Arial"/>
        </w:rPr>
        <w:t xml:space="preserve">and </w:t>
      </w:r>
      <w:r w:rsidR="005A07BA">
        <w:rPr>
          <w:rFonts w:cs="Arial"/>
        </w:rPr>
        <w:t xml:space="preserve">in </w:t>
      </w:r>
      <w:r w:rsidR="00206A91">
        <w:rPr>
          <w:rFonts w:cs="Arial"/>
        </w:rPr>
        <w:t>Registered Nursing roles (13.0% male and 13.5% male, respectively)</w:t>
      </w:r>
      <w:r w:rsidR="00C77099">
        <w:rPr>
          <w:rFonts w:cs="Arial"/>
        </w:rPr>
        <w:t xml:space="preserve">.  </w:t>
      </w:r>
      <w:r w:rsidR="003419A3" w:rsidRPr="003419A3">
        <w:rPr>
          <w:rFonts w:cs="Arial"/>
        </w:rPr>
        <w:t>Nearly half of the workforce worked part time</w:t>
      </w:r>
      <w:r w:rsidR="003419A3">
        <w:rPr>
          <w:rFonts w:cs="Arial"/>
        </w:rPr>
        <w:t xml:space="preserve"> </w:t>
      </w:r>
      <w:r w:rsidR="00D172ED">
        <w:rPr>
          <w:rFonts w:cs="Arial"/>
        </w:rPr>
        <w:t>(4</w:t>
      </w:r>
      <w:r w:rsidR="00206A91">
        <w:rPr>
          <w:rFonts w:cs="Arial"/>
        </w:rPr>
        <w:t>8.2</w:t>
      </w:r>
      <w:r w:rsidR="003419A3" w:rsidRPr="003419A3">
        <w:rPr>
          <w:rFonts w:cs="Arial"/>
        </w:rPr>
        <w:t>%), with women more likely to work part time than men (52</w:t>
      </w:r>
      <w:r w:rsidR="003419A3">
        <w:rPr>
          <w:rFonts w:cs="Arial"/>
        </w:rPr>
        <w:t>.</w:t>
      </w:r>
      <w:r w:rsidR="00206A91">
        <w:rPr>
          <w:rFonts w:cs="Arial"/>
        </w:rPr>
        <w:t>9</w:t>
      </w:r>
      <w:r w:rsidR="00D172ED">
        <w:rPr>
          <w:rFonts w:cs="Arial"/>
        </w:rPr>
        <w:t>% vs 2</w:t>
      </w:r>
      <w:r w:rsidR="00206A91">
        <w:rPr>
          <w:rFonts w:cs="Arial"/>
        </w:rPr>
        <w:t>6</w:t>
      </w:r>
      <w:r w:rsidR="00D172ED">
        <w:rPr>
          <w:rFonts w:cs="Arial"/>
        </w:rPr>
        <w:t>.</w:t>
      </w:r>
      <w:r w:rsidR="00206A91">
        <w:rPr>
          <w:rFonts w:cs="Arial"/>
        </w:rPr>
        <w:t>3</w:t>
      </w:r>
      <w:r w:rsidR="003419A3" w:rsidRPr="003419A3">
        <w:rPr>
          <w:rFonts w:cs="Arial"/>
        </w:rPr>
        <w:t>%).</w:t>
      </w:r>
    </w:p>
    <w:p w:rsidR="00CE419A" w:rsidRDefault="00CE419A" w:rsidP="00DC30C1">
      <w:pPr>
        <w:pStyle w:val="ListParagraph"/>
        <w:ind w:left="0"/>
        <w:rPr>
          <w:rFonts w:cs="Arial"/>
        </w:rPr>
      </w:pPr>
    </w:p>
    <w:p w:rsidR="00686F9A" w:rsidRDefault="00A671B1" w:rsidP="00DC30C1">
      <w:pPr>
        <w:pStyle w:val="ListParagraph"/>
        <w:ind w:left="0"/>
        <w:rPr>
          <w:rFonts w:cs="Arial"/>
        </w:rPr>
      </w:pPr>
      <w:r>
        <w:rPr>
          <w:rFonts w:cs="Arial"/>
        </w:rPr>
        <w:t>The levels of pay for jobs within the NHS are set according to a</w:t>
      </w:r>
      <w:r w:rsidR="00DB00F5">
        <w:rPr>
          <w:rFonts w:cs="Arial"/>
        </w:rPr>
        <w:t xml:space="preserve"> </w:t>
      </w:r>
      <w:r w:rsidR="007649AC">
        <w:rPr>
          <w:rFonts w:cs="Arial"/>
        </w:rPr>
        <w:t>n</w:t>
      </w:r>
      <w:r w:rsidR="00DB00F5">
        <w:rPr>
          <w:rFonts w:cs="Arial"/>
        </w:rPr>
        <w:t>ational</w:t>
      </w:r>
      <w:r w:rsidR="007649AC">
        <w:rPr>
          <w:rFonts w:cs="Arial"/>
        </w:rPr>
        <w:t xml:space="preserve"> </w:t>
      </w:r>
      <w:r>
        <w:rPr>
          <w:rFonts w:cs="Arial"/>
        </w:rPr>
        <w:t xml:space="preserve">agreement called </w:t>
      </w:r>
      <w:r w:rsidR="007649AC">
        <w:rPr>
          <w:rFonts w:cs="Arial"/>
        </w:rPr>
        <w:t xml:space="preserve">the </w:t>
      </w:r>
      <w:r>
        <w:rPr>
          <w:rFonts w:cs="Arial"/>
        </w:rPr>
        <w:t>Agenda for Change (</w:t>
      </w:r>
      <w:r w:rsidR="007649AC">
        <w:rPr>
          <w:rFonts w:cs="Arial"/>
        </w:rPr>
        <w:t xml:space="preserve">which applies to all </w:t>
      </w:r>
      <w:r w:rsidR="00C77099">
        <w:rPr>
          <w:rFonts w:cs="Arial"/>
        </w:rPr>
        <w:t>except</w:t>
      </w:r>
      <w:r>
        <w:rPr>
          <w:rFonts w:cs="Arial"/>
        </w:rPr>
        <w:t xml:space="preserve"> </w:t>
      </w:r>
      <w:r w:rsidR="00C77099">
        <w:rPr>
          <w:rFonts w:cs="Arial"/>
        </w:rPr>
        <w:t>very senior managers, VSM, and medics)</w:t>
      </w:r>
      <w:r>
        <w:rPr>
          <w:rFonts w:cs="Arial"/>
        </w:rPr>
        <w:t>.</w:t>
      </w:r>
      <w:r w:rsidR="007649AC">
        <w:rPr>
          <w:rFonts w:cs="Arial"/>
        </w:rPr>
        <w:t xml:space="preserve">  Individual jobs are assigned an Agenda for Change pay band based on the </w:t>
      </w:r>
      <w:r w:rsidR="00F970D1">
        <w:rPr>
          <w:rFonts w:cs="Arial"/>
        </w:rPr>
        <w:t xml:space="preserve">levels of </w:t>
      </w:r>
      <w:r w:rsidR="007649AC">
        <w:rPr>
          <w:rFonts w:cs="Arial"/>
        </w:rPr>
        <w:t xml:space="preserve">responsibility and expertise required, as evaluated against criteria in national job profiles.  The chart </w:t>
      </w:r>
      <w:r w:rsidR="00D007F1">
        <w:rPr>
          <w:rFonts w:cs="Arial"/>
        </w:rPr>
        <w:t>on the next page</w:t>
      </w:r>
      <w:r w:rsidR="007649AC">
        <w:rPr>
          <w:rFonts w:cs="Arial"/>
        </w:rPr>
        <w:t xml:space="preserve"> illustrates the gender profile of LPT’s workforce (full-pay relevant </w:t>
      </w:r>
      <w:r w:rsidR="004D729C">
        <w:rPr>
          <w:rFonts w:cs="Arial"/>
        </w:rPr>
        <w:t>employees</w:t>
      </w:r>
      <w:r w:rsidR="00C856F3">
        <w:rPr>
          <w:rFonts w:cs="Arial"/>
        </w:rPr>
        <w:t xml:space="preserve"> at M</w:t>
      </w:r>
      <w:r w:rsidR="00D007F1">
        <w:rPr>
          <w:rFonts w:cs="Arial"/>
        </w:rPr>
        <w:t>arch 2019</w:t>
      </w:r>
      <w:r w:rsidR="004D729C">
        <w:rPr>
          <w:rFonts w:cs="Arial"/>
        </w:rPr>
        <w:t>) by pay band</w:t>
      </w:r>
      <w:r w:rsidR="00085B24">
        <w:rPr>
          <w:rFonts w:cs="Arial"/>
        </w:rPr>
        <w:t xml:space="preserve"> and working pattern (full-time or part-</w:t>
      </w:r>
      <w:r w:rsidR="00A6650D">
        <w:rPr>
          <w:rFonts w:cs="Arial"/>
        </w:rPr>
        <w:t>time)</w:t>
      </w:r>
      <w:r w:rsidR="004D729C">
        <w:rPr>
          <w:rFonts w:cs="Arial"/>
        </w:rPr>
        <w:t>, for non-</w:t>
      </w:r>
      <w:r w:rsidR="007649AC">
        <w:rPr>
          <w:rFonts w:cs="Arial"/>
        </w:rPr>
        <w:t xml:space="preserve">clinical </w:t>
      </w:r>
      <w:r w:rsidR="004D729C">
        <w:rPr>
          <w:rFonts w:cs="Arial"/>
        </w:rPr>
        <w:t xml:space="preserve">and clinical </w:t>
      </w:r>
      <w:r w:rsidR="00DC30C1">
        <w:rPr>
          <w:rFonts w:cs="Arial"/>
        </w:rPr>
        <w:t xml:space="preserve">staff.  </w:t>
      </w:r>
      <w:r>
        <w:t xml:space="preserve">Broadly, </w:t>
      </w:r>
      <w:r w:rsidRPr="005F5413">
        <w:rPr>
          <w:rFonts w:cs="Arial"/>
        </w:rPr>
        <w:t>Administ</w:t>
      </w:r>
      <w:r w:rsidR="00350352">
        <w:rPr>
          <w:rFonts w:cs="Arial"/>
        </w:rPr>
        <w:t xml:space="preserve">rative and Clerical, and, </w:t>
      </w:r>
      <w:r w:rsidRPr="005F5413">
        <w:rPr>
          <w:rFonts w:cs="Arial"/>
        </w:rPr>
        <w:t>Estates and Ancillary</w:t>
      </w:r>
      <w:r w:rsidR="004D729C">
        <w:rPr>
          <w:rFonts w:cs="Arial"/>
        </w:rPr>
        <w:t xml:space="preserve"> staff are referred to as non-</w:t>
      </w:r>
      <w:r>
        <w:rPr>
          <w:rFonts w:cs="Arial"/>
        </w:rPr>
        <w:t>clinical</w:t>
      </w:r>
      <w:r w:rsidR="00085B24">
        <w:rPr>
          <w:rFonts w:cs="Arial"/>
        </w:rPr>
        <w:t xml:space="preserve"> staff</w:t>
      </w:r>
      <w:r>
        <w:rPr>
          <w:rFonts w:cs="Arial"/>
        </w:rPr>
        <w:t>, whilst all other</w:t>
      </w:r>
      <w:r w:rsidR="00DC30C1">
        <w:rPr>
          <w:rFonts w:cs="Arial"/>
        </w:rPr>
        <w:t xml:space="preserve"> groups </w:t>
      </w:r>
      <w:r>
        <w:rPr>
          <w:rFonts w:cs="Arial"/>
        </w:rPr>
        <w:t>of staff</w:t>
      </w:r>
      <w:r w:rsidR="00DC30C1">
        <w:rPr>
          <w:rFonts w:cs="Arial"/>
        </w:rPr>
        <w:t>, including Nurses, Additional Clinical Services, and Medics,</w:t>
      </w:r>
      <w:r>
        <w:rPr>
          <w:rFonts w:cs="Arial"/>
        </w:rPr>
        <w:t xml:space="preserve"> are referred to as clinical</w:t>
      </w:r>
      <w:r w:rsidR="00085B24">
        <w:rPr>
          <w:rFonts w:cs="Arial"/>
        </w:rPr>
        <w:t xml:space="preserve"> staff</w:t>
      </w:r>
      <w:r>
        <w:rPr>
          <w:rFonts w:cs="Arial"/>
        </w:rPr>
        <w:t>.</w:t>
      </w:r>
      <w:r w:rsidR="005145BF">
        <w:rPr>
          <w:rFonts w:cs="Arial"/>
        </w:rPr>
        <w:t xml:space="preserve">  (The chart is given first as a graphical summary and then as a plain text list.)</w:t>
      </w:r>
    </w:p>
    <w:p w:rsidR="00686F9A" w:rsidRDefault="00686F9A" w:rsidP="00DC30C1">
      <w:pPr>
        <w:pStyle w:val="ListParagraph"/>
        <w:ind w:left="0"/>
        <w:rPr>
          <w:rFonts w:cs="Arial"/>
        </w:rPr>
      </w:pPr>
    </w:p>
    <w:p w:rsidR="00686F9A" w:rsidRDefault="00686F9A" w:rsidP="00686F9A">
      <w:pPr>
        <w:pStyle w:val="ListParagraph"/>
        <w:ind w:left="0"/>
      </w:pPr>
      <w:r>
        <w:t>There was a trend amongst non-c</w:t>
      </w:r>
      <w:r w:rsidRPr="003144A2">
        <w:t>linical</w:t>
      </w:r>
      <w:r>
        <w:t xml:space="preserve"> staff </w:t>
      </w:r>
      <w:r w:rsidRPr="003144A2">
        <w:t>for the proportion of women</w:t>
      </w:r>
      <w:r>
        <w:t xml:space="preserve"> </w:t>
      </w:r>
      <w:r w:rsidRPr="003144A2">
        <w:t>to fall with increasing pay band, with especiall</w:t>
      </w:r>
      <w:r>
        <w:t>y high proportions of women at non-clinical b</w:t>
      </w:r>
      <w:r w:rsidRPr="003144A2">
        <w:t xml:space="preserve">ands 2 to 4 </w:t>
      </w:r>
      <w:r>
        <w:t xml:space="preserve">(84% of 922 staff) </w:t>
      </w:r>
      <w:r w:rsidRPr="003144A2">
        <w:t>and a marked drop in the propo</w:t>
      </w:r>
      <w:r>
        <w:t>rtion of women at non-c</w:t>
      </w:r>
      <w:r w:rsidRPr="003144A2">
        <w:t xml:space="preserve">linical </w:t>
      </w:r>
      <w:r>
        <w:t xml:space="preserve">band </w:t>
      </w:r>
      <w:r w:rsidRPr="003144A2">
        <w:t>5</w:t>
      </w:r>
      <w:r>
        <w:t xml:space="preserve"> and above (63% of 518 staff)</w:t>
      </w:r>
      <w:r w:rsidRPr="003144A2">
        <w:t>.</w:t>
      </w:r>
      <w:r>
        <w:t xml:space="preserve">  For clinical staff outside of medicine (largely Additional Clinical Service staff at bands 4 and under and registered Nurses at bands 5 and above) women were well represented at all levels (86% of 4118 staff across all clinical roles outside of medicine).  Meanwhile, women were underrepresented in Medical roles (53% of 188 staff).</w:t>
      </w:r>
    </w:p>
    <w:p w:rsidR="00686F9A" w:rsidRDefault="00686F9A" w:rsidP="00686F9A">
      <w:pPr>
        <w:pStyle w:val="ListParagraph"/>
        <w:ind w:left="0"/>
      </w:pPr>
    </w:p>
    <w:p w:rsidR="00686F9A" w:rsidRDefault="00686F9A" w:rsidP="00DC30C1">
      <w:pPr>
        <w:pStyle w:val="ListParagraph"/>
        <w:ind w:left="0"/>
      </w:pPr>
      <w:r>
        <w:t xml:space="preserve">There was an association between part time working and the distribution of women within the workforce.  In non-clinical roles, part-time working was common up to and including band 4 (52% of 922 staff), but became less common at band 5 and above (24% of 518 staff) – the same point at which the representation of women dropped.  In clinical roles outside of medicine, the proportion of part time workers remains high at all levels (51% of 4118 staff), with women well represented at all levels, too.  Meanwhile, in medical roles, part-time working was less common (29% of 188 staff), </w:t>
      </w:r>
      <w:r w:rsidR="00F57DDC">
        <w:t>with women underrepresented in M</w:t>
      </w:r>
      <w:r>
        <w:t>edical roles.</w:t>
      </w:r>
    </w:p>
    <w:p w:rsidR="008F7A92" w:rsidRDefault="008F7A92" w:rsidP="00DC30C1">
      <w:pPr>
        <w:pStyle w:val="ListParagraph"/>
        <w:ind w:left="0"/>
        <w:rPr>
          <w:rFonts w:cs="Arial"/>
        </w:rPr>
      </w:pPr>
    </w:p>
    <w:p w:rsidR="00686F9A" w:rsidRDefault="00686F9A" w:rsidP="00DC30C1">
      <w:pPr>
        <w:pStyle w:val="ListParagraph"/>
        <w:ind w:left="0"/>
        <w:rPr>
          <w:rFonts w:cs="Arial"/>
        </w:rPr>
      </w:pPr>
    </w:p>
    <w:p w:rsidR="00686F9A" w:rsidRDefault="00686F9A" w:rsidP="00DC30C1">
      <w:pPr>
        <w:pStyle w:val="ListParagraph"/>
        <w:ind w:left="0"/>
        <w:rPr>
          <w:rFonts w:cs="Arial"/>
        </w:rPr>
      </w:pPr>
    </w:p>
    <w:p w:rsidR="00686F9A" w:rsidRDefault="00686F9A" w:rsidP="00DC30C1">
      <w:pPr>
        <w:pStyle w:val="ListParagraph"/>
        <w:ind w:left="0"/>
        <w:rPr>
          <w:rFonts w:cs="Arial"/>
        </w:rPr>
      </w:pPr>
    </w:p>
    <w:p w:rsidR="00686F9A" w:rsidRDefault="00686F9A" w:rsidP="00DC30C1">
      <w:pPr>
        <w:pStyle w:val="ListParagraph"/>
        <w:ind w:left="0"/>
        <w:rPr>
          <w:rFonts w:cs="Arial"/>
        </w:rPr>
      </w:pPr>
    </w:p>
    <w:p w:rsidR="00686F9A" w:rsidRDefault="00686F9A" w:rsidP="00DC30C1">
      <w:pPr>
        <w:pStyle w:val="ListParagraph"/>
        <w:ind w:left="0"/>
        <w:rPr>
          <w:rFonts w:cs="Arial"/>
        </w:rPr>
      </w:pPr>
    </w:p>
    <w:p w:rsidR="00686F9A" w:rsidRDefault="00686F9A" w:rsidP="00DC30C1">
      <w:pPr>
        <w:pStyle w:val="ListParagraph"/>
        <w:ind w:left="0"/>
        <w:rPr>
          <w:rFonts w:cs="Arial"/>
        </w:rPr>
      </w:pPr>
    </w:p>
    <w:p w:rsidR="00686F9A" w:rsidRDefault="00686F9A" w:rsidP="00DC30C1">
      <w:pPr>
        <w:pStyle w:val="ListParagraph"/>
        <w:ind w:left="0"/>
        <w:rPr>
          <w:rFonts w:cs="Arial"/>
        </w:rPr>
      </w:pPr>
    </w:p>
    <w:p w:rsidR="00686F9A" w:rsidRDefault="00686F9A" w:rsidP="00DC30C1">
      <w:pPr>
        <w:pStyle w:val="ListParagraph"/>
        <w:ind w:left="0"/>
        <w:rPr>
          <w:rFonts w:cs="Arial"/>
        </w:rPr>
      </w:pPr>
    </w:p>
    <w:p w:rsidR="00686F9A" w:rsidRDefault="00686F9A" w:rsidP="00DC30C1">
      <w:pPr>
        <w:pStyle w:val="ListParagraph"/>
        <w:ind w:left="0"/>
        <w:rPr>
          <w:rFonts w:cs="Arial"/>
        </w:rPr>
      </w:pPr>
    </w:p>
    <w:p w:rsidR="003443F0" w:rsidRDefault="003443F0" w:rsidP="00DC30C1">
      <w:pPr>
        <w:pStyle w:val="ListParagraph"/>
        <w:ind w:left="0"/>
        <w:rPr>
          <w:rFonts w:cs="Arial"/>
        </w:rPr>
      </w:pPr>
      <w:r>
        <w:rPr>
          <w:noProof/>
          <w:lang w:eastAsia="en-GB"/>
        </w:rPr>
        <w:drawing>
          <wp:inline distT="0" distB="0" distL="0" distR="0" wp14:anchorId="650C0B8C" wp14:editId="1A23D80C">
            <wp:extent cx="5943600" cy="4859079"/>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3C6E" w:rsidRPr="000374E4" w:rsidRDefault="000374E4" w:rsidP="006A63C5">
      <w:pPr>
        <w:pStyle w:val="ListParagraph"/>
        <w:ind w:left="567"/>
        <w:jc w:val="center"/>
        <w:rPr>
          <w:rFonts w:asciiTheme="minorHAnsi" w:hAnsiTheme="minorHAnsi"/>
          <w:sz w:val="20"/>
          <w:szCs w:val="20"/>
        </w:rPr>
      </w:pPr>
      <w:r w:rsidRPr="000374E4">
        <w:rPr>
          <w:rFonts w:asciiTheme="minorHAnsi" w:hAnsiTheme="minorHAnsi"/>
          <w:sz w:val="20"/>
          <w:szCs w:val="20"/>
        </w:rPr>
        <w:t>FT: Full time</w:t>
      </w:r>
      <w:r w:rsidRPr="000374E4">
        <w:rPr>
          <w:rFonts w:asciiTheme="minorHAnsi" w:hAnsiTheme="minorHAnsi"/>
          <w:sz w:val="20"/>
          <w:szCs w:val="20"/>
        </w:rPr>
        <w:tab/>
        <w:t>PT: Part time</w:t>
      </w:r>
    </w:p>
    <w:p w:rsidR="00686F9A" w:rsidRDefault="00686F9A" w:rsidP="00DC30C1">
      <w:pPr>
        <w:pStyle w:val="ListParagraph"/>
        <w:ind w:left="0"/>
        <w:rPr>
          <w:rFonts w:asciiTheme="minorHAnsi" w:hAnsiTheme="minorHAnsi"/>
          <w:sz w:val="16"/>
          <w:szCs w:val="16"/>
        </w:rPr>
      </w:pPr>
    </w:p>
    <w:p w:rsidR="00686F9A" w:rsidRPr="00686F9A" w:rsidRDefault="00686F9A" w:rsidP="00DC30C1">
      <w:pPr>
        <w:pStyle w:val="ListParagraph"/>
        <w:ind w:left="0"/>
        <w:rPr>
          <w:rFonts w:asciiTheme="minorHAnsi" w:hAnsiTheme="minorHAnsi"/>
          <w:sz w:val="16"/>
          <w:szCs w:val="16"/>
        </w:rPr>
      </w:pPr>
    </w:p>
    <w:p w:rsidR="00F419FA" w:rsidRPr="00686F9A" w:rsidRDefault="00686F9A" w:rsidP="00DC30C1">
      <w:pPr>
        <w:pStyle w:val="ListParagraph"/>
        <w:ind w:left="0"/>
        <w:rPr>
          <w:rFonts w:asciiTheme="minorHAnsi" w:hAnsiTheme="minorHAnsi"/>
          <w:sz w:val="16"/>
          <w:szCs w:val="16"/>
        </w:rPr>
      </w:pPr>
      <w:r w:rsidRPr="00686F9A">
        <w:rPr>
          <w:rFonts w:asciiTheme="minorHAnsi" w:hAnsiTheme="minorHAnsi"/>
          <w:sz w:val="16"/>
          <w:szCs w:val="16"/>
        </w:rPr>
        <w:t>S</w:t>
      </w:r>
      <w:r w:rsidR="00D007F1" w:rsidRPr="00686F9A">
        <w:rPr>
          <w:rFonts w:asciiTheme="minorHAnsi" w:hAnsiTheme="minorHAnsi"/>
          <w:sz w:val="16"/>
          <w:szCs w:val="16"/>
        </w:rPr>
        <w:t xml:space="preserve">tart of plain text summary of chart detailing variations in </w:t>
      </w:r>
      <w:r w:rsidR="00C856F3" w:rsidRPr="00686F9A">
        <w:rPr>
          <w:rFonts w:asciiTheme="minorHAnsi" w:hAnsiTheme="minorHAnsi"/>
          <w:sz w:val="16"/>
          <w:szCs w:val="16"/>
        </w:rPr>
        <w:t>levels of</w:t>
      </w:r>
      <w:r w:rsidR="00D007F1" w:rsidRPr="00686F9A">
        <w:rPr>
          <w:rFonts w:asciiTheme="minorHAnsi" w:hAnsiTheme="minorHAnsi"/>
          <w:sz w:val="16"/>
          <w:szCs w:val="16"/>
        </w:rPr>
        <w:t xml:space="preserve"> representation </w:t>
      </w:r>
      <w:r w:rsidR="00C856F3" w:rsidRPr="00686F9A">
        <w:rPr>
          <w:rFonts w:asciiTheme="minorHAnsi" w:hAnsiTheme="minorHAnsi"/>
          <w:sz w:val="16"/>
          <w:szCs w:val="16"/>
        </w:rPr>
        <w:t>by</w:t>
      </w:r>
      <w:r w:rsidR="00D007F1" w:rsidRPr="00686F9A">
        <w:rPr>
          <w:rFonts w:asciiTheme="minorHAnsi" w:hAnsiTheme="minorHAnsi"/>
          <w:sz w:val="16"/>
          <w:szCs w:val="16"/>
        </w:rPr>
        <w:t xml:space="preserve"> gender</w:t>
      </w:r>
      <w:r w:rsidR="00C856F3" w:rsidRPr="00686F9A">
        <w:rPr>
          <w:rFonts w:asciiTheme="minorHAnsi" w:hAnsiTheme="minorHAnsi"/>
          <w:sz w:val="16"/>
          <w:szCs w:val="16"/>
        </w:rPr>
        <w:t xml:space="preserve"> and working pattern, at each pay band</w:t>
      </w:r>
      <w:r w:rsidR="00D007F1" w:rsidRPr="00686F9A">
        <w:rPr>
          <w:rFonts w:asciiTheme="minorHAnsi" w:hAnsiTheme="minorHAnsi"/>
          <w:sz w:val="16"/>
          <w:szCs w:val="16"/>
        </w:rPr>
        <w:t xml:space="preserve"> (Full Pay Relevant Employees at March 2019):</w:t>
      </w:r>
    </w:p>
    <w:p w:rsidR="00F419FA" w:rsidRPr="00686F9A" w:rsidRDefault="00D007F1"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 xml:space="preserve">Workforce </w:t>
      </w:r>
      <w:r w:rsidR="00F419FA" w:rsidRPr="00686F9A">
        <w:rPr>
          <w:rFonts w:asciiTheme="minorHAnsi" w:hAnsiTheme="minorHAnsi"/>
          <w:sz w:val="16"/>
          <w:szCs w:val="16"/>
        </w:rPr>
        <w:t>Overall</w:t>
      </w:r>
      <w:r w:rsidRPr="00686F9A">
        <w:rPr>
          <w:rFonts w:asciiTheme="minorHAnsi" w:hAnsiTheme="minorHAnsi"/>
          <w:sz w:val="16"/>
          <w:szCs w:val="16"/>
        </w:rPr>
        <w:t xml:space="preserve"> </w:t>
      </w:r>
      <w:r w:rsidR="00F419FA" w:rsidRPr="00686F9A">
        <w:rPr>
          <w:rFonts w:asciiTheme="minorHAnsi" w:hAnsiTheme="minorHAnsi"/>
          <w:sz w:val="16"/>
          <w:szCs w:val="16"/>
        </w:rPr>
        <w:t>(n=5746): 39% female full-time, 43% female part-time, 13% male full-time, 5%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Non Clinical - Band 2 and under (n=336): 32% female full-time, 52% female part-time, 8% male full-time, 9%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Non Clinical - Band 3 (n=319): 46% female full-time, 41% female part-time, 11% male full-time, 2%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Non Clinical - Band 4 (n=267): 38% female full-time, 45% female part-time, 10% male full-time, 7%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Non Clinical - Band 5 (n=147): 51% female full-time, 18% female part-time, 30% male full-time, 1%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Non Clinical - Band 6 (n=106): 43% female full-time, 23% female part-time, 31% male full-time, 3%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Non Clinical - Band 7 (n=120): 31% female full-time, 23% female part-time, 40% male full-time, 7%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Non Clinical - Band 8a (n=65): 42% female full-time, 15% female part-time, 35% male full-time, 8%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Non Clinical - Band 8b (n=41): 51% female full-time, 17% female part-time, 22% male full-time, 10%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Non Clinical - Band 8c to VSM (n=39): 56% female full-time, 10% female part-time, 28% male full-time, 5%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Clinical - Band 2 and under (n=818): 28% female full-time, 53% female part-time, 8% male full-time, 11%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Clinical - Band 3 (n=485): 43% female full-time, 44% female part-time, 9% male full-time, 3%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Clinical - Band 4 (n=224): 42% female full-time, 47% female part-time, 9% male full-time, 1%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Clinical - Band 5 (n=843): 39% female full-time, 49% female part-time, 9% male full-time, 3%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Clinical - Band 6 (n=1128): 41% female full-time, 45% female part-time, 11% male full-time, 3%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Clinical - Band 7 (n=404): 45% female full-time, 40% female part-time, 12% male full-time, 3%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Clinical - Band 8a (n=138): 40% female full-time, 43% female part-time, 14% male full-time, 2%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Clinical - Band 8b to 8d (n=78): 33% female full-time, 46% female part-time, 17% male full-time, 4%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Clinical - Medical Consultant (n=110): 29% female full-time, 21% female part-time, 45% male full-time, 5% male part-time</w:t>
      </w:r>
    </w:p>
    <w:p w:rsidR="00F419FA" w:rsidRPr="00686F9A" w:rsidRDefault="00F419FA" w:rsidP="00D007F1">
      <w:pPr>
        <w:pStyle w:val="ListParagraph"/>
        <w:numPr>
          <w:ilvl w:val="0"/>
          <w:numId w:val="6"/>
        </w:numPr>
        <w:ind w:left="426" w:hanging="284"/>
        <w:rPr>
          <w:rFonts w:asciiTheme="minorHAnsi" w:hAnsiTheme="minorHAnsi"/>
          <w:sz w:val="16"/>
          <w:szCs w:val="16"/>
        </w:rPr>
      </w:pPr>
      <w:r w:rsidRPr="00686F9A">
        <w:rPr>
          <w:rFonts w:asciiTheme="minorHAnsi" w:hAnsiTheme="minorHAnsi"/>
          <w:sz w:val="16"/>
          <w:szCs w:val="16"/>
        </w:rPr>
        <w:t>Clinical - Medical Not consultant (n=78): 29% female full-time, 28% female part-time, 37% male full-time, 5% male part-time</w:t>
      </w:r>
    </w:p>
    <w:p w:rsidR="00F419FA" w:rsidRPr="00D007F1" w:rsidRDefault="00D007F1" w:rsidP="00DC30C1">
      <w:pPr>
        <w:pStyle w:val="ListParagraph"/>
        <w:ind w:left="0"/>
        <w:rPr>
          <w:rFonts w:asciiTheme="minorHAnsi" w:hAnsiTheme="minorHAnsi"/>
          <w:sz w:val="18"/>
          <w:szCs w:val="18"/>
        </w:rPr>
      </w:pPr>
      <w:r w:rsidRPr="00686F9A">
        <w:rPr>
          <w:rFonts w:asciiTheme="minorHAnsi" w:hAnsiTheme="minorHAnsi"/>
          <w:sz w:val="16"/>
          <w:szCs w:val="16"/>
        </w:rPr>
        <w:t>End of plain text summary of chart.</w:t>
      </w:r>
    </w:p>
    <w:p w:rsidR="00F419FA" w:rsidRDefault="00F419FA" w:rsidP="00DC30C1">
      <w:pPr>
        <w:pStyle w:val="ListParagraph"/>
        <w:ind w:left="0"/>
      </w:pPr>
    </w:p>
    <w:p w:rsidR="00F419FA" w:rsidRDefault="00F419FA" w:rsidP="00DC30C1">
      <w:pPr>
        <w:pStyle w:val="ListParagraph"/>
        <w:ind w:left="0"/>
      </w:pPr>
    </w:p>
    <w:p w:rsidR="00D007F1" w:rsidRDefault="00D007F1" w:rsidP="00DC30C1">
      <w:pPr>
        <w:pStyle w:val="ListParagraph"/>
        <w:ind w:left="0"/>
      </w:pPr>
    </w:p>
    <w:p w:rsidR="00BB1337" w:rsidRDefault="00BB1337" w:rsidP="00906F1C">
      <w:pPr>
        <w:pStyle w:val="Heading2"/>
      </w:pPr>
      <w:bookmarkStart w:id="2" w:name="_Toc507569985"/>
      <w:r>
        <w:t>Gender Pay Gap in mean and median hourly pay</w:t>
      </w:r>
      <w:bookmarkEnd w:id="2"/>
    </w:p>
    <w:p w:rsidR="005163AE" w:rsidRDefault="005163AE" w:rsidP="005163AE"/>
    <w:p w:rsidR="00AB1D83" w:rsidRDefault="002E12ED" w:rsidP="005163AE">
      <w:r>
        <w:t xml:space="preserve">At March 2019, there was a Gender Pay Gap in favour of men, both in terms of mean hourly pay, </w:t>
      </w:r>
      <w:r w:rsidRPr="00E04341">
        <w:rPr>
          <w:b/>
        </w:rPr>
        <w:t>+1</w:t>
      </w:r>
      <w:r>
        <w:rPr>
          <w:b/>
        </w:rPr>
        <w:t>5.6</w:t>
      </w:r>
      <w:r w:rsidRPr="00E04341">
        <w:rPr>
          <w:b/>
        </w:rPr>
        <w:t>%</w:t>
      </w:r>
      <w:r>
        <w:t xml:space="preserve">, and in terms of median hourly pay, </w:t>
      </w:r>
      <w:r>
        <w:rPr>
          <w:b/>
        </w:rPr>
        <w:t>+6.7</w:t>
      </w:r>
      <w:r w:rsidRPr="00E04341">
        <w:rPr>
          <w:b/>
        </w:rPr>
        <w:t>%</w:t>
      </w:r>
      <w:r w:rsidR="00037DF5" w:rsidRPr="00037DF5">
        <w:t xml:space="preserve">.  </w:t>
      </w:r>
      <w:r w:rsidR="00037DF5">
        <w:t>Both measures reflected a statistically significant Gender Pay Gap in favour of men.</w:t>
      </w:r>
      <w:r w:rsidR="00065BC1">
        <w:t xml:space="preserve">  </w:t>
      </w:r>
      <w:r>
        <w:t xml:space="preserve">The Gender Pay Gap in terms of mean hourly pay was larger than that in terms of median hourly pay, as the calculation of mean pay for men was skewed upwards by a </w:t>
      </w:r>
      <w:r w:rsidR="00184C05">
        <w:t xml:space="preserve">disproportionately high </w:t>
      </w:r>
      <w:r>
        <w:t xml:space="preserve">number of men </w:t>
      </w:r>
      <w:r w:rsidR="00184C05">
        <w:t xml:space="preserve">in roles with especially </w:t>
      </w:r>
      <w:r>
        <w:t>high rates of pay</w:t>
      </w:r>
      <w:r w:rsidR="00037DF5">
        <w:t>.  For example,</w:t>
      </w:r>
      <w:r w:rsidR="00065BC1">
        <w:t xml:space="preserve"> medics we</w:t>
      </w:r>
      <w:r w:rsidR="00037DF5">
        <w:t>re, on average, the highest paid staff group in the Trust.  Medics earn</w:t>
      </w:r>
      <w:r w:rsidR="00065BC1">
        <w:t>ed</w:t>
      </w:r>
      <w:r w:rsidR="00037DF5">
        <w:t xml:space="preserve"> two and a half times the Trust average rate of pay, whilst medical consultants earn</w:t>
      </w:r>
      <w:r w:rsidR="00065BC1">
        <w:t>ed</w:t>
      </w:r>
      <w:r w:rsidR="00037DF5">
        <w:t xml:space="preserve"> three times the Trust average rate of pay.  Men were overrepresented amongst medics</w:t>
      </w:r>
      <w:r w:rsidR="00065BC1">
        <w:t xml:space="preserve"> (47% of the 188 medics were male compared to 18% of the Trust</w:t>
      </w:r>
      <w:r w:rsidR="008522FC">
        <w:t>’</w:t>
      </w:r>
      <w:r w:rsidR="00065BC1">
        <w:t>s 5746 full pay relevant staff overall)</w:t>
      </w:r>
      <w:r w:rsidR="00037DF5">
        <w:t>.</w:t>
      </w:r>
      <w:r w:rsidR="00065BC1">
        <w:t xml:space="preserve">  </w:t>
      </w:r>
      <w:r>
        <w:t>Nonetheless,</w:t>
      </w:r>
      <w:r w:rsidR="00065BC1">
        <w:t xml:space="preserve"> even with medics excluded from the analyses, the mean and median Gender Pay Gaps remained statistically significant and in favour of men at +6.8% for the mean and +4.6% for the median.</w:t>
      </w:r>
    </w:p>
    <w:p w:rsidR="00AB1D83" w:rsidRDefault="00AB1D83" w:rsidP="005163AE"/>
    <w:p w:rsidR="002E12ED" w:rsidRDefault="00AB1D83" w:rsidP="005163AE">
      <w:r>
        <w:t xml:space="preserve">For reference, at March 2018, there was a Gender Pay Gap in favour of men, both in terms of mean hourly </w:t>
      </w:r>
      <w:r w:rsidRPr="00AB1D83">
        <w:t>pay, +15.4%, and in terms of median hourly pay, +6.3%; and</w:t>
      </w:r>
      <w:r>
        <w:t xml:space="preserve"> </w:t>
      </w:r>
      <w:r w:rsidR="00F51065">
        <w:t xml:space="preserve">also </w:t>
      </w:r>
      <w:r w:rsidR="002E12ED">
        <w:t xml:space="preserve">at March 2017 there was a Gender Pay Gap in favour of men, both in terms of mean hourly </w:t>
      </w:r>
      <w:r w:rsidR="002E12ED" w:rsidRPr="002702D3">
        <w:t>pay, +16.7%, and in terms of median hourly pay, +4.0% (</w:t>
      </w:r>
      <w:r>
        <w:t>all</w:t>
      </w:r>
      <w:r w:rsidR="002E12ED" w:rsidRPr="00B04207">
        <w:t xml:space="preserve"> were statistically significant)</w:t>
      </w:r>
      <w:r w:rsidR="002E12ED">
        <w:t>.</w:t>
      </w:r>
    </w:p>
    <w:p w:rsidR="002E12ED" w:rsidRDefault="002E12ED" w:rsidP="005163AE"/>
    <w:p w:rsidR="002E12ED" w:rsidRDefault="002E12ED" w:rsidP="005163AE"/>
    <w:p w:rsidR="00060871" w:rsidRDefault="00184C05" w:rsidP="00B95FA5">
      <w:r>
        <w:rPr>
          <w:noProof/>
          <w:lang w:eastAsia="en-GB"/>
        </w:rPr>
        <w:drawing>
          <wp:inline distT="0" distB="0" distL="0" distR="0" wp14:anchorId="2F62312B" wp14:editId="0FF573A1">
            <wp:extent cx="5943600" cy="138049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4C05" w:rsidRDefault="00184C05" w:rsidP="00B95FA5"/>
    <w:p w:rsidR="00184C05" w:rsidRDefault="00184C05" w:rsidP="00B95FA5"/>
    <w:p w:rsidR="00B841DC" w:rsidRDefault="00B841DC">
      <w:pPr>
        <w:spacing w:after="200" w:line="276" w:lineRule="auto"/>
      </w:pPr>
      <w:r>
        <w:br w:type="page"/>
      </w:r>
    </w:p>
    <w:p w:rsidR="005163AE" w:rsidRDefault="005163AE" w:rsidP="00906F1C"/>
    <w:p w:rsidR="005163AE" w:rsidRDefault="005163AE" w:rsidP="005163AE">
      <w:pPr>
        <w:ind w:left="-567"/>
      </w:pPr>
    </w:p>
    <w:p w:rsidR="00187C59" w:rsidRDefault="00187C59" w:rsidP="00D86B26"/>
    <w:p w:rsidR="00E82D00" w:rsidRDefault="00E82D00" w:rsidP="00D86B26"/>
    <w:p w:rsidR="00686D4A" w:rsidRDefault="00686D4A" w:rsidP="00D86B26"/>
    <w:p w:rsidR="004E62FE" w:rsidRDefault="004E62FE" w:rsidP="00906F1C">
      <w:pPr>
        <w:pStyle w:val="Heading2"/>
      </w:pPr>
      <w:bookmarkStart w:id="3" w:name="_Toc507569986"/>
      <w:r>
        <w:t>Gender Pay Gap in mean and median annual bonus pay</w:t>
      </w:r>
      <w:bookmarkEnd w:id="3"/>
    </w:p>
    <w:p w:rsidR="00891C12" w:rsidRDefault="00891C12" w:rsidP="00906F1C"/>
    <w:p w:rsidR="003F454D" w:rsidRDefault="00891C12" w:rsidP="00906F1C">
      <w:r>
        <w:t xml:space="preserve">At March 2019, the Gender Pay Gap in annual bonus pay amongst those that received a bonus was </w:t>
      </w:r>
      <w:r w:rsidRPr="007472D5">
        <w:rPr>
          <w:b/>
        </w:rPr>
        <w:t>+</w:t>
      </w:r>
      <w:r>
        <w:rPr>
          <w:b/>
        </w:rPr>
        <w:t>33.7</w:t>
      </w:r>
      <w:r w:rsidRPr="007472D5">
        <w:rPr>
          <w:b/>
        </w:rPr>
        <w:t>%</w:t>
      </w:r>
      <w:r>
        <w:t xml:space="preserve"> in terms of the mean and </w:t>
      </w:r>
      <w:r>
        <w:rPr>
          <w:b/>
        </w:rPr>
        <w:t>+62.5</w:t>
      </w:r>
      <w:r w:rsidRPr="007472D5">
        <w:rPr>
          <w:b/>
        </w:rPr>
        <w:t>%</w:t>
      </w:r>
      <w:r>
        <w:t xml:space="preserve"> in terms of the </w:t>
      </w:r>
      <w:r w:rsidR="003F454D">
        <w:t xml:space="preserve">median, both in favour of men.  </w:t>
      </w:r>
      <w:r>
        <w:t>However, very few people within the organisation received bonus pay (46 out of 6699 re</w:t>
      </w:r>
      <w:r w:rsidR="003F454D">
        <w:t>levant employees</w:t>
      </w:r>
      <w:r>
        <w:t>), and the level of bonus pay varied considerably from one person to the next.  Consequently, the Gender Pay Gap in annual bonus pay was only statistically significant in t</w:t>
      </w:r>
      <w:r w:rsidR="003F454D">
        <w:t xml:space="preserve">erms of median annual bonus pay.  </w:t>
      </w:r>
      <w:r>
        <w:t xml:space="preserve">The discrepancy between the mean and median based Gender Pay Gaps in annual bonus pay arose because a small number of </w:t>
      </w:r>
      <w:r w:rsidR="003F454D">
        <w:t>especially</w:t>
      </w:r>
      <w:r>
        <w:t xml:space="preserve"> high bonus payments </w:t>
      </w:r>
      <w:r w:rsidR="003F454D">
        <w:t>amongst women skewed the mean gender pay gap down</w:t>
      </w:r>
      <w:r>
        <w:t xml:space="preserve">wards, but did not </w:t>
      </w:r>
      <w:r w:rsidR="003F454D">
        <w:t>have such a large effect</w:t>
      </w:r>
      <w:r>
        <w:t xml:space="preserve"> </w:t>
      </w:r>
      <w:r w:rsidR="003F454D">
        <w:t xml:space="preserve">on </w:t>
      </w:r>
      <w:r>
        <w:t>the median.</w:t>
      </w:r>
      <w:r w:rsidR="003F454D">
        <w:t xml:space="preserve">  It is noted that o</w:t>
      </w:r>
      <w:r w:rsidR="003F454D" w:rsidRPr="003F454D">
        <w:t>nly Medical Consultants received bonus payments;</w:t>
      </w:r>
      <w:r w:rsidR="003F454D">
        <w:t xml:space="preserve"> and in all but one instance these bonus payments were in the form of </w:t>
      </w:r>
      <w:r w:rsidR="003F454D" w:rsidRPr="003F454D">
        <w:t>Clinical Excellence Awards to recognise and reward those consultants who contribute most towards the delivery of safe and high quality care to patients and to the continuous improvement of NHS services.</w:t>
      </w:r>
    </w:p>
    <w:p w:rsidR="003F454D" w:rsidRDefault="003F454D" w:rsidP="00906F1C"/>
    <w:p w:rsidR="00B04207" w:rsidRDefault="003F454D" w:rsidP="006A63C5">
      <w:r>
        <w:t>For reference, a</w:t>
      </w:r>
      <w:r w:rsidR="008C1490">
        <w:t>t March 2018</w:t>
      </w:r>
      <w:r w:rsidR="000374E4">
        <w:t xml:space="preserve">, the Gender Pay Gap in annual bonus pay amongst those that received a bonus </w:t>
      </w:r>
      <w:r w:rsidR="000374E4" w:rsidRPr="003F454D">
        <w:t>was +</w:t>
      </w:r>
      <w:r w:rsidR="00B04207" w:rsidRPr="003F454D">
        <w:t>33.9</w:t>
      </w:r>
      <w:r w:rsidR="000374E4" w:rsidRPr="003F454D">
        <w:t xml:space="preserve">% in terms of the mean and </w:t>
      </w:r>
      <w:r w:rsidR="00B04207" w:rsidRPr="003F454D">
        <w:t>+70.8</w:t>
      </w:r>
      <w:r w:rsidR="000374E4" w:rsidRPr="003F454D">
        <w:t>% in term</w:t>
      </w:r>
      <w:r w:rsidR="000374E4">
        <w:t xml:space="preserve">s of the median, both in favour of men.  </w:t>
      </w:r>
      <w:r>
        <w:t xml:space="preserve">Again, </w:t>
      </w:r>
      <w:r w:rsidR="000374E4">
        <w:t xml:space="preserve">the Gender Pay Gap </w:t>
      </w:r>
      <w:r w:rsidR="00B04207">
        <w:t xml:space="preserve">in </w:t>
      </w:r>
      <w:r w:rsidR="00CD1522">
        <w:t xml:space="preserve">annual </w:t>
      </w:r>
      <w:r w:rsidR="000374E4">
        <w:t xml:space="preserve">bonus pay </w:t>
      </w:r>
      <w:r w:rsidR="00B04207">
        <w:t xml:space="preserve">was only </w:t>
      </w:r>
      <w:r w:rsidR="000374E4">
        <w:t xml:space="preserve">statistically significant </w:t>
      </w:r>
      <w:r w:rsidR="00B04207">
        <w:t xml:space="preserve">in terms of median </w:t>
      </w:r>
      <w:r w:rsidR="006A63C5">
        <w:t xml:space="preserve">annual </w:t>
      </w:r>
      <w:r w:rsidR="00B04207">
        <w:t>bonus</w:t>
      </w:r>
      <w:r w:rsidR="006A63C5">
        <w:t xml:space="preserve"> pay</w:t>
      </w:r>
      <w:r w:rsidR="000374E4">
        <w:t>.</w:t>
      </w:r>
      <w:r>
        <w:t xml:space="preserve">  A</w:t>
      </w:r>
      <w:r w:rsidR="00B04207">
        <w:t>t March 2017</w:t>
      </w:r>
      <w:r w:rsidR="004E62FE">
        <w:t xml:space="preserve">, the Gender Pay Gap in </w:t>
      </w:r>
      <w:r w:rsidR="00D2181B">
        <w:t xml:space="preserve">annual </w:t>
      </w:r>
      <w:r w:rsidR="004E62FE">
        <w:t>bonus pay</w:t>
      </w:r>
      <w:r w:rsidR="00DD382B">
        <w:t xml:space="preserve"> amongst those that received a bonus</w:t>
      </w:r>
      <w:r w:rsidR="004E62FE">
        <w:t xml:space="preserve"> </w:t>
      </w:r>
      <w:r w:rsidR="004E62FE" w:rsidRPr="002702D3">
        <w:t>was +22.1%</w:t>
      </w:r>
      <w:r w:rsidR="004E62FE">
        <w:t xml:space="preserve"> in terms of the mean </w:t>
      </w:r>
      <w:r w:rsidR="004E62FE" w:rsidRPr="002702D3">
        <w:t>and +60.0% in</w:t>
      </w:r>
      <w:r w:rsidR="004E62FE">
        <w:t xml:space="preserve"> terms of the median</w:t>
      </w:r>
      <w:r w:rsidR="00D2181B">
        <w:t>, both in favour of men</w:t>
      </w:r>
      <w:r w:rsidR="00F01C5B">
        <w:t xml:space="preserve"> – </w:t>
      </w:r>
      <w:r w:rsidR="00B04207">
        <w:t>neither was statistically significant due to the sm</w:t>
      </w:r>
      <w:r>
        <w:t>all numbers receiving bonus pay</w:t>
      </w:r>
      <w:r w:rsidR="00B04207">
        <w:t xml:space="preserve"> and large variations in the amo</w:t>
      </w:r>
      <w:r w:rsidR="00F01C5B">
        <w:t>unts paid from person to person</w:t>
      </w:r>
      <w:r w:rsidR="00B04207">
        <w:t>.</w:t>
      </w:r>
    </w:p>
    <w:p w:rsidR="00184C05" w:rsidRDefault="00184C05" w:rsidP="00906F1C"/>
    <w:p w:rsidR="00184C05" w:rsidRDefault="00184C05" w:rsidP="00906F1C"/>
    <w:p w:rsidR="00184C05" w:rsidRDefault="00184C05" w:rsidP="00906F1C">
      <w:r>
        <w:rPr>
          <w:noProof/>
          <w:lang w:eastAsia="en-GB"/>
        </w:rPr>
        <w:drawing>
          <wp:inline distT="0" distB="0" distL="0" distR="0" wp14:anchorId="3F1B31B2" wp14:editId="06815B0C">
            <wp:extent cx="5943600" cy="138049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4C05" w:rsidRDefault="00184C05" w:rsidP="00906F1C"/>
    <w:p w:rsidR="00184C05" w:rsidRDefault="00184C05" w:rsidP="00906F1C"/>
    <w:p w:rsidR="00184C05" w:rsidRDefault="00184C05" w:rsidP="00906F1C"/>
    <w:p w:rsidR="00B04207" w:rsidRDefault="00B04207" w:rsidP="009F1789">
      <w:pPr>
        <w:ind w:left="-567"/>
      </w:pPr>
    </w:p>
    <w:p w:rsidR="00C835A9" w:rsidRPr="00984CB6" w:rsidRDefault="00C835A9" w:rsidP="00906F1C">
      <w:pPr>
        <w:rPr>
          <w:rFonts w:asciiTheme="minorHAnsi" w:hAnsiTheme="minorHAnsi"/>
          <w:sz w:val="20"/>
          <w:szCs w:val="20"/>
        </w:rPr>
      </w:pPr>
    </w:p>
    <w:p w:rsidR="009F1789" w:rsidRDefault="009F1789" w:rsidP="00350352">
      <w:bookmarkStart w:id="4" w:name="_Toc507569987"/>
    </w:p>
    <w:p w:rsidR="009F1789" w:rsidRDefault="009F1789" w:rsidP="00350352"/>
    <w:p w:rsidR="009F1789" w:rsidRDefault="009F1789" w:rsidP="00350352"/>
    <w:p w:rsidR="003F454D" w:rsidRDefault="003F454D">
      <w:pPr>
        <w:spacing w:after="200" w:line="276" w:lineRule="auto"/>
      </w:pPr>
      <w:r>
        <w:br w:type="page"/>
      </w:r>
    </w:p>
    <w:p w:rsidR="00E82D00" w:rsidRDefault="00E82D00" w:rsidP="00350352"/>
    <w:p w:rsidR="003F454D" w:rsidRDefault="003F454D" w:rsidP="00350352"/>
    <w:p w:rsidR="003F454D" w:rsidRDefault="003F454D" w:rsidP="00350352"/>
    <w:p w:rsidR="003F454D" w:rsidRDefault="003F454D" w:rsidP="00350352"/>
    <w:p w:rsidR="003E5466" w:rsidRDefault="003E5466" w:rsidP="00350352"/>
    <w:p w:rsidR="00060871" w:rsidRPr="00C835A9" w:rsidRDefault="00C835A9" w:rsidP="00906F1C">
      <w:pPr>
        <w:pStyle w:val="Heading2"/>
      </w:pPr>
      <w:r w:rsidRPr="00C835A9">
        <w:t xml:space="preserve">Proportions of men and women </w:t>
      </w:r>
      <w:r w:rsidR="00A50FD4">
        <w:t>in receipt of</w:t>
      </w:r>
      <w:r w:rsidRPr="00C835A9">
        <w:t xml:space="preserve"> bonus pay</w:t>
      </w:r>
      <w:bookmarkEnd w:id="4"/>
    </w:p>
    <w:p w:rsidR="005008B0" w:rsidRDefault="005008B0" w:rsidP="00906F1C"/>
    <w:p w:rsidR="002B3269" w:rsidRDefault="00F13311" w:rsidP="00AB1CCA">
      <w:r>
        <w:t>In 2018/19</w:t>
      </w:r>
      <w:r w:rsidR="00AB1CCA" w:rsidRPr="00DD3C7F">
        <w:t xml:space="preserve">, </w:t>
      </w:r>
      <w:r w:rsidR="00AB1CCA" w:rsidRPr="00DD3C7F">
        <w:rPr>
          <w:b/>
        </w:rPr>
        <w:t>0.3%</w:t>
      </w:r>
      <w:r w:rsidR="00AB1CCA" w:rsidRPr="00DD3C7F">
        <w:t xml:space="preserve"> of female relevant employees received a bonus</w:t>
      </w:r>
      <w:r w:rsidR="00142361">
        <w:t xml:space="preserve"> (17 out of 5512)</w:t>
      </w:r>
      <w:r w:rsidR="00AB1CCA" w:rsidRPr="00DD3C7F">
        <w:t xml:space="preserve">, whilst </w:t>
      </w:r>
      <w:r w:rsidR="00AB1CCA" w:rsidRPr="00DD3C7F">
        <w:rPr>
          <w:b/>
        </w:rPr>
        <w:t>2.</w:t>
      </w:r>
      <w:r w:rsidR="00AB1CCA">
        <w:rPr>
          <w:b/>
        </w:rPr>
        <w:t>4</w:t>
      </w:r>
      <w:r w:rsidR="00AB1CCA" w:rsidRPr="00DD3C7F">
        <w:rPr>
          <w:b/>
        </w:rPr>
        <w:t>%</w:t>
      </w:r>
      <w:r w:rsidR="00AB1CCA" w:rsidRPr="00DD3C7F">
        <w:t xml:space="preserve"> of male relevant employees received a bonus</w:t>
      </w:r>
      <w:r w:rsidR="00142361">
        <w:t xml:space="preserve"> (29 out of 1187)</w:t>
      </w:r>
      <w:r w:rsidR="00AB1CCA" w:rsidRPr="00DD3C7F">
        <w:t>; this represented a statistically significa</w:t>
      </w:r>
      <w:r w:rsidR="00AB1CCA">
        <w:t xml:space="preserve">nt difference in favour of men.  </w:t>
      </w:r>
      <w:r w:rsidR="00AB1CCA" w:rsidRPr="00DD3C7F">
        <w:t>However, it is noted that only Medical Consultants received bonus pay</w:t>
      </w:r>
      <w:r w:rsidR="00B93F27">
        <w:t xml:space="preserve">, and </w:t>
      </w:r>
      <w:r w:rsidR="00AB1CCA">
        <w:t>in all but one case,</w:t>
      </w:r>
      <w:r w:rsidR="00B93F27">
        <w:t xml:space="preserve"> these bonuses were</w:t>
      </w:r>
      <w:r w:rsidR="00AB1CCA">
        <w:t xml:space="preserve"> in the form of Clinical Excellence A</w:t>
      </w:r>
      <w:r w:rsidR="00AB1CCA" w:rsidRPr="00DD3C7F">
        <w:t>wards</w:t>
      </w:r>
      <w:r w:rsidR="00B93F27">
        <w:t xml:space="preserve">.  Clinical Excellence Awards are made only to eligible Medical Consultants, who must apply </w:t>
      </w:r>
      <w:r w:rsidR="002C1E34">
        <w:t>for the award.</w:t>
      </w:r>
    </w:p>
    <w:p w:rsidR="002B3269" w:rsidRDefault="002B3269" w:rsidP="00AB1CCA"/>
    <w:p w:rsidR="0072780B" w:rsidRDefault="0072780B" w:rsidP="00AB1CCA">
      <w:r>
        <w:t xml:space="preserve">Once a Clinical Excellence Award is made, it is paid annually thereafter; only recently has a time-limit been placed on these awards (from April 2018, the awards can be made for a maximum of three years, and awards made prior to this date will </w:t>
      </w:r>
      <w:r w:rsidR="000736C3">
        <w:t xml:space="preserve">be </w:t>
      </w:r>
      <w:r>
        <w:t>subject to review in March 2021).  The number of Medical Consultants in receipt of a Clinical Excellence Award</w:t>
      </w:r>
      <w:r w:rsidR="00230CB2">
        <w:t xml:space="preserve"> in 20</w:t>
      </w:r>
      <w:r w:rsidR="00F13311">
        <w:t>18/</w:t>
      </w:r>
      <w:r w:rsidR="00230CB2">
        <w:t>19</w:t>
      </w:r>
      <w:r w:rsidR="00F13311">
        <w:t xml:space="preserve"> (</w:t>
      </w:r>
      <w:r w:rsidR="00230CB2">
        <w:t>45</w:t>
      </w:r>
      <w:r w:rsidR="00F13311">
        <w:t xml:space="preserve"> awards)</w:t>
      </w:r>
      <w:r w:rsidR="00230CB2">
        <w:t xml:space="preserve">, tallies closely with the number of awards made </w:t>
      </w:r>
      <w:r w:rsidR="00F13311">
        <w:t xml:space="preserve">over the past three years, </w:t>
      </w:r>
      <w:r w:rsidR="00230CB2">
        <w:t xml:space="preserve">from April </w:t>
      </w:r>
      <w:r w:rsidR="00F13311">
        <w:t>2016 to April 2018 inclusive (44 awards).  Over this period, eligible female and male consultants have been similarly likely to apply for a Clinical Excellence Award (26.5% of women, 30 out of 113, compared to 24.6% of men, 35 out of 142), and from amongst these applicants, female and male consultants have been similarly likely to be successful in securing an award (63.3% of women, 19 out of 30, compared to 71.4% of men, 25 out of 35).</w:t>
      </w:r>
    </w:p>
    <w:p w:rsidR="009222CA" w:rsidRDefault="009222CA" w:rsidP="00AB1CCA"/>
    <w:p w:rsidR="009222CA" w:rsidRDefault="009222CA" w:rsidP="00AB1CCA">
      <w:r>
        <w:t xml:space="preserve">Thus, the </w:t>
      </w:r>
      <w:r w:rsidR="000736C3">
        <w:t xml:space="preserve">overall </w:t>
      </w:r>
      <w:r>
        <w:t>gap in the proportions of bonus payments made to men and women, in favour of men, appears to reflect that only Medical Consultants are eligible for the bonuses</w:t>
      </w:r>
      <w:r w:rsidR="000736C3">
        <w:t xml:space="preserve"> on offer</w:t>
      </w:r>
      <w:r>
        <w:t xml:space="preserve">, amongst whom men are overrepresented.  When looking at eligible Medical Consultants in isolation, there is no evidence of </w:t>
      </w:r>
      <w:r w:rsidR="000736C3">
        <w:t xml:space="preserve">a gender </w:t>
      </w:r>
      <w:r>
        <w:t>bias, either in terms of the rates at which women and men apply for a Clinical Excellence Award, or in terms of the rates of successful application.</w:t>
      </w:r>
    </w:p>
    <w:p w:rsidR="0072780B" w:rsidRDefault="0072780B" w:rsidP="00AB1CCA"/>
    <w:p w:rsidR="00AB1CCA" w:rsidRDefault="00AB1CCA" w:rsidP="00AB1CCA">
      <w:r>
        <w:t xml:space="preserve">For reference, </w:t>
      </w:r>
      <w:r w:rsidR="009222CA">
        <w:t>in</w:t>
      </w:r>
      <w:r w:rsidRPr="00AB1CCA">
        <w:t xml:space="preserve"> 201</w:t>
      </w:r>
      <w:r w:rsidR="009222CA">
        <w:t>7/18</w:t>
      </w:r>
      <w:r w:rsidRPr="00AB1CCA">
        <w:t>, 0.3% of female relevant employees received a bonus, whilst 2.7% of male relevant e</w:t>
      </w:r>
      <w:r w:rsidRPr="00DD3C7F">
        <w:t>mployees received a bonus</w:t>
      </w:r>
      <w:r>
        <w:t xml:space="preserve"> (this was also the case </w:t>
      </w:r>
      <w:r w:rsidR="009222CA">
        <w:t xml:space="preserve">in </w:t>
      </w:r>
      <w:r>
        <w:t>20</w:t>
      </w:r>
      <w:r w:rsidR="009222CA">
        <w:t>16/</w:t>
      </w:r>
      <w:r>
        <w:t xml:space="preserve">17).  </w:t>
      </w:r>
      <w:r w:rsidR="009222CA">
        <w:t>Again, the bonuses paid were almost exclusively in the form of Clinical Excellence Awards, paid only to eligible Medical Consultants</w:t>
      </w:r>
      <w:r>
        <w:t>.</w:t>
      </w:r>
    </w:p>
    <w:p w:rsidR="00AB1CCA" w:rsidRDefault="00AB1CCA" w:rsidP="00AB1CCA"/>
    <w:p w:rsidR="00074136" w:rsidRDefault="00074136" w:rsidP="00AB1CCA"/>
    <w:p w:rsidR="00074136" w:rsidRDefault="00074136" w:rsidP="00AB1CCA">
      <w:r>
        <w:rPr>
          <w:noProof/>
          <w:lang w:eastAsia="en-GB"/>
        </w:rPr>
        <w:drawing>
          <wp:inline distT="0" distB="0" distL="0" distR="0" wp14:anchorId="6C92B111" wp14:editId="529FB9E8">
            <wp:extent cx="2865600" cy="1134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736C3" w:rsidRPr="000736C3">
        <w:rPr>
          <w:noProof/>
          <w:lang w:eastAsia="en-GB"/>
        </w:rPr>
        <w:t xml:space="preserve"> </w:t>
      </w:r>
      <w:r w:rsidR="00D2342F">
        <w:rPr>
          <w:noProof/>
          <w:lang w:eastAsia="en-GB"/>
        </w:rPr>
        <w:drawing>
          <wp:inline distT="0" distB="0" distL="0" distR="0" wp14:anchorId="16279C60" wp14:editId="7F445655">
            <wp:extent cx="2865600" cy="1134000"/>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3CD3" w:rsidRDefault="00D73CD3">
      <w:pPr>
        <w:spacing w:after="200" w:line="276" w:lineRule="auto"/>
      </w:pPr>
      <w:r>
        <w:br w:type="page"/>
      </w:r>
    </w:p>
    <w:p w:rsidR="007E2CD6" w:rsidRDefault="007E2CD6" w:rsidP="00906F1C"/>
    <w:p w:rsidR="00D73CD3" w:rsidRDefault="00D73CD3" w:rsidP="00906F1C"/>
    <w:p w:rsidR="00D73CD3" w:rsidRDefault="00D73CD3" w:rsidP="00906F1C"/>
    <w:p w:rsidR="00D73CD3" w:rsidRDefault="00D73CD3" w:rsidP="00906F1C"/>
    <w:p w:rsidR="00D73CD3" w:rsidRDefault="00D73CD3" w:rsidP="00906F1C"/>
    <w:p w:rsidR="00D73CD3" w:rsidRDefault="00D73CD3" w:rsidP="00906F1C"/>
    <w:p w:rsidR="00C835A9" w:rsidRPr="00C835A9" w:rsidRDefault="00C835A9" w:rsidP="00906F1C">
      <w:pPr>
        <w:pStyle w:val="Heading2"/>
      </w:pPr>
      <w:bookmarkStart w:id="5" w:name="_Toc507569988"/>
      <w:r w:rsidRPr="00C835A9">
        <w:t xml:space="preserve">Proportions of men and women </w:t>
      </w:r>
      <w:r w:rsidR="00A50FD4">
        <w:t>with</w:t>
      </w:r>
      <w:r>
        <w:t>in each quartile pay band</w:t>
      </w:r>
      <w:bookmarkEnd w:id="5"/>
    </w:p>
    <w:p w:rsidR="002B66A4" w:rsidRDefault="002B66A4" w:rsidP="00906F1C"/>
    <w:p w:rsidR="0027500C" w:rsidRDefault="002702D3" w:rsidP="002702D3">
      <w:r>
        <w:t>At March 201</w:t>
      </w:r>
      <w:r w:rsidR="00BF48A6">
        <w:t>9</w:t>
      </w:r>
      <w:r w:rsidR="00703363" w:rsidRPr="00FD05BC">
        <w:t>, women comprised 8</w:t>
      </w:r>
      <w:r w:rsidR="0027500C">
        <w:t>2</w:t>
      </w:r>
      <w:r w:rsidR="00703363" w:rsidRPr="00FD05BC">
        <w:t>.</w:t>
      </w:r>
      <w:r w:rsidR="00417530">
        <w:t>2</w:t>
      </w:r>
      <w:r w:rsidR="00703363" w:rsidRPr="00FD05BC">
        <w:t>% of</w:t>
      </w:r>
      <w:r w:rsidR="00B1731B">
        <w:t xml:space="preserve"> the 5746</w:t>
      </w:r>
      <w:r w:rsidR="00703363" w:rsidRPr="00FD05BC">
        <w:t xml:space="preserve"> full-pay relevant employees.  Women were underrepresented in the upper pay quartile, </w:t>
      </w:r>
      <w:r w:rsidR="0027500C">
        <w:rPr>
          <w:b/>
        </w:rPr>
        <w:t>7</w:t>
      </w:r>
      <w:r w:rsidR="00417530">
        <w:rPr>
          <w:b/>
        </w:rPr>
        <w:t>5.6</w:t>
      </w:r>
      <w:r w:rsidR="00703363" w:rsidRPr="008146AA">
        <w:rPr>
          <w:b/>
        </w:rPr>
        <w:t>%</w:t>
      </w:r>
      <w:r w:rsidR="00703363" w:rsidRPr="00FD05BC">
        <w:t xml:space="preserve">, and </w:t>
      </w:r>
      <w:r w:rsidR="00703363">
        <w:t xml:space="preserve">were </w:t>
      </w:r>
      <w:r w:rsidR="00703363" w:rsidRPr="00FD05BC">
        <w:t xml:space="preserve">proportionately represented in the upper-middle, </w:t>
      </w:r>
      <w:r w:rsidR="0027500C">
        <w:rPr>
          <w:b/>
        </w:rPr>
        <w:t>8</w:t>
      </w:r>
      <w:r w:rsidR="00417530">
        <w:rPr>
          <w:b/>
        </w:rPr>
        <w:t>3</w:t>
      </w:r>
      <w:r w:rsidR="0027500C">
        <w:rPr>
          <w:b/>
        </w:rPr>
        <w:t>.</w:t>
      </w:r>
      <w:r w:rsidR="00417530">
        <w:rPr>
          <w:b/>
        </w:rPr>
        <w:t>8</w:t>
      </w:r>
      <w:r w:rsidR="00703363" w:rsidRPr="008146AA">
        <w:rPr>
          <w:b/>
        </w:rPr>
        <w:t>%</w:t>
      </w:r>
      <w:r w:rsidR="00D63685">
        <w:t xml:space="preserve">, </w:t>
      </w:r>
      <w:r w:rsidR="00703363" w:rsidRPr="00FD05BC">
        <w:t xml:space="preserve">lower-middle, </w:t>
      </w:r>
      <w:r w:rsidR="0027500C">
        <w:rPr>
          <w:b/>
        </w:rPr>
        <w:t>83.</w:t>
      </w:r>
      <w:r w:rsidR="00417530">
        <w:rPr>
          <w:b/>
        </w:rPr>
        <w:t>6</w:t>
      </w:r>
      <w:r w:rsidR="00703363" w:rsidRPr="008146AA">
        <w:rPr>
          <w:b/>
        </w:rPr>
        <w:t>%</w:t>
      </w:r>
      <w:r w:rsidR="00703363" w:rsidRPr="00FD05BC">
        <w:t xml:space="preserve">, and lower, </w:t>
      </w:r>
      <w:r w:rsidR="0027500C">
        <w:rPr>
          <w:b/>
        </w:rPr>
        <w:t>8</w:t>
      </w:r>
      <w:r w:rsidR="00417530">
        <w:rPr>
          <w:b/>
        </w:rPr>
        <w:t>5</w:t>
      </w:r>
      <w:r w:rsidR="0027500C">
        <w:rPr>
          <w:b/>
        </w:rPr>
        <w:t>.</w:t>
      </w:r>
      <w:r w:rsidR="00417530">
        <w:rPr>
          <w:b/>
        </w:rPr>
        <w:t>8</w:t>
      </w:r>
      <w:r w:rsidR="00703363" w:rsidRPr="008146AA">
        <w:rPr>
          <w:b/>
        </w:rPr>
        <w:t>%</w:t>
      </w:r>
      <w:r w:rsidR="00703363" w:rsidRPr="00FD05BC">
        <w:t>, pay quartiles</w:t>
      </w:r>
      <w:r w:rsidR="00E336F3">
        <w:t>.</w:t>
      </w:r>
      <w:r w:rsidR="00104099">
        <w:t xml:space="preserve">  </w:t>
      </w:r>
      <w:r>
        <w:t>Overall, w</w:t>
      </w:r>
      <w:r w:rsidR="00417530">
        <w:t xml:space="preserve">omen were </w:t>
      </w:r>
      <w:r w:rsidR="00417530" w:rsidRPr="00417530">
        <w:rPr>
          <w:b/>
        </w:rPr>
        <w:t>0.67</w:t>
      </w:r>
      <w:r w:rsidR="00417530">
        <w:t xml:space="preserve"> times as likely as men to be in the top pay quartile.  (For reference, at March 2018, women </w:t>
      </w:r>
      <w:r w:rsidR="00417530" w:rsidRPr="00417530">
        <w:t xml:space="preserve">were </w:t>
      </w:r>
      <w:r w:rsidR="00104099" w:rsidRPr="00417530">
        <w:t>0.70 times</w:t>
      </w:r>
      <w:r w:rsidR="00104099">
        <w:t xml:space="preserve"> as likely as men to be in the top pay quartile</w:t>
      </w:r>
      <w:r w:rsidR="00417530">
        <w:t xml:space="preserve">, and </w:t>
      </w:r>
      <w:r>
        <w:t xml:space="preserve">at March 2017, women were </w:t>
      </w:r>
      <w:r w:rsidRPr="002702D3">
        <w:t>0.69</w:t>
      </w:r>
      <w:r>
        <w:t xml:space="preserve"> times as likely as men to be in the top pay quartile</w:t>
      </w:r>
      <w:r w:rsidR="0044189D">
        <w:t>.)</w:t>
      </w:r>
    </w:p>
    <w:p w:rsidR="00417530" w:rsidRDefault="00417530" w:rsidP="002702D3"/>
    <w:p w:rsidR="00417530" w:rsidRDefault="00417530" w:rsidP="002702D3">
      <w:r>
        <w:rPr>
          <w:noProof/>
          <w:lang w:eastAsia="en-GB"/>
        </w:rPr>
        <w:drawing>
          <wp:inline distT="0" distB="0" distL="0" distR="0" wp14:anchorId="49BEA52E" wp14:editId="23780993">
            <wp:extent cx="5753100" cy="1600199"/>
            <wp:effectExtent l="0" t="0" r="0" b="635"/>
            <wp:docPr id="11" name="Chart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E3CF405A-BACD-4175-96C0-9694407EDF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7530" w:rsidRDefault="00417530" w:rsidP="002702D3"/>
    <w:p w:rsidR="00417530" w:rsidRDefault="00417530" w:rsidP="002702D3"/>
    <w:p w:rsidR="00417530" w:rsidRDefault="00417530" w:rsidP="002702D3"/>
    <w:p w:rsidR="0027500C" w:rsidRDefault="0027500C" w:rsidP="00AD393A">
      <w:pPr>
        <w:ind w:left="567"/>
      </w:pPr>
    </w:p>
    <w:p w:rsidR="0027500C" w:rsidRDefault="0027500C" w:rsidP="0027500C">
      <w:pPr>
        <w:ind w:left="-426"/>
      </w:pPr>
    </w:p>
    <w:p w:rsidR="0027500C" w:rsidRDefault="0027500C" w:rsidP="00AD393A">
      <w:pPr>
        <w:ind w:left="567"/>
      </w:pPr>
    </w:p>
    <w:p w:rsidR="009624DF" w:rsidRDefault="009624DF" w:rsidP="00906F1C"/>
    <w:p w:rsidR="004B4388" w:rsidRDefault="004B4388">
      <w:pPr>
        <w:spacing w:after="200" w:line="276" w:lineRule="auto"/>
      </w:pPr>
      <w:r>
        <w:br w:type="page"/>
      </w:r>
    </w:p>
    <w:p w:rsidR="001C3A48" w:rsidRDefault="001C3A48" w:rsidP="00906F1C"/>
    <w:p w:rsidR="004B4388" w:rsidRDefault="004B4388" w:rsidP="00906F1C"/>
    <w:p w:rsidR="004B4388" w:rsidRDefault="004B4388" w:rsidP="00906F1C"/>
    <w:p w:rsidR="004B4388" w:rsidRDefault="004B4388" w:rsidP="00906F1C"/>
    <w:p w:rsidR="002B66A4" w:rsidRDefault="002B66A4" w:rsidP="00906F1C"/>
    <w:p w:rsidR="00175B97" w:rsidRDefault="00175B97" w:rsidP="00175B97">
      <w:pPr>
        <w:pStyle w:val="Heading2"/>
        <w:rPr>
          <w:rFonts w:cs="Arial"/>
          <w:szCs w:val="24"/>
        </w:rPr>
      </w:pPr>
      <w:r>
        <w:t>Benchmarking Leicestershire Partnership NHS T</w:t>
      </w:r>
      <w:r w:rsidR="004B4388">
        <w:t xml:space="preserve">rust’s Gender Pay Gap for the </w:t>
      </w:r>
      <w:r w:rsidR="00D1534E">
        <w:t>20</w:t>
      </w:r>
      <w:r w:rsidR="004B4388">
        <w:t>17/18</w:t>
      </w:r>
      <w:r>
        <w:t xml:space="preserve"> financial year against other NHS provider trusts</w:t>
      </w:r>
    </w:p>
    <w:p w:rsidR="00175B97" w:rsidRDefault="00175B97" w:rsidP="00175B97"/>
    <w:p w:rsidR="00DE7769" w:rsidRDefault="00DE7769" w:rsidP="00175B97"/>
    <w:p w:rsidR="00175B97" w:rsidRDefault="00DE7769" w:rsidP="00175B97">
      <w:r w:rsidRPr="00E11ED8">
        <w:rPr>
          <w:b/>
        </w:rPr>
        <w:t>Hourly pay:</w:t>
      </w:r>
      <w:r>
        <w:t xml:space="preserve"> At March 2018, LPT had a Gender Pay Gap of </w:t>
      </w:r>
      <w:r w:rsidRPr="00E04341">
        <w:rPr>
          <w:b/>
        </w:rPr>
        <w:t>+1</w:t>
      </w:r>
      <w:r>
        <w:rPr>
          <w:b/>
        </w:rPr>
        <w:t>5</w:t>
      </w:r>
      <w:r w:rsidRPr="00E04341">
        <w:rPr>
          <w:b/>
        </w:rPr>
        <w:t>.</w:t>
      </w:r>
      <w:r>
        <w:rPr>
          <w:b/>
        </w:rPr>
        <w:t>4</w:t>
      </w:r>
      <w:r w:rsidRPr="00E04341">
        <w:rPr>
          <w:b/>
        </w:rPr>
        <w:t>%</w:t>
      </w:r>
      <w:r w:rsidRPr="00175B97">
        <w:t xml:space="preserve"> for mean</w:t>
      </w:r>
      <w:r>
        <w:t xml:space="preserve"> hourly pay and </w:t>
      </w:r>
      <w:r w:rsidRPr="00E04341">
        <w:rPr>
          <w:b/>
        </w:rPr>
        <w:t>+</w:t>
      </w:r>
      <w:r>
        <w:rPr>
          <w:b/>
        </w:rPr>
        <w:t>6</w:t>
      </w:r>
      <w:r w:rsidRPr="00E04341">
        <w:rPr>
          <w:b/>
        </w:rPr>
        <w:t>.</w:t>
      </w:r>
      <w:r>
        <w:rPr>
          <w:b/>
        </w:rPr>
        <w:t>3</w:t>
      </w:r>
      <w:r w:rsidRPr="00E04341">
        <w:rPr>
          <w:b/>
        </w:rPr>
        <w:t>%</w:t>
      </w:r>
      <w:r w:rsidRPr="00175B97">
        <w:t xml:space="preserve"> for median hourly pay</w:t>
      </w:r>
      <w:r>
        <w:t>, both in favour of men</w:t>
      </w:r>
      <w:r w:rsidRPr="00175B97">
        <w:t>.</w:t>
      </w:r>
      <w:r>
        <w:t xml:space="preserve">  In terms of the size of these Gender Pay Gaps</w:t>
      </w:r>
      <w:r w:rsidR="00B1731B">
        <w:t>,</w:t>
      </w:r>
      <w:r>
        <w:t xml:space="preserve"> compared to other NHS provider trusts, this placed LPT at the </w:t>
      </w:r>
      <w:r>
        <w:rPr>
          <w:b/>
        </w:rPr>
        <w:t>21</w:t>
      </w:r>
      <w:r w:rsidRPr="00DE7769">
        <w:rPr>
          <w:b/>
          <w:vertAlign w:val="superscript"/>
        </w:rPr>
        <w:t>st</w:t>
      </w:r>
      <w:r>
        <w:rPr>
          <w:b/>
        </w:rPr>
        <w:t xml:space="preserve"> </w:t>
      </w:r>
      <w:r w:rsidRPr="00F81058">
        <w:rPr>
          <w:b/>
        </w:rPr>
        <w:t>percentile</w:t>
      </w:r>
      <w:r>
        <w:t xml:space="preserve"> for mean hourly pay and at the </w:t>
      </w:r>
      <w:r>
        <w:rPr>
          <w:b/>
        </w:rPr>
        <w:t>31</w:t>
      </w:r>
      <w:r w:rsidRPr="00DE7769">
        <w:rPr>
          <w:b/>
          <w:vertAlign w:val="superscript"/>
        </w:rPr>
        <w:t>st</w:t>
      </w:r>
      <w:r>
        <w:rPr>
          <w:b/>
        </w:rPr>
        <w:t xml:space="preserve"> </w:t>
      </w:r>
      <w:r w:rsidRPr="00F81058">
        <w:rPr>
          <w:b/>
        </w:rPr>
        <w:t>percentile</w:t>
      </w:r>
      <w:r>
        <w:t xml:space="preserve"> for median hourly pay (</w:t>
      </w:r>
      <w:r w:rsidRPr="00F81058">
        <w:rPr>
          <w:i/>
        </w:rPr>
        <w:t>i.e.</w:t>
      </w:r>
      <w:r>
        <w:t>, in the lowest third of NHS provider trusts for both measures).  For reference, a</w:t>
      </w:r>
      <w:r w:rsidR="00175B97">
        <w:t xml:space="preserve">t March 2017, </w:t>
      </w:r>
      <w:r w:rsidR="009A3F80" w:rsidRPr="00DE7769">
        <w:t>LPT</w:t>
      </w:r>
      <w:r w:rsidR="00175B97" w:rsidRPr="00DE7769">
        <w:t xml:space="preserve"> had a Gender Pay Gap </w:t>
      </w:r>
      <w:r w:rsidR="00F81058" w:rsidRPr="00DE7769">
        <w:t xml:space="preserve">of </w:t>
      </w:r>
      <w:r w:rsidR="00175B97" w:rsidRPr="00DE7769">
        <w:t>+16.7% for mean</w:t>
      </w:r>
      <w:r w:rsidRPr="00DE7769">
        <w:t xml:space="preserve"> hourly pay (28</w:t>
      </w:r>
      <w:r w:rsidRPr="00DE7769">
        <w:rPr>
          <w:vertAlign w:val="superscript"/>
        </w:rPr>
        <w:t>th</w:t>
      </w:r>
      <w:r w:rsidRPr="00DE7769">
        <w:t xml:space="preserve"> percentile) and </w:t>
      </w:r>
      <w:r w:rsidR="00175B97" w:rsidRPr="00DE7769">
        <w:t>+4.0% for me</w:t>
      </w:r>
      <w:r w:rsidR="00175B97" w:rsidRPr="00175B97">
        <w:t>dian hourly pay</w:t>
      </w:r>
      <w:r>
        <w:t xml:space="preserve"> (23</w:t>
      </w:r>
      <w:r w:rsidRPr="00DE7769">
        <w:rPr>
          <w:vertAlign w:val="superscript"/>
        </w:rPr>
        <w:t>rd</w:t>
      </w:r>
      <w:r>
        <w:t xml:space="preserve"> percentile)</w:t>
      </w:r>
      <w:r w:rsidR="00F81058">
        <w:t>.</w:t>
      </w:r>
    </w:p>
    <w:p w:rsidR="00F81058" w:rsidRDefault="00F81058" w:rsidP="00175B97"/>
    <w:p w:rsidR="006C73B9" w:rsidRDefault="0057343E" w:rsidP="006C73B9">
      <w:pPr>
        <w:jc w:val="center"/>
        <w:rPr>
          <w:rFonts w:asciiTheme="minorHAnsi" w:hAnsiTheme="minorHAnsi"/>
          <w:b/>
          <w:sz w:val="20"/>
          <w:szCs w:val="20"/>
        </w:rPr>
      </w:pPr>
      <w:r>
        <w:rPr>
          <w:rFonts w:asciiTheme="minorHAnsi" w:hAnsiTheme="minorHAnsi"/>
          <w:b/>
          <w:sz w:val="20"/>
          <w:szCs w:val="20"/>
        </w:rPr>
        <w:t>Gender Pay Gaps in Hourly P</w:t>
      </w:r>
      <w:r w:rsidR="006C73B9" w:rsidRPr="00FD2A26">
        <w:rPr>
          <w:rFonts w:asciiTheme="minorHAnsi" w:hAnsiTheme="minorHAnsi"/>
          <w:b/>
          <w:sz w:val="20"/>
          <w:szCs w:val="20"/>
        </w:rPr>
        <w:t xml:space="preserve">ay </w:t>
      </w:r>
      <w:r w:rsidR="00545E9F">
        <w:rPr>
          <w:rFonts w:asciiTheme="minorHAnsi" w:hAnsiTheme="minorHAnsi"/>
          <w:b/>
          <w:sz w:val="20"/>
          <w:szCs w:val="20"/>
        </w:rPr>
        <w:t>across</w:t>
      </w:r>
      <w:r>
        <w:rPr>
          <w:rFonts w:asciiTheme="minorHAnsi" w:hAnsiTheme="minorHAnsi"/>
          <w:b/>
          <w:sz w:val="20"/>
          <w:szCs w:val="20"/>
        </w:rPr>
        <w:t xml:space="preserve"> NHS Provider T</w:t>
      </w:r>
      <w:r w:rsidR="006C73B9" w:rsidRPr="00FD2A26">
        <w:rPr>
          <w:rFonts w:asciiTheme="minorHAnsi" w:hAnsiTheme="minorHAnsi"/>
          <w:b/>
          <w:sz w:val="20"/>
          <w:szCs w:val="20"/>
        </w:rPr>
        <w:t>rusts</w:t>
      </w:r>
      <w:r w:rsidR="00FD2A26">
        <w:rPr>
          <w:rFonts w:asciiTheme="minorHAnsi" w:hAnsiTheme="minorHAnsi"/>
          <w:b/>
          <w:sz w:val="20"/>
          <w:szCs w:val="20"/>
        </w:rPr>
        <w:t xml:space="preserve"> (box and whisker plots)</w:t>
      </w:r>
      <w:r w:rsidR="00D1534E">
        <w:rPr>
          <w:rFonts w:asciiTheme="minorHAnsi" w:hAnsiTheme="minorHAnsi"/>
          <w:b/>
          <w:sz w:val="20"/>
          <w:szCs w:val="20"/>
        </w:rPr>
        <w:t>, March 2018</w:t>
      </w:r>
    </w:p>
    <w:p w:rsidR="00FD2A26" w:rsidRPr="00B950AE" w:rsidRDefault="00FD2A26" w:rsidP="00E733FD">
      <w:pPr>
        <w:pStyle w:val="ListParagraph"/>
        <w:numPr>
          <w:ilvl w:val="0"/>
          <w:numId w:val="5"/>
        </w:numPr>
        <w:jc w:val="center"/>
        <w:rPr>
          <w:rFonts w:asciiTheme="minorHAnsi" w:hAnsiTheme="minorHAnsi"/>
          <w:b/>
          <w:sz w:val="20"/>
          <w:szCs w:val="20"/>
        </w:rPr>
      </w:pPr>
      <w:r w:rsidRPr="00B950AE">
        <w:rPr>
          <w:rFonts w:asciiTheme="minorHAnsi" w:hAnsiTheme="minorHAnsi"/>
          <w:sz w:val="20"/>
          <w:szCs w:val="20"/>
        </w:rPr>
        <w:t>Leicestershire Partnership NHS Trust’s position in the distribution is indicated by a pink dot</w:t>
      </w:r>
    </w:p>
    <w:p w:rsidR="00FD2A26" w:rsidRDefault="00FD2A26" w:rsidP="00FD2A26">
      <w:pPr>
        <w:ind w:left="2160" w:firstLine="720"/>
        <w:rPr>
          <w:rFonts w:asciiTheme="minorHAnsi" w:hAnsiTheme="minorHAnsi"/>
          <w:b/>
          <w:sz w:val="20"/>
          <w:szCs w:val="20"/>
        </w:rPr>
      </w:pPr>
      <w:r>
        <w:rPr>
          <w:rFonts w:asciiTheme="minorHAnsi" w:hAnsiTheme="minorHAnsi"/>
          <w:b/>
          <w:sz w:val="20"/>
          <w:szCs w:val="20"/>
        </w:rPr>
        <w:t>Mean</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Median</w:t>
      </w:r>
    </w:p>
    <w:p w:rsidR="00DE7769" w:rsidRDefault="00DE7769" w:rsidP="00DE7769">
      <w:pPr>
        <w:ind w:left="1418"/>
        <w:rPr>
          <w:rFonts w:asciiTheme="minorHAnsi" w:hAnsiTheme="minorHAnsi"/>
          <w:b/>
          <w:sz w:val="20"/>
          <w:szCs w:val="20"/>
        </w:rPr>
      </w:pPr>
      <w:r>
        <w:rPr>
          <w:noProof/>
          <w:lang w:eastAsia="en-GB"/>
        </w:rPr>
        <w:drawing>
          <wp:inline distT="0" distB="0" distL="0" distR="0" wp14:anchorId="4EC8E7ED" wp14:editId="2F4682F7">
            <wp:extent cx="1276347" cy="3867151"/>
            <wp:effectExtent l="0" t="0" r="63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heme="minorHAnsi" w:hAnsiTheme="minorHAnsi"/>
          <w:b/>
          <w:sz w:val="20"/>
          <w:szCs w:val="20"/>
        </w:rPr>
        <w:t xml:space="preserve"> </w:t>
      </w:r>
      <w:r>
        <w:rPr>
          <w:noProof/>
          <w:lang w:eastAsia="en-GB"/>
        </w:rPr>
        <w:t xml:space="preserve">                  </w:t>
      </w:r>
      <w:r>
        <w:rPr>
          <w:noProof/>
          <w:lang w:eastAsia="en-GB"/>
        </w:rPr>
        <w:drawing>
          <wp:inline distT="0" distB="0" distL="0" distR="0" wp14:anchorId="05F94C33" wp14:editId="47ECE9F6">
            <wp:extent cx="1228722" cy="3819526"/>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7769" w:rsidRDefault="00DE7769" w:rsidP="00FD2A26">
      <w:pPr>
        <w:ind w:left="2160" w:firstLine="720"/>
        <w:rPr>
          <w:rFonts w:asciiTheme="minorHAnsi" w:hAnsiTheme="minorHAnsi"/>
          <w:b/>
          <w:sz w:val="20"/>
          <w:szCs w:val="20"/>
        </w:rPr>
      </w:pPr>
    </w:p>
    <w:p w:rsidR="00DE7769" w:rsidRDefault="00DE7769" w:rsidP="00FD2A26">
      <w:pPr>
        <w:ind w:left="2160" w:firstLine="720"/>
        <w:rPr>
          <w:rFonts w:asciiTheme="minorHAnsi" w:hAnsiTheme="minorHAnsi"/>
          <w:b/>
          <w:sz w:val="20"/>
          <w:szCs w:val="20"/>
        </w:rPr>
      </w:pPr>
    </w:p>
    <w:p w:rsidR="00DE7769" w:rsidRDefault="00DE7769" w:rsidP="00FD2A26">
      <w:pPr>
        <w:ind w:left="2160" w:firstLine="720"/>
        <w:rPr>
          <w:rFonts w:asciiTheme="minorHAnsi" w:hAnsiTheme="minorHAnsi"/>
          <w:b/>
          <w:sz w:val="20"/>
          <w:szCs w:val="20"/>
        </w:rPr>
      </w:pPr>
    </w:p>
    <w:p w:rsidR="00DE7769" w:rsidRDefault="00DE7769" w:rsidP="00FD2A26">
      <w:pPr>
        <w:ind w:left="2160" w:firstLine="720"/>
        <w:rPr>
          <w:rFonts w:asciiTheme="minorHAnsi" w:hAnsiTheme="minorHAnsi"/>
          <w:b/>
          <w:sz w:val="20"/>
          <w:szCs w:val="20"/>
        </w:rPr>
      </w:pPr>
    </w:p>
    <w:p w:rsidR="00DE7769" w:rsidRPr="00FD2A26" w:rsidRDefault="00DE7769" w:rsidP="00FD2A26">
      <w:pPr>
        <w:ind w:left="2160" w:firstLine="720"/>
        <w:rPr>
          <w:rFonts w:asciiTheme="minorHAnsi" w:hAnsiTheme="minorHAnsi"/>
          <w:b/>
          <w:sz w:val="20"/>
          <w:szCs w:val="20"/>
        </w:rPr>
      </w:pPr>
    </w:p>
    <w:p w:rsidR="00E11ED8" w:rsidRDefault="006C73B9" w:rsidP="00D742F1">
      <w:pPr>
        <w:ind w:left="1418"/>
      </w:pPr>
      <w:r>
        <w:t xml:space="preserve">                    </w:t>
      </w:r>
    </w:p>
    <w:p w:rsidR="00E11ED8" w:rsidRDefault="00E11ED8">
      <w:pPr>
        <w:spacing w:after="200" w:line="276" w:lineRule="auto"/>
      </w:pPr>
    </w:p>
    <w:p w:rsidR="00E11ED8" w:rsidRDefault="00E11ED8">
      <w:pPr>
        <w:spacing w:after="200" w:line="276" w:lineRule="auto"/>
      </w:pPr>
    </w:p>
    <w:p w:rsidR="001C3A48" w:rsidRDefault="001C3A48">
      <w:pPr>
        <w:spacing w:after="200" w:line="276" w:lineRule="auto"/>
      </w:pPr>
      <w:r>
        <w:br w:type="page"/>
      </w:r>
    </w:p>
    <w:p w:rsidR="00E11ED8" w:rsidRDefault="00E11ED8">
      <w:pPr>
        <w:spacing w:after="200" w:line="276" w:lineRule="auto"/>
      </w:pPr>
    </w:p>
    <w:p w:rsidR="00E11ED8" w:rsidRDefault="00E11ED8">
      <w:pPr>
        <w:spacing w:after="200" w:line="276" w:lineRule="auto"/>
      </w:pPr>
    </w:p>
    <w:p w:rsidR="00BF4E6B" w:rsidRDefault="00BF4E6B">
      <w:pPr>
        <w:spacing w:after="200" w:line="276" w:lineRule="auto"/>
      </w:pPr>
    </w:p>
    <w:p w:rsidR="00E11ED8" w:rsidRDefault="00E11ED8" w:rsidP="00545E9F">
      <w:r w:rsidRPr="00E11ED8">
        <w:rPr>
          <w:b/>
        </w:rPr>
        <w:t>Annual bonus pay:</w:t>
      </w:r>
      <w:r>
        <w:t xml:space="preserve">  </w:t>
      </w:r>
      <w:r w:rsidR="00D1534E">
        <w:t xml:space="preserve">In </w:t>
      </w:r>
      <w:r w:rsidR="00FA27E2">
        <w:t>20</w:t>
      </w:r>
      <w:r w:rsidR="00D1534E">
        <w:t>17/</w:t>
      </w:r>
      <w:r w:rsidR="00FA27E2">
        <w:t xml:space="preserve">18, LPT had a Gender Pay Gap of </w:t>
      </w:r>
      <w:r w:rsidR="00FA27E2" w:rsidRPr="00E04341">
        <w:rPr>
          <w:b/>
        </w:rPr>
        <w:t>+</w:t>
      </w:r>
      <w:r w:rsidR="00FA27E2">
        <w:rPr>
          <w:b/>
        </w:rPr>
        <w:t>33</w:t>
      </w:r>
      <w:r w:rsidR="00FA27E2" w:rsidRPr="00E04341">
        <w:rPr>
          <w:b/>
        </w:rPr>
        <w:t>.</w:t>
      </w:r>
      <w:r w:rsidR="00FA27E2">
        <w:rPr>
          <w:b/>
        </w:rPr>
        <w:t>9</w:t>
      </w:r>
      <w:r w:rsidR="00FA27E2" w:rsidRPr="00E04341">
        <w:rPr>
          <w:b/>
        </w:rPr>
        <w:t>%</w:t>
      </w:r>
      <w:r w:rsidR="00FA27E2" w:rsidRPr="00175B97">
        <w:t xml:space="preserve"> for mean</w:t>
      </w:r>
      <w:r w:rsidR="00FA27E2">
        <w:t xml:space="preserve"> annual bonus pay and </w:t>
      </w:r>
      <w:r w:rsidR="00FA27E2">
        <w:rPr>
          <w:b/>
        </w:rPr>
        <w:t>+70.8</w:t>
      </w:r>
      <w:r w:rsidR="00FA27E2" w:rsidRPr="00E04341">
        <w:rPr>
          <w:b/>
        </w:rPr>
        <w:t>%</w:t>
      </w:r>
      <w:r w:rsidR="00FA27E2" w:rsidRPr="00175B97">
        <w:t xml:space="preserve"> for median </w:t>
      </w:r>
      <w:r w:rsidR="00FA27E2">
        <w:t>annual bonus</w:t>
      </w:r>
      <w:r w:rsidR="00FA27E2" w:rsidRPr="00175B97">
        <w:t xml:space="preserve"> pay</w:t>
      </w:r>
      <w:r w:rsidR="00FA27E2">
        <w:t>, both in favour of men</w:t>
      </w:r>
      <w:r w:rsidR="00FA27E2" w:rsidRPr="00175B97">
        <w:t>.</w:t>
      </w:r>
      <w:r w:rsidR="00FA27E2">
        <w:t xml:space="preserve">  In terms of the size of these Gender Pay Gaps compared to other NHS provider trusts, this placed LPT at the </w:t>
      </w:r>
      <w:r w:rsidR="00FA27E2">
        <w:rPr>
          <w:b/>
        </w:rPr>
        <w:t>54</w:t>
      </w:r>
      <w:r w:rsidR="00FA27E2" w:rsidRPr="00F81058">
        <w:rPr>
          <w:b/>
          <w:vertAlign w:val="superscript"/>
        </w:rPr>
        <w:t>th</w:t>
      </w:r>
      <w:r w:rsidR="00FA27E2" w:rsidRPr="00F81058">
        <w:rPr>
          <w:b/>
        </w:rPr>
        <w:t xml:space="preserve"> percentile</w:t>
      </w:r>
      <w:r w:rsidR="00FA27E2">
        <w:t xml:space="preserve"> for mean annual bonus pay and at the </w:t>
      </w:r>
      <w:r w:rsidR="00FA27E2">
        <w:rPr>
          <w:b/>
        </w:rPr>
        <w:t>87</w:t>
      </w:r>
      <w:r w:rsidR="00FA27E2" w:rsidRPr="00FA27E2">
        <w:rPr>
          <w:b/>
          <w:vertAlign w:val="superscript"/>
        </w:rPr>
        <w:t>th</w:t>
      </w:r>
      <w:r w:rsidR="00FA27E2">
        <w:rPr>
          <w:b/>
        </w:rPr>
        <w:t xml:space="preserve"> </w:t>
      </w:r>
      <w:r w:rsidR="00FA27E2" w:rsidRPr="00F81058">
        <w:rPr>
          <w:b/>
        </w:rPr>
        <w:t>percentile</w:t>
      </w:r>
      <w:r w:rsidR="00FA27E2">
        <w:t xml:space="preserve"> for median annual bonus pay (</w:t>
      </w:r>
      <w:r w:rsidR="00FA27E2" w:rsidRPr="00F81058">
        <w:rPr>
          <w:i/>
        </w:rPr>
        <w:t>i.e.</w:t>
      </w:r>
      <w:r w:rsidR="00FA27E2">
        <w:t xml:space="preserve">, just in the top half of NHS provider trusts in terms of mean annual bonus pay and in the highest fifth of trusts in terms of median annual bonus pay – the discrepancy between the mean and median based Gender Pay Gaps in annual bonus pay at LPT arose because, amongst women, a small number of very high bonus payments skewed the mean gender pay gap downwards without having such a large effect on the median; under these circumstances the median gives a better indication of typical bonus pay).  It is noted that at LPT, bonus payments were made only to Medical Consultants (in the form of Clinical Excellence Awards); this may not have been the case at other NHS provider trusts.  For reference, </w:t>
      </w:r>
      <w:r w:rsidR="00D1534E">
        <w:t xml:space="preserve">in </w:t>
      </w:r>
      <w:r>
        <w:t>20</w:t>
      </w:r>
      <w:r w:rsidR="00D1534E">
        <w:t>16/</w:t>
      </w:r>
      <w:r>
        <w:t>17</w:t>
      </w:r>
      <w:r w:rsidRPr="00FA27E2">
        <w:t xml:space="preserve">, </w:t>
      </w:r>
      <w:r w:rsidR="009A3F80" w:rsidRPr="00FA27E2">
        <w:t>LPT</w:t>
      </w:r>
      <w:r w:rsidRPr="00FA27E2">
        <w:t xml:space="preserve"> had a Gender Pay Gap of +22.1% </w:t>
      </w:r>
      <w:r w:rsidR="00FA27E2" w:rsidRPr="00FA27E2">
        <w:t>(34</w:t>
      </w:r>
      <w:r w:rsidR="00FA27E2" w:rsidRPr="00FA27E2">
        <w:rPr>
          <w:vertAlign w:val="superscript"/>
        </w:rPr>
        <w:t>th</w:t>
      </w:r>
      <w:r w:rsidR="00FA27E2" w:rsidRPr="00FA27E2">
        <w:t xml:space="preserve"> percentile) </w:t>
      </w:r>
      <w:r w:rsidRPr="00FA27E2">
        <w:t xml:space="preserve">for mean annual bonus pay and +60.0% </w:t>
      </w:r>
      <w:r w:rsidR="00FA27E2" w:rsidRPr="00FA27E2">
        <w:t>(81</w:t>
      </w:r>
      <w:r w:rsidR="00FA27E2" w:rsidRPr="00FA27E2">
        <w:rPr>
          <w:vertAlign w:val="superscript"/>
        </w:rPr>
        <w:t>st</w:t>
      </w:r>
      <w:r w:rsidR="00FA27E2" w:rsidRPr="00FA27E2">
        <w:t xml:space="preserve"> percentile) </w:t>
      </w:r>
      <w:r w:rsidRPr="00FA27E2">
        <w:t>for median</w:t>
      </w:r>
      <w:r w:rsidRPr="00175B97">
        <w:t xml:space="preserve"> </w:t>
      </w:r>
      <w:r>
        <w:t>annual bonus</w:t>
      </w:r>
      <w:r w:rsidRPr="00175B97">
        <w:t xml:space="preserve"> pay</w:t>
      </w:r>
      <w:r>
        <w:t>, both in favour of men</w:t>
      </w:r>
      <w:r w:rsidR="00245663">
        <w:t>.</w:t>
      </w:r>
    </w:p>
    <w:p w:rsidR="00545E9F" w:rsidRDefault="00545E9F" w:rsidP="00545E9F"/>
    <w:p w:rsidR="00545E9F" w:rsidRDefault="00545E9F" w:rsidP="00545E9F">
      <w:pPr>
        <w:jc w:val="center"/>
        <w:rPr>
          <w:rFonts w:asciiTheme="minorHAnsi" w:hAnsiTheme="minorHAnsi"/>
          <w:b/>
          <w:sz w:val="20"/>
          <w:szCs w:val="20"/>
        </w:rPr>
      </w:pPr>
      <w:r w:rsidRPr="00FD2A26">
        <w:rPr>
          <w:rFonts w:asciiTheme="minorHAnsi" w:hAnsiTheme="minorHAnsi"/>
          <w:b/>
          <w:sz w:val="20"/>
          <w:szCs w:val="20"/>
        </w:rPr>
        <w:t xml:space="preserve">Gender Pay Gaps in </w:t>
      </w:r>
      <w:r w:rsidR="0057343E">
        <w:rPr>
          <w:rFonts w:asciiTheme="minorHAnsi" w:hAnsiTheme="minorHAnsi"/>
          <w:b/>
          <w:sz w:val="20"/>
          <w:szCs w:val="20"/>
        </w:rPr>
        <w:t>Annual B</w:t>
      </w:r>
      <w:r w:rsidR="009D7C91">
        <w:rPr>
          <w:rFonts w:asciiTheme="minorHAnsi" w:hAnsiTheme="minorHAnsi"/>
          <w:b/>
          <w:sz w:val="20"/>
          <w:szCs w:val="20"/>
        </w:rPr>
        <w:t>onus</w:t>
      </w:r>
      <w:r w:rsidR="0057343E">
        <w:rPr>
          <w:rFonts w:asciiTheme="minorHAnsi" w:hAnsiTheme="minorHAnsi"/>
          <w:b/>
          <w:sz w:val="20"/>
          <w:szCs w:val="20"/>
        </w:rPr>
        <w:t xml:space="preserve"> P</w:t>
      </w:r>
      <w:r w:rsidRPr="00FD2A26">
        <w:rPr>
          <w:rFonts w:asciiTheme="minorHAnsi" w:hAnsiTheme="minorHAnsi"/>
          <w:b/>
          <w:sz w:val="20"/>
          <w:szCs w:val="20"/>
        </w:rPr>
        <w:t xml:space="preserve">ay </w:t>
      </w:r>
      <w:r>
        <w:rPr>
          <w:rFonts w:asciiTheme="minorHAnsi" w:hAnsiTheme="minorHAnsi"/>
          <w:b/>
          <w:sz w:val="20"/>
          <w:szCs w:val="20"/>
        </w:rPr>
        <w:t>across</w:t>
      </w:r>
      <w:r w:rsidR="0057343E">
        <w:rPr>
          <w:rFonts w:asciiTheme="minorHAnsi" w:hAnsiTheme="minorHAnsi"/>
          <w:b/>
          <w:sz w:val="20"/>
          <w:szCs w:val="20"/>
        </w:rPr>
        <w:t xml:space="preserve"> NHS Provider T</w:t>
      </w:r>
      <w:r w:rsidRPr="00FD2A26">
        <w:rPr>
          <w:rFonts w:asciiTheme="minorHAnsi" w:hAnsiTheme="minorHAnsi"/>
          <w:b/>
          <w:sz w:val="20"/>
          <w:szCs w:val="20"/>
        </w:rPr>
        <w:t>rusts</w:t>
      </w:r>
      <w:r>
        <w:rPr>
          <w:rFonts w:asciiTheme="minorHAnsi" w:hAnsiTheme="minorHAnsi"/>
          <w:b/>
          <w:sz w:val="20"/>
          <w:szCs w:val="20"/>
        </w:rPr>
        <w:t xml:space="preserve"> (box and whisker plots)</w:t>
      </w:r>
      <w:r w:rsidR="00D1534E">
        <w:rPr>
          <w:rFonts w:asciiTheme="minorHAnsi" w:hAnsiTheme="minorHAnsi"/>
          <w:b/>
          <w:sz w:val="20"/>
          <w:szCs w:val="20"/>
        </w:rPr>
        <w:t>, 2017/18</w:t>
      </w:r>
    </w:p>
    <w:p w:rsidR="00545E9F" w:rsidRPr="00B950AE" w:rsidRDefault="00545E9F" w:rsidP="00E733FD">
      <w:pPr>
        <w:pStyle w:val="ListParagraph"/>
        <w:numPr>
          <w:ilvl w:val="0"/>
          <w:numId w:val="4"/>
        </w:numPr>
        <w:jc w:val="center"/>
        <w:rPr>
          <w:rFonts w:asciiTheme="minorHAnsi" w:hAnsiTheme="minorHAnsi"/>
          <w:b/>
          <w:sz w:val="20"/>
          <w:szCs w:val="20"/>
        </w:rPr>
      </w:pPr>
      <w:r w:rsidRPr="00B950AE">
        <w:rPr>
          <w:rFonts w:asciiTheme="minorHAnsi" w:hAnsiTheme="minorHAnsi"/>
          <w:sz w:val="20"/>
          <w:szCs w:val="20"/>
        </w:rPr>
        <w:t>Leicestershire Partnership NHS Trust’s position in the distribution is indicated by a pink dot</w:t>
      </w:r>
    </w:p>
    <w:p w:rsidR="00545E9F" w:rsidRPr="00FD2A26" w:rsidRDefault="00545E9F" w:rsidP="00545E9F">
      <w:pPr>
        <w:ind w:left="2160" w:firstLine="720"/>
        <w:rPr>
          <w:rFonts w:asciiTheme="minorHAnsi" w:hAnsiTheme="minorHAnsi"/>
          <w:b/>
          <w:sz w:val="20"/>
          <w:szCs w:val="20"/>
        </w:rPr>
      </w:pPr>
      <w:r>
        <w:rPr>
          <w:rFonts w:asciiTheme="minorHAnsi" w:hAnsiTheme="minorHAnsi"/>
          <w:b/>
          <w:sz w:val="20"/>
          <w:szCs w:val="20"/>
        </w:rPr>
        <w:t>Mean</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Median</w:t>
      </w:r>
    </w:p>
    <w:p w:rsidR="007F62F6" w:rsidRDefault="00D05C48" w:rsidP="00D05C48">
      <w:pPr>
        <w:spacing w:after="200" w:line="276" w:lineRule="auto"/>
        <w:ind w:left="720"/>
      </w:pPr>
      <w:r>
        <w:t xml:space="preserve">        </w:t>
      </w:r>
      <w:r w:rsidR="00FA27E2">
        <w:t xml:space="preserve">    </w:t>
      </w:r>
      <w:r w:rsidR="00FA27E2">
        <w:rPr>
          <w:noProof/>
          <w:lang w:eastAsia="en-GB"/>
        </w:rPr>
        <w:drawing>
          <wp:inline distT="0" distB="0" distL="0" distR="0" wp14:anchorId="027D1401" wp14:editId="137515D3">
            <wp:extent cx="1323972" cy="3724276"/>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A27E2">
        <w:t xml:space="preserve">     </w:t>
      </w:r>
      <w:r>
        <w:t xml:space="preserve">        </w:t>
      </w:r>
      <w:r w:rsidR="00FA27E2">
        <w:t xml:space="preserve"> </w:t>
      </w:r>
      <w:r w:rsidR="00FA27E2">
        <w:rPr>
          <w:noProof/>
          <w:lang w:eastAsia="en-GB"/>
        </w:rPr>
        <w:drawing>
          <wp:inline distT="0" distB="0" distL="0" distR="0" wp14:anchorId="0DD3009F" wp14:editId="72CB8A62">
            <wp:extent cx="1362073" cy="3724276"/>
            <wp:effectExtent l="0" t="0" r="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1EA7" w:rsidRDefault="00F81EA7">
      <w:pPr>
        <w:spacing w:after="200" w:line="276" w:lineRule="auto"/>
      </w:pPr>
    </w:p>
    <w:p w:rsidR="00D86B26" w:rsidRDefault="00D86B26" w:rsidP="00906F1C"/>
    <w:p w:rsidR="00F81EA7" w:rsidRDefault="00F81EA7" w:rsidP="00906F1C"/>
    <w:p w:rsidR="00DF7B42" w:rsidRDefault="00DF7B42">
      <w:pPr>
        <w:spacing w:after="200" w:line="276" w:lineRule="auto"/>
      </w:pPr>
      <w:r>
        <w:br w:type="page"/>
      </w:r>
    </w:p>
    <w:p w:rsidR="009D0C33" w:rsidRDefault="009D0C33" w:rsidP="009D0C33"/>
    <w:p w:rsidR="00DF7B42" w:rsidRDefault="00DF7B42" w:rsidP="009D0C33"/>
    <w:p w:rsidR="00DF7B42" w:rsidRDefault="00DF7B42" w:rsidP="009D0C33"/>
    <w:p w:rsidR="00DF7B42" w:rsidRDefault="00DF7B42" w:rsidP="009D0C33"/>
    <w:p w:rsidR="00DF7B42" w:rsidRDefault="00DF7B42" w:rsidP="009D0C33"/>
    <w:p w:rsidR="00D742F1" w:rsidRDefault="00DF7B42" w:rsidP="009D0C33">
      <w:r w:rsidRPr="00DF7B42">
        <w:rPr>
          <w:b/>
        </w:rPr>
        <w:t>Relative likelihood of women being in the top pay quartile compared to men:</w:t>
      </w:r>
      <w:r>
        <w:t xml:space="preserve"> </w:t>
      </w:r>
    </w:p>
    <w:p w:rsidR="00D742F1" w:rsidRDefault="00D742F1" w:rsidP="009D0C33"/>
    <w:p w:rsidR="00EA7CC1" w:rsidRDefault="00D742F1" w:rsidP="009D0C33">
      <w:r>
        <w:t xml:space="preserve">At March 2018, women at LPT were </w:t>
      </w:r>
      <w:r w:rsidRPr="00DF7B42">
        <w:rPr>
          <w:b/>
        </w:rPr>
        <w:t>0.</w:t>
      </w:r>
      <w:r w:rsidR="00B1731B">
        <w:rPr>
          <w:b/>
        </w:rPr>
        <w:t>70</w:t>
      </w:r>
      <w:r>
        <w:t xml:space="preserve"> times as likely as men to be in the top quartile for hourly pay; this placed LPT at the </w:t>
      </w:r>
      <w:r>
        <w:rPr>
          <w:b/>
        </w:rPr>
        <w:t>69</w:t>
      </w:r>
      <w:r w:rsidRPr="00D742F1">
        <w:rPr>
          <w:b/>
          <w:vertAlign w:val="superscript"/>
        </w:rPr>
        <w:t>th</w:t>
      </w:r>
      <w:r>
        <w:rPr>
          <w:b/>
        </w:rPr>
        <w:t xml:space="preserve"> </w:t>
      </w:r>
      <w:r w:rsidRPr="00F81058">
        <w:rPr>
          <w:b/>
        </w:rPr>
        <w:t>percentile</w:t>
      </w:r>
      <w:r w:rsidRPr="00EA7CC1">
        <w:t xml:space="preserve"> of NHS provider trusts </w:t>
      </w:r>
      <w:r>
        <w:t>(</w:t>
      </w:r>
      <w:r w:rsidRPr="00EA7CC1">
        <w:rPr>
          <w:i/>
        </w:rPr>
        <w:t>i.e.</w:t>
      </w:r>
      <w:r>
        <w:t>, within the highest third of NHS provider trusts for the r</w:t>
      </w:r>
      <w:r w:rsidRPr="00EA7CC1">
        <w:t>elative likelihood of women being in the top pay quartile compared to men</w:t>
      </w:r>
      <w:r>
        <w:t xml:space="preserve"> – although women were still less likely than men to be in the top pay quartile).  For reference, a</w:t>
      </w:r>
      <w:r w:rsidR="00DF7B42">
        <w:t xml:space="preserve">t March 2017, women at </w:t>
      </w:r>
      <w:r w:rsidR="000B0370">
        <w:t>LPT</w:t>
      </w:r>
      <w:r w:rsidR="00DF7B42">
        <w:t xml:space="preserve"> </w:t>
      </w:r>
      <w:r w:rsidR="00DF7B42" w:rsidRPr="00E70839">
        <w:t>were 0.</w:t>
      </w:r>
      <w:r w:rsidR="0057343E" w:rsidRPr="00E70839">
        <w:t>69</w:t>
      </w:r>
      <w:r w:rsidR="00DF7B42" w:rsidRPr="00E70839">
        <w:t xml:space="preserve"> times as likely as men to be in the top quartile for hourly pay</w:t>
      </w:r>
      <w:r w:rsidRPr="00E70839">
        <w:t xml:space="preserve"> (</w:t>
      </w:r>
      <w:r w:rsidR="00EA7CC1" w:rsidRPr="00E70839">
        <w:t>71</w:t>
      </w:r>
      <w:r w:rsidR="00EA7CC1" w:rsidRPr="00E70839">
        <w:rPr>
          <w:vertAlign w:val="superscript"/>
        </w:rPr>
        <w:t>st</w:t>
      </w:r>
      <w:r w:rsidR="00EA7CC1" w:rsidRPr="00E70839">
        <w:t xml:space="preserve"> percentile</w:t>
      </w:r>
      <w:r w:rsidRPr="00E70839">
        <w:t>).</w:t>
      </w:r>
    </w:p>
    <w:p w:rsidR="00B950AE" w:rsidRDefault="00B950AE" w:rsidP="009D0C33"/>
    <w:p w:rsidR="00B950AE" w:rsidRDefault="00B950AE" w:rsidP="00B950AE">
      <w:pPr>
        <w:jc w:val="center"/>
        <w:rPr>
          <w:rFonts w:asciiTheme="minorHAnsi" w:hAnsiTheme="minorHAnsi"/>
          <w:b/>
          <w:sz w:val="20"/>
          <w:szCs w:val="20"/>
        </w:rPr>
      </w:pPr>
      <w:r>
        <w:rPr>
          <w:rFonts w:asciiTheme="minorHAnsi" w:hAnsiTheme="minorHAnsi"/>
          <w:b/>
          <w:sz w:val="20"/>
          <w:szCs w:val="20"/>
        </w:rPr>
        <w:t>R</w:t>
      </w:r>
      <w:r w:rsidR="0057343E">
        <w:rPr>
          <w:rFonts w:asciiTheme="minorHAnsi" w:hAnsiTheme="minorHAnsi"/>
          <w:b/>
          <w:sz w:val="20"/>
          <w:szCs w:val="20"/>
        </w:rPr>
        <w:t>elative L</w:t>
      </w:r>
      <w:r>
        <w:rPr>
          <w:rFonts w:asciiTheme="minorHAnsi" w:hAnsiTheme="minorHAnsi"/>
          <w:b/>
          <w:sz w:val="20"/>
          <w:szCs w:val="20"/>
        </w:rPr>
        <w:t>ikelihoods o</w:t>
      </w:r>
      <w:r w:rsidR="0057343E">
        <w:rPr>
          <w:rFonts w:asciiTheme="minorHAnsi" w:hAnsiTheme="minorHAnsi"/>
          <w:b/>
          <w:sz w:val="20"/>
          <w:szCs w:val="20"/>
        </w:rPr>
        <w:t>f Women being in the Top Pay Quartile Compared to M</w:t>
      </w:r>
      <w:r>
        <w:rPr>
          <w:rFonts w:asciiTheme="minorHAnsi" w:hAnsiTheme="minorHAnsi"/>
          <w:b/>
          <w:sz w:val="20"/>
          <w:szCs w:val="20"/>
        </w:rPr>
        <w:t>en,</w:t>
      </w:r>
      <w:r w:rsidRPr="00FD2A26">
        <w:rPr>
          <w:rFonts w:asciiTheme="minorHAnsi" w:hAnsiTheme="minorHAnsi"/>
          <w:b/>
          <w:sz w:val="20"/>
          <w:szCs w:val="20"/>
        </w:rPr>
        <w:t xml:space="preserve"> </w:t>
      </w:r>
      <w:r>
        <w:rPr>
          <w:rFonts w:asciiTheme="minorHAnsi" w:hAnsiTheme="minorHAnsi"/>
          <w:b/>
          <w:sz w:val="20"/>
          <w:szCs w:val="20"/>
        </w:rPr>
        <w:t>across</w:t>
      </w:r>
      <w:r w:rsidR="0057343E">
        <w:rPr>
          <w:rFonts w:asciiTheme="minorHAnsi" w:hAnsiTheme="minorHAnsi"/>
          <w:b/>
          <w:sz w:val="20"/>
          <w:szCs w:val="20"/>
        </w:rPr>
        <w:t xml:space="preserve"> NHS Provider T</w:t>
      </w:r>
      <w:r w:rsidRPr="00FD2A26">
        <w:rPr>
          <w:rFonts w:asciiTheme="minorHAnsi" w:hAnsiTheme="minorHAnsi"/>
          <w:b/>
          <w:sz w:val="20"/>
          <w:szCs w:val="20"/>
        </w:rPr>
        <w:t>rusts</w:t>
      </w:r>
    </w:p>
    <w:p w:rsidR="00B950AE" w:rsidRDefault="00B950AE" w:rsidP="00B950AE">
      <w:pPr>
        <w:jc w:val="center"/>
        <w:rPr>
          <w:rFonts w:asciiTheme="minorHAnsi" w:hAnsiTheme="minorHAnsi"/>
          <w:b/>
          <w:sz w:val="20"/>
          <w:szCs w:val="20"/>
        </w:rPr>
      </w:pPr>
      <w:r>
        <w:rPr>
          <w:rFonts w:asciiTheme="minorHAnsi" w:hAnsiTheme="minorHAnsi"/>
          <w:b/>
          <w:sz w:val="20"/>
          <w:szCs w:val="20"/>
        </w:rPr>
        <w:t>(box and whisker plot)</w:t>
      </w:r>
      <w:r w:rsidR="00D1534E">
        <w:rPr>
          <w:rFonts w:asciiTheme="minorHAnsi" w:hAnsiTheme="minorHAnsi"/>
          <w:b/>
          <w:sz w:val="20"/>
          <w:szCs w:val="20"/>
        </w:rPr>
        <w:t>, March 2018</w:t>
      </w:r>
    </w:p>
    <w:p w:rsidR="00B950AE" w:rsidRPr="00B950AE" w:rsidRDefault="00B950AE" w:rsidP="00E733FD">
      <w:pPr>
        <w:pStyle w:val="ListParagraph"/>
        <w:numPr>
          <w:ilvl w:val="0"/>
          <w:numId w:val="3"/>
        </w:numPr>
        <w:jc w:val="center"/>
        <w:rPr>
          <w:rFonts w:asciiTheme="minorHAnsi" w:hAnsiTheme="minorHAnsi"/>
          <w:b/>
          <w:sz w:val="20"/>
          <w:szCs w:val="20"/>
        </w:rPr>
      </w:pPr>
      <w:r w:rsidRPr="00B950AE">
        <w:rPr>
          <w:rFonts w:asciiTheme="minorHAnsi" w:hAnsiTheme="minorHAnsi"/>
          <w:sz w:val="20"/>
          <w:szCs w:val="20"/>
        </w:rPr>
        <w:t>Leicestershire Partnership NHS Trust’s position in the distribution is indicated by a pink dot</w:t>
      </w:r>
    </w:p>
    <w:p w:rsidR="00B950AE" w:rsidRDefault="00D742F1" w:rsidP="00B950AE">
      <w:pPr>
        <w:jc w:val="center"/>
      </w:pPr>
      <w:r w:rsidRPr="00D742F1">
        <w:rPr>
          <w:noProof/>
          <w:lang w:eastAsia="en-GB"/>
        </w:rPr>
        <w:t xml:space="preserve"> </w:t>
      </w:r>
      <w:r>
        <w:rPr>
          <w:noProof/>
          <w:lang w:eastAsia="en-GB"/>
        </w:rPr>
        <w:drawing>
          <wp:inline distT="0" distB="0" distL="0" distR="0" wp14:anchorId="4CB0CEBC" wp14:editId="004F21B1">
            <wp:extent cx="1573618" cy="3721395"/>
            <wp:effectExtent l="0" t="0" r="762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950AE" w:rsidRDefault="00B950AE" w:rsidP="009D0C33"/>
    <w:p w:rsidR="00B950AE" w:rsidRDefault="00B950AE" w:rsidP="009D0C33"/>
    <w:p w:rsidR="00545E9F" w:rsidRDefault="00545E9F" w:rsidP="009D0C33"/>
    <w:p w:rsidR="00545E9F" w:rsidRDefault="00545E9F" w:rsidP="009D0C33"/>
    <w:p w:rsidR="0057343E" w:rsidRDefault="0057343E">
      <w:pPr>
        <w:spacing w:after="200" w:line="276" w:lineRule="auto"/>
      </w:pPr>
      <w:r>
        <w:br w:type="page"/>
      </w:r>
    </w:p>
    <w:p w:rsidR="00545E9F" w:rsidRDefault="00545E9F" w:rsidP="009D0C33"/>
    <w:p w:rsidR="0057343E" w:rsidRDefault="0057343E" w:rsidP="009D0C33"/>
    <w:p w:rsidR="0057343E" w:rsidRDefault="0057343E" w:rsidP="009D0C33"/>
    <w:p w:rsidR="009D0C33" w:rsidRDefault="009D0C33" w:rsidP="009D0C33"/>
    <w:p w:rsidR="00D86B26" w:rsidRPr="00C835A9" w:rsidRDefault="00D86B26" w:rsidP="00D86B26">
      <w:pPr>
        <w:pStyle w:val="Heading2"/>
      </w:pPr>
      <w:r>
        <w:t>Summary and actions</w:t>
      </w:r>
    </w:p>
    <w:p w:rsidR="00D86B26" w:rsidRDefault="00D86B26" w:rsidP="00906F1C"/>
    <w:p w:rsidR="00045387" w:rsidRDefault="00767F0D" w:rsidP="00906F1C">
      <w:r>
        <w:t xml:space="preserve">The </w:t>
      </w:r>
      <w:r w:rsidR="00045387">
        <w:t xml:space="preserve">Gender Pay Gap </w:t>
      </w:r>
      <w:r w:rsidR="00CD5BAE">
        <w:t xml:space="preserve">analyses </w:t>
      </w:r>
      <w:r>
        <w:t>for</w:t>
      </w:r>
      <w:r w:rsidR="00045387">
        <w:t xml:space="preserve"> </w:t>
      </w:r>
      <w:r w:rsidR="00375E61">
        <w:t>LPT</w:t>
      </w:r>
      <w:r w:rsidR="00045387">
        <w:t xml:space="preserve"> at March 201</w:t>
      </w:r>
      <w:r w:rsidR="00616FF5">
        <w:t>9</w:t>
      </w:r>
      <w:r w:rsidR="00045387">
        <w:t xml:space="preserve"> indicated the presence of Gender Pay Gaps in favour of men in terms of mean and median hourly pay, and in terms of median annual bonus pay</w:t>
      </w:r>
      <w:r w:rsidR="00CD5BAE">
        <w:t>.  Additionally, women were less likely than men to receive bonus pay</w:t>
      </w:r>
      <w:r w:rsidR="00D64BE9">
        <w:t>, and women were less likely than men</w:t>
      </w:r>
      <w:r w:rsidR="00CD5BAE">
        <w:t xml:space="preserve"> to be in </w:t>
      </w:r>
      <w:r w:rsidR="00840F64">
        <w:t xml:space="preserve">the </w:t>
      </w:r>
      <w:r w:rsidR="00CD5BAE">
        <w:t>top pay quartile.  The overall picture was very similar to that observed at March 201</w:t>
      </w:r>
      <w:r w:rsidR="00616FF5">
        <w:t>8 and at March 2017</w:t>
      </w:r>
      <w:r w:rsidR="00CD5BAE">
        <w:t>.</w:t>
      </w:r>
    </w:p>
    <w:p w:rsidR="00045387" w:rsidRDefault="00045387" w:rsidP="00906F1C"/>
    <w:p w:rsidR="00D66DCD" w:rsidRDefault="00D86B26" w:rsidP="00906F1C">
      <w:r>
        <w:t xml:space="preserve">Further analyses </w:t>
      </w:r>
      <w:r w:rsidR="006A6D07">
        <w:t>indicate</w:t>
      </w:r>
      <w:r w:rsidR="00DD69FD">
        <w:t>d</w:t>
      </w:r>
      <w:r w:rsidR="006A6D07">
        <w:t xml:space="preserve"> that, i</w:t>
      </w:r>
      <w:r>
        <w:t xml:space="preserve">n terms of the number of staff affected, the Gender Pay Gap in favour of men was driven mainly by those in </w:t>
      </w:r>
      <w:r w:rsidR="00DD69FD">
        <w:t>non-clinical</w:t>
      </w:r>
      <w:r w:rsidR="0060243B">
        <w:t>, administrative</w:t>
      </w:r>
      <w:r>
        <w:t xml:space="preserve"> roles (there was also a Gender Pa</w:t>
      </w:r>
      <w:r w:rsidR="00DD69FD">
        <w:t xml:space="preserve">y Gap in favour of men amongst </w:t>
      </w:r>
      <w:r w:rsidR="00D65894">
        <w:t>medical</w:t>
      </w:r>
      <w:r w:rsidR="00616FF5">
        <w:t xml:space="preserve"> </w:t>
      </w:r>
      <w:r w:rsidR="00DD69FD">
        <w:t>c</w:t>
      </w:r>
      <w:r>
        <w:t xml:space="preserve">onsultants, but relatively few staff were affected).  </w:t>
      </w:r>
      <w:r w:rsidR="003B089A">
        <w:t>An analysis of the gender profile of the workforce by pay</w:t>
      </w:r>
      <w:r w:rsidR="00616FF5">
        <w:t xml:space="preserve"> band and working pattern (full-time or part-</w:t>
      </w:r>
      <w:r w:rsidR="003B089A">
        <w:t xml:space="preserve">time) indicated that, within </w:t>
      </w:r>
      <w:r w:rsidR="00DD69FD">
        <w:t>non-clinical</w:t>
      </w:r>
      <w:r w:rsidR="003B089A">
        <w:t xml:space="preserve"> roles, women tended to be concentrated in lower paid, part-time positions (band 4 and below), with a paucity of part-time working at higher levels (band 5 and above)</w:t>
      </w:r>
      <w:r w:rsidR="00A93E5F">
        <w:t xml:space="preserve">.  There was also </w:t>
      </w:r>
      <w:r w:rsidR="003B089A">
        <w:t xml:space="preserve">an overrepresentation of men in </w:t>
      </w:r>
      <w:r w:rsidR="00616FF5">
        <w:t>m</w:t>
      </w:r>
      <w:r w:rsidR="00B166B5">
        <w:t>iddle to upper-</w:t>
      </w:r>
      <w:r w:rsidR="00616FF5">
        <w:t>middle</w:t>
      </w:r>
      <w:r w:rsidR="00B166B5">
        <w:t xml:space="preserve"> level</w:t>
      </w:r>
      <w:r w:rsidR="007E25A2">
        <w:t>, full-time</w:t>
      </w:r>
      <w:r w:rsidR="003B089A">
        <w:t xml:space="preserve"> roles</w:t>
      </w:r>
      <w:r w:rsidR="00616FF5">
        <w:t xml:space="preserve"> (band 5 to band 8a)</w:t>
      </w:r>
      <w:r w:rsidR="003B089A">
        <w:t xml:space="preserve">.  </w:t>
      </w:r>
      <w:r>
        <w:t>A disadvantage in career progression for women, potentially associ</w:t>
      </w:r>
      <w:r w:rsidR="00521711">
        <w:t>ated with part time working, could</w:t>
      </w:r>
      <w:r w:rsidR="003B089A">
        <w:t xml:space="preserve"> be inferred.</w:t>
      </w:r>
    </w:p>
    <w:p w:rsidR="000E34E0" w:rsidRDefault="000E34E0" w:rsidP="00906F1C"/>
    <w:p w:rsidR="000E34E0" w:rsidRDefault="000E34E0" w:rsidP="00906F1C">
      <w:r>
        <w:t>In comparison to other NHS provider trusts, based on Gender Pay Gaps</w:t>
      </w:r>
      <w:r w:rsidR="001E1591">
        <w:t xml:space="preserve"> in hourly pay </w:t>
      </w:r>
      <w:r>
        <w:t>for the 1</w:t>
      </w:r>
      <w:r w:rsidR="00616FF5">
        <w:t>7</w:t>
      </w:r>
      <w:r>
        <w:t>/1</w:t>
      </w:r>
      <w:r w:rsidR="00616FF5">
        <w:t>8</w:t>
      </w:r>
      <w:r>
        <w:t xml:space="preserve"> financial year, </w:t>
      </w:r>
      <w:r w:rsidR="00375E61">
        <w:t>LPT</w:t>
      </w:r>
      <w:r>
        <w:t xml:space="preserve"> had a smaller Gender Pay Gap in favour of men than </w:t>
      </w:r>
      <w:r w:rsidR="00616FF5">
        <w:t xml:space="preserve">most </w:t>
      </w:r>
      <w:r>
        <w:t>other trusts</w:t>
      </w:r>
      <w:r w:rsidR="00616FF5">
        <w:t xml:space="preserve"> (lower than 79% in terms of the mean and lower than 69% in terms of the median)</w:t>
      </w:r>
      <w:r>
        <w:t xml:space="preserve">.  Additionally, </w:t>
      </w:r>
      <w:r w:rsidR="00375E61">
        <w:t>LPT</w:t>
      </w:r>
      <w:r>
        <w:t xml:space="preserve"> was in the top third of trusts in terms of the likelihood of women being in the top</w:t>
      </w:r>
      <w:r w:rsidR="00371AAE">
        <w:t xml:space="preserve"> pay</w:t>
      </w:r>
      <w:r>
        <w:t xml:space="preserve"> quartile relative to men – although women were still less likely to be in the top pay quartile than men </w:t>
      </w:r>
      <w:r w:rsidR="00E259D8">
        <w:t>in absolute terms</w:t>
      </w:r>
      <w:r>
        <w:t>.</w:t>
      </w:r>
      <w:r w:rsidR="00371AAE">
        <w:t xml:space="preserve">  Comparison</w:t>
      </w:r>
      <w:r w:rsidR="0057343E">
        <w:t>s</w:t>
      </w:r>
      <w:r w:rsidR="00371AAE">
        <w:t xml:space="preserve"> across trusts in terms of Gender Pay Gaps in annual bonus pay may not be reliable as </w:t>
      </w:r>
      <w:r w:rsidR="00375E61">
        <w:t>LPT</w:t>
      </w:r>
      <w:r w:rsidR="00371AAE">
        <w:t xml:space="preserve"> only made bonus payments in the form of Clinical Excellence Awards, and only to medical consultants; this may not have been the case at other trusts.</w:t>
      </w:r>
    </w:p>
    <w:p w:rsidR="00323AD6" w:rsidRDefault="00323AD6" w:rsidP="00906F1C"/>
    <w:p w:rsidR="006E16B6" w:rsidRDefault="00323AD6" w:rsidP="00E259D8">
      <w:r>
        <w:t xml:space="preserve">A table </w:t>
      </w:r>
      <w:r w:rsidR="00901B4E">
        <w:t xml:space="preserve">summarising the main findings </w:t>
      </w:r>
      <w:r w:rsidR="00537BC5">
        <w:t xml:space="preserve">of the present analyses </w:t>
      </w:r>
      <w:r w:rsidR="00901B4E">
        <w:t xml:space="preserve">and </w:t>
      </w:r>
      <w:r>
        <w:t>propos</w:t>
      </w:r>
      <w:r w:rsidR="00901B4E">
        <w:t xml:space="preserve">ing </w:t>
      </w:r>
      <w:r>
        <w:t>actions is given overleaf.</w:t>
      </w:r>
    </w:p>
    <w:p w:rsidR="006E16B6" w:rsidRDefault="006E16B6" w:rsidP="00E259D8"/>
    <w:p w:rsidR="003A3B5B" w:rsidRDefault="003A3B5B" w:rsidP="006E16B6">
      <w:r>
        <w:br w:type="page"/>
      </w:r>
    </w:p>
    <w:p w:rsidR="00A3405B" w:rsidRDefault="00A3405B" w:rsidP="00906F1C"/>
    <w:p w:rsidR="003A3B5B" w:rsidRDefault="003A3B5B" w:rsidP="00906F1C"/>
    <w:p w:rsidR="003A3B5B" w:rsidRDefault="003A3B5B" w:rsidP="00906F1C"/>
    <w:p w:rsidR="0023699D" w:rsidRPr="0023699D" w:rsidRDefault="0023699D" w:rsidP="00906F1C">
      <w:pPr>
        <w:rPr>
          <w:sz w:val="16"/>
          <w:szCs w:val="16"/>
        </w:rPr>
      </w:pPr>
    </w:p>
    <w:tbl>
      <w:tblPr>
        <w:tblStyle w:val="TableGrid"/>
        <w:tblW w:w="10292" w:type="dxa"/>
        <w:tblInd w:w="-459" w:type="dxa"/>
        <w:tblLook w:val="04A0" w:firstRow="1" w:lastRow="0" w:firstColumn="1" w:lastColumn="0" w:noHBand="0" w:noVBand="1"/>
      </w:tblPr>
      <w:tblGrid>
        <w:gridCol w:w="1178"/>
        <w:gridCol w:w="2523"/>
        <w:gridCol w:w="4815"/>
        <w:gridCol w:w="888"/>
        <w:gridCol w:w="888"/>
      </w:tblGrid>
      <w:tr w:rsidR="006A13C6" w:rsidRPr="00D66DCD" w:rsidTr="006A13C6">
        <w:tc>
          <w:tcPr>
            <w:tcW w:w="1178" w:type="dxa"/>
            <w:shd w:val="clear" w:color="auto" w:fill="00B0F0"/>
          </w:tcPr>
          <w:p w:rsidR="006A13C6" w:rsidRPr="00D05C48" w:rsidRDefault="006A13C6" w:rsidP="00A245A3">
            <w:pPr>
              <w:jc w:val="center"/>
              <w:rPr>
                <w:rFonts w:asciiTheme="minorHAnsi" w:hAnsiTheme="minorHAnsi"/>
                <w:b/>
              </w:rPr>
            </w:pPr>
            <w:r w:rsidRPr="00D05C48">
              <w:rPr>
                <w:rFonts w:asciiTheme="minorHAnsi" w:hAnsiTheme="minorHAnsi"/>
                <w:b/>
              </w:rPr>
              <w:t>Metric</w:t>
            </w:r>
          </w:p>
        </w:tc>
        <w:tc>
          <w:tcPr>
            <w:tcW w:w="2523" w:type="dxa"/>
            <w:shd w:val="clear" w:color="auto" w:fill="00B0F0"/>
          </w:tcPr>
          <w:p w:rsidR="006A13C6" w:rsidRPr="00D05C48" w:rsidRDefault="006A13C6" w:rsidP="00A245A3">
            <w:pPr>
              <w:jc w:val="center"/>
              <w:rPr>
                <w:rFonts w:asciiTheme="minorHAnsi" w:hAnsiTheme="minorHAnsi"/>
                <w:b/>
              </w:rPr>
            </w:pPr>
            <w:r w:rsidRPr="00D05C48">
              <w:rPr>
                <w:rFonts w:asciiTheme="minorHAnsi" w:hAnsiTheme="minorHAnsi"/>
                <w:b/>
              </w:rPr>
              <w:t>Findings</w:t>
            </w:r>
          </w:p>
        </w:tc>
        <w:tc>
          <w:tcPr>
            <w:tcW w:w="4815" w:type="dxa"/>
            <w:shd w:val="clear" w:color="auto" w:fill="00B0F0"/>
          </w:tcPr>
          <w:p w:rsidR="006A13C6" w:rsidRPr="00D05C48" w:rsidRDefault="006A13C6" w:rsidP="00A245A3">
            <w:pPr>
              <w:jc w:val="center"/>
              <w:rPr>
                <w:rFonts w:asciiTheme="minorHAnsi" w:hAnsiTheme="minorHAnsi"/>
                <w:b/>
              </w:rPr>
            </w:pPr>
            <w:r w:rsidRPr="00D05C48">
              <w:rPr>
                <w:rFonts w:asciiTheme="minorHAnsi" w:hAnsiTheme="minorHAnsi"/>
                <w:b/>
              </w:rPr>
              <w:t>Action</w:t>
            </w:r>
          </w:p>
        </w:tc>
        <w:tc>
          <w:tcPr>
            <w:tcW w:w="888" w:type="dxa"/>
            <w:shd w:val="clear" w:color="auto" w:fill="00B0F0"/>
          </w:tcPr>
          <w:p w:rsidR="006A13C6" w:rsidRPr="00D05C48" w:rsidRDefault="00CB4A79" w:rsidP="00A245A3">
            <w:pPr>
              <w:jc w:val="center"/>
              <w:rPr>
                <w:rFonts w:asciiTheme="minorHAnsi" w:hAnsiTheme="minorHAnsi"/>
                <w:b/>
              </w:rPr>
            </w:pPr>
            <w:r>
              <w:rPr>
                <w:rFonts w:asciiTheme="minorHAnsi" w:hAnsiTheme="minorHAnsi"/>
                <w:b/>
              </w:rPr>
              <w:t>Lead</w:t>
            </w:r>
          </w:p>
        </w:tc>
        <w:tc>
          <w:tcPr>
            <w:tcW w:w="888" w:type="dxa"/>
            <w:shd w:val="clear" w:color="auto" w:fill="00B0F0"/>
          </w:tcPr>
          <w:p w:rsidR="006A13C6" w:rsidRPr="00D05C48" w:rsidRDefault="006A13C6" w:rsidP="00A245A3">
            <w:pPr>
              <w:jc w:val="center"/>
              <w:rPr>
                <w:rFonts w:asciiTheme="minorHAnsi" w:hAnsiTheme="minorHAnsi"/>
                <w:b/>
              </w:rPr>
            </w:pPr>
            <w:r>
              <w:rPr>
                <w:rFonts w:asciiTheme="minorHAnsi" w:hAnsiTheme="minorHAnsi"/>
                <w:b/>
              </w:rPr>
              <w:t>Review Date</w:t>
            </w:r>
          </w:p>
        </w:tc>
      </w:tr>
      <w:tr w:rsidR="006A13C6" w:rsidRPr="00D66DCD" w:rsidTr="006A13C6">
        <w:tc>
          <w:tcPr>
            <w:tcW w:w="1178" w:type="dxa"/>
          </w:tcPr>
          <w:p w:rsidR="006A13C6" w:rsidRDefault="006A13C6" w:rsidP="00906F1C">
            <w:pPr>
              <w:rPr>
                <w:rFonts w:asciiTheme="minorHAnsi" w:hAnsiTheme="minorHAnsi"/>
                <w:sz w:val="20"/>
                <w:szCs w:val="20"/>
              </w:rPr>
            </w:pPr>
          </w:p>
          <w:p w:rsidR="006A13C6" w:rsidRPr="00D66DCD" w:rsidRDefault="006A13C6" w:rsidP="00906F1C">
            <w:pPr>
              <w:rPr>
                <w:rFonts w:asciiTheme="minorHAnsi" w:hAnsiTheme="minorHAnsi"/>
                <w:sz w:val="20"/>
                <w:szCs w:val="20"/>
              </w:rPr>
            </w:pPr>
            <w:r w:rsidRPr="00D66DCD">
              <w:rPr>
                <w:rFonts w:asciiTheme="minorHAnsi" w:hAnsiTheme="minorHAnsi"/>
                <w:sz w:val="20"/>
                <w:szCs w:val="20"/>
              </w:rPr>
              <w:t>Gender Pay Gap in mean and median hourly pay</w:t>
            </w:r>
          </w:p>
          <w:p w:rsidR="006A13C6" w:rsidRPr="00D66DCD" w:rsidRDefault="006A13C6" w:rsidP="00906F1C">
            <w:pPr>
              <w:rPr>
                <w:rFonts w:asciiTheme="minorHAnsi" w:hAnsiTheme="minorHAnsi"/>
                <w:sz w:val="20"/>
                <w:szCs w:val="20"/>
              </w:rPr>
            </w:pPr>
          </w:p>
        </w:tc>
        <w:tc>
          <w:tcPr>
            <w:tcW w:w="2523" w:type="dxa"/>
          </w:tcPr>
          <w:p w:rsidR="006A13C6" w:rsidRDefault="006A13C6" w:rsidP="00906F1C">
            <w:pPr>
              <w:rPr>
                <w:rFonts w:asciiTheme="minorHAnsi" w:hAnsiTheme="minorHAnsi"/>
                <w:sz w:val="20"/>
                <w:szCs w:val="20"/>
              </w:rPr>
            </w:pPr>
          </w:p>
          <w:p w:rsidR="006A13C6" w:rsidRPr="00D66DCD" w:rsidRDefault="006A13C6" w:rsidP="00906F1C">
            <w:pPr>
              <w:rPr>
                <w:rFonts w:asciiTheme="minorHAnsi" w:hAnsiTheme="minorHAnsi"/>
                <w:sz w:val="20"/>
                <w:szCs w:val="20"/>
              </w:rPr>
            </w:pPr>
            <w:r>
              <w:rPr>
                <w:rFonts w:asciiTheme="minorHAnsi" w:hAnsiTheme="minorHAnsi"/>
                <w:sz w:val="20"/>
                <w:szCs w:val="20"/>
              </w:rPr>
              <w:t xml:space="preserve">There was a </w:t>
            </w:r>
            <w:r w:rsidRPr="00D66DCD">
              <w:rPr>
                <w:rFonts w:asciiTheme="minorHAnsi" w:hAnsiTheme="minorHAnsi"/>
                <w:sz w:val="20"/>
                <w:szCs w:val="20"/>
              </w:rPr>
              <w:t xml:space="preserve">Gender Pay Gap in favour of men, both in terms of mean hourly pay, </w:t>
            </w:r>
            <w:r>
              <w:rPr>
                <w:rFonts w:asciiTheme="minorHAnsi" w:hAnsiTheme="minorHAnsi"/>
                <w:b/>
                <w:sz w:val="20"/>
                <w:szCs w:val="20"/>
              </w:rPr>
              <w:t>+15.6</w:t>
            </w:r>
            <w:r w:rsidRPr="00D66DCD">
              <w:rPr>
                <w:rFonts w:asciiTheme="minorHAnsi" w:hAnsiTheme="minorHAnsi"/>
                <w:b/>
                <w:sz w:val="20"/>
                <w:szCs w:val="20"/>
              </w:rPr>
              <w:t>%</w:t>
            </w:r>
            <w:r w:rsidRPr="00D66DCD">
              <w:rPr>
                <w:rFonts w:asciiTheme="minorHAnsi" w:hAnsiTheme="minorHAnsi"/>
                <w:sz w:val="20"/>
                <w:szCs w:val="20"/>
              </w:rPr>
              <w:t xml:space="preserve">, and in terms of median hourly pay, </w:t>
            </w:r>
            <w:r>
              <w:rPr>
                <w:rFonts w:asciiTheme="minorHAnsi" w:hAnsiTheme="minorHAnsi"/>
                <w:b/>
                <w:sz w:val="20"/>
                <w:szCs w:val="20"/>
              </w:rPr>
              <w:t>+6.7</w:t>
            </w:r>
            <w:r w:rsidRPr="00D66DCD">
              <w:rPr>
                <w:rFonts w:asciiTheme="minorHAnsi" w:hAnsiTheme="minorHAnsi"/>
                <w:b/>
                <w:sz w:val="20"/>
                <w:szCs w:val="20"/>
              </w:rPr>
              <w:t>%</w:t>
            </w:r>
            <w:r w:rsidRPr="00D66DCD">
              <w:rPr>
                <w:rFonts w:asciiTheme="minorHAnsi" w:hAnsiTheme="minorHAnsi"/>
                <w:sz w:val="20"/>
                <w:szCs w:val="20"/>
              </w:rPr>
              <w:t>.</w:t>
            </w:r>
          </w:p>
          <w:p w:rsidR="006A13C6" w:rsidRDefault="006A13C6" w:rsidP="00906F1C">
            <w:pPr>
              <w:rPr>
                <w:rFonts w:asciiTheme="minorHAnsi" w:hAnsiTheme="minorHAnsi"/>
                <w:sz w:val="20"/>
                <w:szCs w:val="20"/>
              </w:rPr>
            </w:pPr>
          </w:p>
          <w:p w:rsidR="006A13C6" w:rsidRDefault="006A13C6" w:rsidP="00906F1C">
            <w:pPr>
              <w:rPr>
                <w:rFonts w:asciiTheme="minorHAnsi" w:hAnsiTheme="minorHAnsi"/>
                <w:sz w:val="20"/>
                <w:szCs w:val="20"/>
              </w:rPr>
            </w:pPr>
          </w:p>
          <w:p w:rsidR="006A13C6" w:rsidRPr="00D66DCD" w:rsidRDefault="006A13C6" w:rsidP="00906F1C">
            <w:pPr>
              <w:rPr>
                <w:rFonts w:asciiTheme="minorHAnsi" w:hAnsiTheme="minorHAnsi"/>
                <w:sz w:val="20"/>
                <w:szCs w:val="20"/>
              </w:rPr>
            </w:pPr>
          </w:p>
        </w:tc>
        <w:tc>
          <w:tcPr>
            <w:tcW w:w="4815" w:type="dxa"/>
            <w:vMerge w:val="restart"/>
          </w:tcPr>
          <w:p w:rsidR="006A13C6" w:rsidRPr="00D05C48" w:rsidRDefault="006A13C6" w:rsidP="00173D60">
            <w:pPr>
              <w:rPr>
                <w:rFonts w:asciiTheme="minorHAnsi" w:hAnsiTheme="minorHAnsi"/>
                <w:sz w:val="20"/>
                <w:szCs w:val="20"/>
              </w:rPr>
            </w:pPr>
          </w:p>
          <w:p w:rsidR="006A13C6" w:rsidRPr="00D05C48" w:rsidRDefault="006A13C6" w:rsidP="00173D60">
            <w:pPr>
              <w:rPr>
                <w:rFonts w:asciiTheme="minorHAnsi" w:hAnsiTheme="minorHAnsi"/>
                <w:sz w:val="18"/>
                <w:szCs w:val="18"/>
              </w:rPr>
            </w:pPr>
            <w:r w:rsidRPr="00D05C48">
              <w:rPr>
                <w:rFonts w:asciiTheme="minorHAnsi" w:hAnsiTheme="minorHAnsi"/>
                <w:sz w:val="18"/>
                <w:szCs w:val="18"/>
              </w:rPr>
              <w:t>Draw parallels with the Athena SWAN charter (advancing the careers of women in science, technology, engineering, maths and medicine) to help shape the Trust’s approach to gender equality in career progression:</w:t>
            </w:r>
          </w:p>
          <w:p w:rsidR="006A13C6" w:rsidRPr="00D05C48" w:rsidRDefault="00503D63" w:rsidP="00173D60">
            <w:pPr>
              <w:rPr>
                <w:rFonts w:asciiTheme="minorHAnsi" w:hAnsiTheme="minorHAnsi"/>
                <w:sz w:val="18"/>
                <w:szCs w:val="18"/>
              </w:rPr>
            </w:pPr>
            <w:hyperlink r:id="rId20" w:history="1">
              <w:r w:rsidR="006A13C6" w:rsidRPr="00D05C48">
                <w:rPr>
                  <w:rStyle w:val="Hyperlink"/>
                  <w:rFonts w:asciiTheme="minorHAnsi" w:hAnsiTheme="minorHAnsi"/>
                  <w:sz w:val="18"/>
                  <w:szCs w:val="18"/>
                </w:rPr>
                <w:t>https://www.ecu.ac.uk/equality-charters/athena-swan/about-athena-swan/</w:t>
              </w:r>
            </w:hyperlink>
          </w:p>
          <w:p w:rsidR="006A13C6" w:rsidRPr="00D05C48" w:rsidRDefault="006A13C6" w:rsidP="00173D60">
            <w:pPr>
              <w:rPr>
                <w:rFonts w:asciiTheme="minorHAnsi" w:hAnsiTheme="minorHAnsi"/>
                <w:sz w:val="18"/>
                <w:szCs w:val="18"/>
              </w:rPr>
            </w:pPr>
          </w:p>
          <w:p w:rsidR="006A13C6" w:rsidRPr="00D05C48" w:rsidRDefault="00F74637" w:rsidP="00173D60">
            <w:pPr>
              <w:rPr>
                <w:rFonts w:asciiTheme="minorHAnsi" w:hAnsiTheme="minorHAnsi"/>
                <w:sz w:val="18"/>
                <w:szCs w:val="18"/>
              </w:rPr>
            </w:pPr>
            <w:r>
              <w:rPr>
                <w:rFonts w:asciiTheme="minorHAnsi" w:hAnsiTheme="minorHAnsi"/>
                <w:sz w:val="18"/>
                <w:szCs w:val="18"/>
              </w:rPr>
              <w:t>Promote</w:t>
            </w:r>
            <w:r w:rsidR="006A13C6" w:rsidRPr="00D05C48">
              <w:rPr>
                <w:rFonts w:asciiTheme="minorHAnsi" w:hAnsiTheme="minorHAnsi"/>
                <w:sz w:val="18"/>
                <w:szCs w:val="18"/>
              </w:rPr>
              <w:t xml:space="preserve"> the Trust’s flexible working policy to ensure that flexible working can be supported in senior roles.</w:t>
            </w:r>
          </w:p>
          <w:p w:rsidR="006A13C6" w:rsidRPr="00D05C48" w:rsidRDefault="006A13C6" w:rsidP="00173D60">
            <w:pPr>
              <w:rPr>
                <w:rFonts w:asciiTheme="minorHAnsi" w:hAnsiTheme="minorHAnsi"/>
                <w:sz w:val="18"/>
                <w:szCs w:val="18"/>
              </w:rPr>
            </w:pPr>
          </w:p>
          <w:p w:rsidR="006A13C6" w:rsidRPr="00D05C48" w:rsidRDefault="006A13C6" w:rsidP="00173D60">
            <w:pPr>
              <w:rPr>
                <w:rFonts w:asciiTheme="minorHAnsi" w:hAnsiTheme="minorHAnsi"/>
                <w:sz w:val="18"/>
                <w:szCs w:val="18"/>
              </w:rPr>
            </w:pPr>
            <w:r w:rsidRPr="00D05C48">
              <w:rPr>
                <w:rFonts w:asciiTheme="minorHAnsi" w:hAnsiTheme="minorHAnsi"/>
                <w:sz w:val="18"/>
                <w:szCs w:val="18"/>
              </w:rPr>
              <w:t>At all levels, encourage job applications from those seeking flexible / family friendly working patterns.  Some employers (for example Public Health England) have signed up to the “happy to talk flexible working” initiative to ensure that their posts are designed with flexibility in mind.  The “happy to talk flexible working” tag line and logo is used in their job adverts, even for their most senior roles, to encourage applications from a wider pool of candidates:</w:t>
            </w:r>
          </w:p>
          <w:p w:rsidR="006A13C6" w:rsidRPr="00D05C48" w:rsidRDefault="00503D63" w:rsidP="00E733FD">
            <w:pPr>
              <w:pStyle w:val="ListParagraph"/>
              <w:numPr>
                <w:ilvl w:val="0"/>
                <w:numId w:val="2"/>
              </w:numPr>
              <w:ind w:left="402" w:hanging="318"/>
              <w:rPr>
                <w:rFonts w:asciiTheme="minorHAnsi" w:hAnsiTheme="minorHAnsi"/>
                <w:sz w:val="18"/>
                <w:szCs w:val="18"/>
              </w:rPr>
            </w:pPr>
            <w:hyperlink r:id="rId21" w:history="1">
              <w:r w:rsidR="006A13C6" w:rsidRPr="00D05C48">
                <w:rPr>
                  <w:rStyle w:val="Hyperlink"/>
                  <w:rFonts w:asciiTheme="minorHAnsi" w:hAnsiTheme="minorHAnsi"/>
                  <w:sz w:val="18"/>
                  <w:szCs w:val="18"/>
                </w:rPr>
                <w:t>https://www.workingfamilies.org.uk/campaigns/happy-to-talk-flexible-working/</w:t>
              </w:r>
            </w:hyperlink>
          </w:p>
          <w:p w:rsidR="006A13C6" w:rsidRPr="00D05C48" w:rsidRDefault="00503D63" w:rsidP="00E733FD">
            <w:pPr>
              <w:pStyle w:val="ListParagraph"/>
              <w:numPr>
                <w:ilvl w:val="0"/>
                <w:numId w:val="2"/>
              </w:numPr>
              <w:ind w:left="402" w:hanging="318"/>
              <w:rPr>
                <w:rFonts w:asciiTheme="minorHAnsi" w:hAnsiTheme="minorHAnsi"/>
                <w:sz w:val="18"/>
                <w:szCs w:val="18"/>
              </w:rPr>
            </w:pPr>
            <w:hyperlink r:id="rId22" w:history="1">
              <w:r w:rsidR="006A13C6" w:rsidRPr="00D05C48">
                <w:rPr>
                  <w:rStyle w:val="Hyperlink"/>
                  <w:rFonts w:asciiTheme="minorHAnsi" w:hAnsiTheme="minorHAnsi"/>
                  <w:sz w:val="18"/>
                  <w:szCs w:val="18"/>
                </w:rPr>
                <w:t>https://www.workingfamilies.org.uk/wp-content/uploads/2016/01/Happy-to-Talk-Flexible-Working-strapline-Jan-16-with-all-logos.pdf</w:t>
              </w:r>
            </w:hyperlink>
          </w:p>
          <w:p w:rsidR="006A13C6" w:rsidRPr="00D05C48" w:rsidRDefault="006A13C6" w:rsidP="00173D60">
            <w:pPr>
              <w:rPr>
                <w:rFonts w:asciiTheme="minorHAnsi" w:hAnsiTheme="minorHAnsi"/>
                <w:sz w:val="18"/>
                <w:szCs w:val="18"/>
              </w:rPr>
            </w:pPr>
          </w:p>
          <w:p w:rsidR="006A13C6" w:rsidRPr="00D05C48" w:rsidRDefault="006A13C6" w:rsidP="00173D60">
            <w:pPr>
              <w:rPr>
                <w:rFonts w:asciiTheme="minorHAnsi" w:hAnsiTheme="minorHAnsi"/>
                <w:sz w:val="18"/>
                <w:szCs w:val="18"/>
              </w:rPr>
            </w:pPr>
            <w:r w:rsidRPr="00D05C48">
              <w:rPr>
                <w:rFonts w:asciiTheme="minorHAnsi" w:hAnsiTheme="minorHAnsi"/>
                <w:sz w:val="18"/>
                <w:szCs w:val="18"/>
              </w:rPr>
              <w:t>Schedule important meetings and training at “family friendly” times.</w:t>
            </w:r>
          </w:p>
          <w:p w:rsidR="006A13C6" w:rsidRPr="00D05C48" w:rsidRDefault="006A13C6" w:rsidP="00173D60">
            <w:pPr>
              <w:rPr>
                <w:rFonts w:asciiTheme="minorHAnsi" w:hAnsiTheme="minorHAnsi"/>
                <w:sz w:val="18"/>
                <w:szCs w:val="18"/>
              </w:rPr>
            </w:pPr>
          </w:p>
          <w:p w:rsidR="006A13C6" w:rsidRPr="00D05C48" w:rsidRDefault="006A13C6" w:rsidP="00173D60">
            <w:pPr>
              <w:rPr>
                <w:rFonts w:asciiTheme="minorHAnsi" w:hAnsiTheme="minorHAnsi"/>
                <w:sz w:val="18"/>
                <w:szCs w:val="18"/>
              </w:rPr>
            </w:pPr>
            <w:r w:rsidRPr="00D05C48">
              <w:rPr>
                <w:rFonts w:asciiTheme="minorHAnsi" w:hAnsiTheme="minorHAnsi"/>
                <w:sz w:val="18"/>
                <w:szCs w:val="18"/>
              </w:rPr>
              <w:t xml:space="preserve">Continue to progress LPT’s WeNurture programme, which is a career development programme, ensuring that it is accessible to all.  Evaluate </w:t>
            </w:r>
            <w:r>
              <w:rPr>
                <w:rFonts w:asciiTheme="minorHAnsi" w:hAnsiTheme="minorHAnsi"/>
                <w:sz w:val="18"/>
                <w:szCs w:val="18"/>
              </w:rPr>
              <w:t xml:space="preserve">the </w:t>
            </w:r>
            <w:r w:rsidRPr="00D05C48">
              <w:rPr>
                <w:rFonts w:asciiTheme="minorHAnsi" w:hAnsiTheme="minorHAnsi"/>
                <w:sz w:val="18"/>
                <w:szCs w:val="18"/>
              </w:rPr>
              <w:t>number of applications coming through from part</w:t>
            </w:r>
            <w:r>
              <w:rPr>
                <w:rFonts w:asciiTheme="minorHAnsi" w:hAnsiTheme="minorHAnsi"/>
                <w:sz w:val="18"/>
                <w:szCs w:val="18"/>
              </w:rPr>
              <w:t>-</w:t>
            </w:r>
            <w:r w:rsidRPr="00D05C48">
              <w:rPr>
                <w:rFonts w:asciiTheme="minorHAnsi" w:hAnsiTheme="minorHAnsi"/>
                <w:sz w:val="18"/>
                <w:szCs w:val="18"/>
              </w:rPr>
              <w:t>time female employees.</w:t>
            </w:r>
          </w:p>
          <w:p w:rsidR="006A13C6" w:rsidRPr="00D05C48" w:rsidRDefault="006A13C6" w:rsidP="00173D60">
            <w:pPr>
              <w:rPr>
                <w:rFonts w:asciiTheme="minorHAnsi" w:hAnsiTheme="minorHAnsi"/>
                <w:sz w:val="18"/>
                <w:szCs w:val="18"/>
              </w:rPr>
            </w:pPr>
          </w:p>
          <w:p w:rsidR="006A13C6" w:rsidRPr="00D05C48" w:rsidRDefault="006A13C6" w:rsidP="0082675D">
            <w:pPr>
              <w:rPr>
                <w:rFonts w:asciiTheme="minorHAnsi" w:hAnsiTheme="minorHAnsi"/>
                <w:sz w:val="18"/>
                <w:szCs w:val="18"/>
              </w:rPr>
            </w:pPr>
            <w:r w:rsidRPr="00D05C48">
              <w:rPr>
                <w:rFonts w:asciiTheme="minorHAnsi" w:hAnsiTheme="minorHAnsi"/>
                <w:sz w:val="18"/>
                <w:szCs w:val="18"/>
              </w:rPr>
              <w:t>Government guidance on actions to take to address a gender pay gap:</w:t>
            </w:r>
          </w:p>
          <w:p w:rsidR="006A13C6" w:rsidRPr="00D05C48" w:rsidRDefault="00503D63" w:rsidP="0082675D">
            <w:pPr>
              <w:rPr>
                <w:rFonts w:asciiTheme="minorHAnsi" w:hAnsiTheme="minorHAnsi"/>
                <w:sz w:val="18"/>
                <w:szCs w:val="18"/>
              </w:rPr>
            </w:pPr>
            <w:hyperlink r:id="rId23" w:history="1">
              <w:r w:rsidR="006A13C6" w:rsidRPr="00D05C48">
                <w:rPr>
                  <w:rStyle w:val="Hyperlink"/>
                  <w:rFonts w:asciiTheme="minorHAnsi" w:hAnsiTheme="minorHAnsi"/>
                  <w:sz w:val="18"/>
                  <w:szCs w:val="18"/>
                </w:rPr>
                <w:t>https://gender-pay-gap.service.gov.uk/public/assets/pdf/Evidence-based_actions_for_employers.pdf</w:t>
              </w:r>
            </w:hyperlink>
          </w:p>
          <w:p w:rsidR="006A13C6" w:rsidRPr="00D05C48" w:rsidRDefault="006A13C6" w:rsidP="00173D60">
            <w:pPr>
              <w:rPr>
                <w:rFonts w:asciiTheme="minorHAnsi" w:hAnsiTheme="minorHAnsi"/>
                <w:sz w:val="18"/>
                <w:szCs w:val="18"/>
                <w:highlight w:val="yellow"/>
              </w:rPr>
            </w:pPr>
          </w:p>
        </w:tc>
        <w:tc>
          <w:tcPr>
            <w:tcW w:w="888" w:type="dxa"/>
            <w:vMerge w:val="restart"/>
          </w:tcPr>
          <w:p w:rsidR="006A13C6" w:rsidRPr="006A13C6" w:rsidRDefault="00CB4A79" w:rsidP="00173D60">
            <w:pPr>
              <w:rPr>
                <w:rFonts w:asciiTheme="minorHAnsi" w:hAnsiTheme="minorHAnsi"/>
                <w:sz w:val="18"/>
                <w:szCs w:val="18"/>
              </w:rPr>
            </w:pPr>
            <w:r>
              <w:rPr>
                <w:rFonts w:asciiTheme="minorHAnsi" w:hAnsiTheme="minorHAnsi"/>
                <w:sz w:val="18"/>
                <w:szCs w:val="18"/>
              </w:rPr>
              <w:t>Head of EDI and HR Team</w:t>
            </w:r>
          </w:p>
        </w:tc>
        <w:tc>
          <w:tcPr>
            <w:tcW w:w="888" w:type="dxa"/>
            <w:vMerge w:val="restart"/>
          </w:tcPr>
          <w:p w:rsidR="006A13C6" w:rsidRPr="006A13C6" w:rsidRDefault="00CB4A79" w:rsidP="00173D60">
            <w:pPr>
              <w:rPr>
                <w:rFonts w:asciiTheme="minorHAnsi" w:hAnsiTheme="minorHAnsi"/>
                <w:sz w:val="18"/>
                <w:szCs w:val="18"/>
              </w:rPr>
            </w:pPr>
            <w:r>
              <w:rPr>
                <w:rFonts w:asciiTheme="minorHAnsi" w:hAnsiTheme="minorHAnsi"/>
                <w:sz w:val="18"/>
                <w:szCs w:val="18"/>
              </w:rPr>
              <w:t xml:space="preserve">August 2020 </w:t>
            </w:r>
          </w:p>
        </w:tc>
      </w:tr>
      <w:tr w:rsidR="006A13C6" w:rsidRPr="00D66DCD" w:rsidTr="006A13C6">
        <w:tc>
          <w:tcPr>
            <w:tcW w:w="1178" w:type="dxa"/>
          </w:tcPr>
          <w:p w:rsidR="006A13C6" w:rsidRDefault="006A13C6" w:rsidP="00606C99">
            <w:pPr>
              <w:rPr>
                <w:rFonts w:asciiTheme="minorHAnsi" w:hAnsiTheme="minorHAnsi"/>
                <w:sz w:val="20"/>
                <w:szCs w:val="20"/>
              </w:rPr>
            </w:pPr>
          </w:p>
          <w:p w:rsidR="006A13C6" w:rsidRPr="00D66DCD" w:rsidRDefault="006A13C6" w:rsidP="00606C99">
            <w:pPr>
              <w:rPr>
                <w:rFonts w:asciiTheme="minorHAnsi" w:hAnsiTheme="minorHAnsi"/>
                <w:sz w:val="20"/>
                <w:szCs w:val="20"/>
              </w:rPr>
            </w:pPr>
            <w:r w:rsidRPr="00D66DCD">
              <w:rPr>
                <w:rFonts w:asciiTheme="minorHAnsi" w:hAnsiTheme="minorHAnsi"/>
                <w:sz w:val="20"/>
                <w:szCs w:val="20"/>
              </w:rPr>
              <w:t>Proportions of men and women within each quartile pay band</w:t>
            </w:r>
          </w:p>
          <w:p w:rsidR="006A13C6" w:rsidRPr="00D66DCD" w:rsidRDefault="006A13C6" w:rsidP="00606C99">
            <w:pPr>
              <w:rPr>
                <w:rFonts w:asciiTheme="minorHAnsi" w:hAnsiTheme="minorHAnsi"/>
                <w:sz w:val="20"/>
                <w:szCs w:val="20"/>
              </w:rPr>
            </w:pPr>
          </w:p>
        </w:tc>
        <w:tc>
          <w:tcPr>
            <w:tcW w:w="2523" w:type="dxa"/>
          </w:tcPr>
          <w:p w:rsidR="006A13C6" w:rsidRDefault="006A13C6" w:rsidP="00606C99">
            <w:pPr>
              <w:rPr>
                <w:rFonts w:asciiTheme="minorHAnsi" w:hAnsiTheme="minorHAnsi"/>
                <w:sz w:val="20"/>
                <w:szCs w:val="20"/>
              </w:rPr>
            </w:pPr>
          </w:p>
          <w:p w:rsidR="006A13C6" w:rsidRDefault="006A13C6" w:rsidP="00606C99">
            <w:pPr>
              <w:rPr>
                <w:rFonts w:asciiTheme="minorHAnsi" w:hAnsiTheme="minorHAnsi"/>
                <w:sz w:val="20"/>
                <w:szCs w:val="20"/>
              </w:rPr>
            </w:pPr>
            <w:r w:rsidRPr="00D66DCD">
              <w:rPr>
                <w:rFonts w:asciiTheme="minorHAnsi" w:hAnsiTheme="minorHAnsi"/>
                <w:sz w:val="20"/>
                <w:szCs w:val="20"/>
              </w:rPr>
              <w:t>Women were underrepresented within the highest pay quartile (</w:t>
            </w:r>
            <w:r w:rsidRPr="00D66DCD">
              <w:rPr>
                <w:rFonts w:asciiTheme="minorHAnsi" w:hAnsiTheme="minorHAnsi"/>
                <w:b/>
                <w:sz w:val="20"/>
                <w:szCs w:val="20"/>
              </w:rPr>
              <w:t>7</w:t>
            </w:r>
            <w:r>
              <w:rPr>
                <w:rFonts w:asciiTheme="minorHAnsi" w:hAnsiTheme="minorHAnsi"/>
                <w:b/>
                <w:sz w:val="20"/>
                <w:szCs w:val="20"/>
              </w:rPr>
              <w:t>5.6</w:t>
            </w:r>
            <w:r w:rsidRPr="00D66DCD">
              <w:rPr>
                <w:rFonts w:asciiTheme="minorHAnsi" w:hAnsiTheme="minorHAnsi"/>
                <w:b/>
                <w:sz w:val="20"/>
                <w:szCs w:val="20"/>
              </w:rPr>
              <w:t>%</w:t>
            </w:r>
            <w:r w:rsidRPr="00D66DCD">
              <w:rPr>
                <w:rFonts w:asciiTheme="minorHAnsi" w:hAnsiTheme="minorHAnsi"/>
                <w:sz w:val="20"/>
                <w:szCs w:val="20"/>
              </w:rPr>
              <w:t>), compared to their level of representation amongst all full-pay relevant employees (</w:t>
            </w:r>
            <w:r>
              <w:rPr>
                <w:rFonts w:asciiTheme="minorHAnsi" w:hAnsiTheme="minorHAnsi"/>
                <w:b/>
                <w:sz w:val="20"/>
                <w:szCs w:val="20"/>
              </w:rPr>
              <w:t>82.2</w:t>
            </w:r>
            <w:r w:rsidRPr="00D66DCD">
              <w:rPr>
                <w:rFonts w:asciiTheme="minorHAnsi" w:hAnsiTheme="minorHAnsi"/>
                <w:b/>
                <w:sz w:val="20"/>
                <w:szCs w:val="20"/>
              </w:rPr>
              <w:t>%</w:t>
            </w:r>
            <w:r w:rsidRPr="00D66DCD">
              <w:rPr>
                <w:rFonts w:asciiTheme="minorHAnsi" w:hAnsiTheme="minorHAnsi"/>
                <w:sz w:val="20"/>
                <w:szCs w:val="20"/>
              </w:rPr>
              <w:t>).</w:t>
            </w:r>
          </w:p>
          <w:p w:rsidR="006A13C6" w:rsidRPr="00D66DCD" w:rsidRDefault="006A13C6" w:rsidP="00606C99">
            <w:pPr>
              <w:rPr>
                <w:rFonts w:asciiTheme="minorHAnsi" w:hAnsiTheme="minorHAnsi"/>
                <w:sz w:val="20"/>
                <w:szCs w:val="20"/>
              </w:rPr>
            </w:pPr>
          </w:p>
        </w:tc>
        <w:tc>
          <w:tcPr>
            <w:tcW w:w="4815" w:type="dxa"/>
            <w:vMerge/>
          </w:tcPr>
          <w:p w:rsidR="006A13C6" w:rsidRPr="00D05C48" w:rsidRDefault="006A13C6" w:rsidP="00906F1C">
            <w:pPr>
              <w:rPr>
                <w:rFonts w:asciiTheme="minorHAnsi" w:hAnsiTheme="minorHAnsi"/>
                <w:sz w:val="18"/>
                <w:szCs w:val="18"/>
                <w:highlight w:val="yellow"/>
              </w:rPr>
            </w:pPr>
          </w:p>
        </w:tc>
        <w:tc>
          <w:tcPr>
            <w:tcW w:w="888" w:type="dxa"/>
            <w:vMerge/>
          </w:tcPr>
          <w:p w:rsidR="006A13C6" w:rsidRPr="006A13C6" w:rsidRDefault="006A13C6" w:rsidP="00906F1C">
            <w:pPr>
              <w:rPr>
                <w:rFonts w:asciiTheme="minorHAnsi" w:hAnsiTheme="minorHAnsi"/>
                <w:sz w:val="18"/>
                <w:szCs w:val="18"/>
                <w:highlight w:val="yellow"/>
              </w:rPr>
            </w:pPr>
          </w:p>
        </w:tc>
        <w:tc>
          <w:tcPr>
            <w:tcW w:w="888" w:type="dxa"/>
            <w:vMerge/>
          </w:tcPr>
          <w:p w:rsidR="006A13C6" w:rsidRPr="006A13C6" w:rsidRDefault="006A13C6" w:rsidP="00906F1C">
            <w:pPr>
              <w:rPr>
                <w:rFonts w:asciiTheme="minorHAnsi" w:hAnsiTheme="minorHAnsi"/>
                <w:sz w:val="18"/>
                <w:szCs w:val="18"/>
                <w:highlight w:val="yellow"/>
              </w:rPr>
            </w:pPr>
          </w:p>
        </w:tc>
      </w:tr>
    </w:tbl>
    <w:p w:rsidR="0057343E" w:rsidRDefault="0057343E" w:rsidP="0023699D"/>
    <w:p w:rsidR="006A13C6" w:rsidRDefault="006A13C6" w:rsidP="0023699D">
      <w:r>
        <w:t>Table continued overleaf…</w:t>
      </w:r>
    </w:p>
    <w:p w:rsidR="006A13C6" w:rsidRDefault="006A13C6">
      <w:pPr>
        <w:spacing w:after="200" w:line="276" w:lineRule="auto"/>
      </w:pPr>
      <w:r>
        <w:br w:type="page"/>
      </w:r>
    </w:p>
    <w:p w:rsidR="006A13C6" w:rsidRDefault="006A13C6" w:rsidP="0023699D"/>
    <w:p w:rsidR="006A13C6" w:rsidRDefault="006A13C6" w:rsidP="0023699D"/>
    <w:p w:rsidR="006A13C6" w:rsidRDefault="006A13C6" w:rsidP="0023699D"/>
    <w:p w:rsidR="006A13C6" w:rsidRDefault="006A13C6" w:rsidP="0023699D"/>
    <w:tbl>
      <w:tblPr>
        <w:tblStyle w:val="TableGrid"/>
        <w:tblW w:w="10292" w:type="dxa"/>
        <w:tblInd w:w="-459" w:type="dxa"/>
        <w:tblLook w:val="04A0" w:firstRow="1" w:lastRow="0" w:firstColumn="1" w:lastColumn="0" w:noHBand="0" w:noVBand="1"/>
      </w:tblPr>
      <w:tblGrid>
        <w:gridCol w:w="1178"/>
        <w:gridCol w:w="2459"/>
        <w:gridCol w:w="4641"/>
        <w:gridCol w:w="1126"/>
        <w:gridCol w:w="888"/>
      </w:tblGrid>
      <w:tr w:rsidR="006A13C6" w:rsidRPr="00D66DCD" w:rsidTr="00D76E88">
        <w:tc>
          <w:tcPr>
            <w:tcW w:w="1178" w:type="dxa"/>
            <w:shd w:val="clear" w:color="auto" w:fill="00B0F0"/>
          </w:tcPr>
          <w:p w:rsidR="006A13C6" w:rsidRPr="00D05C48" w:rsidRDefault="006A13C6" w:rsidP="00D022D2">
            <w:pPr>
              <w:jc w:val="center"/>
              <w:rPr>
                <w:rFonts w:asciiTheme="minorHAnsi" w:hAnsiTheme="minorHAnsi"/>
                <w:b/>
              </w:rPr>
            </w:pPr>
            <w:r w:rsidRPr="00D05C48">
              <w:rPr>
                <w:rFonts w:asciiTheme="minorHAnsi" w:hAnsiTheme="minorHAnsi"/>
                <w:b/>
              </w:rPr>
              <w:t>Metric</w:t>
            </w:r>
          </w:p>
        </w:tc>
        <w:tc>
          <w:tcPr>
            <w:tcW w:w="2459" w:type="dxa"/>
            <w:shd w:val="clear" w:color="auto" w:fill="00B0F0"/>
          </w:tcPr>
          <w:p w:rsidR="006A13C6" w:rsidRPr="00D05C48" w:rsidRDefault="006A13C6" w:rsidP="00D022D2">
            <w:pPr>
              <w:jc w:val="center"/>
              <w:rPr>
                <w:rFonts w:asciiTheme="minorHAnsi" w:hAnsiTheme="minorHAnsi"/>
                <w:b/>
              </w:rPr>
            </w:pPr>
            <w:r w:rsidRPr="00D05C48">
              <w:rPr>
                <w:rFonts w:asciiTheme="minorHAnsi" w:hAnsiTheme="minorHAnsi"/>
                <w:b/>
              </w:rPr>
              <w:t>Findings</w:t>
            </w:r>
          </w:p>
        </w:tc>
        <w:tc>
          <w:tcPr>
            <w:tcW w:w="4641" w:type="dxa"/>
            <w:shd w:val="clear" w:color="auto" w:fill="00B0F0"/>
          </w:tcPr>
          <w:p w:rsidR="006A13C6" w:rsidRPr="00D05C48" w:rsidRDefault="006A13C6" w:rsidP="00D022D2">
            <w:pPr>
              <w:jc w:val="center"/>
              <w:rPr>
                <w:rFonts w:asciiTheme="minorHAnsi" w:hAnsiTheme="minorHAnsi"/>
                <w:b/>
              </w:rPr>
            </w:pPr>
            <w:r w:rsidRPr="00D05C48">
              <w:rPr>
                <w:rFonts w:asciiTheme="minorHAnsi" w:hAnsiTheme="minorHAnsi"/>
                <w:b/>
              </w:rPr>
              <w:t>Action</w:t>
            </w:r>
          </w:p>
        </w:tc>
        <w:tc>
          <w:tcPr>
            <w:tcW w:w="1126" w:type="dxa"/>
            <w:shd w:val="clear" w:color="auto" w:fill="00B0F0"/>
          </w:tcPr>
          <w:p w:rsidR="006A13C6" w:rsidRPr="00D05C48" w:rsidRDefault="00CB4A79" w:rsidP="00D022D2">
            <w:pPr>
              <w:jc w:val="center"/>
              <w:rPr>
                <w:rFonts w:asciiTheme="minorHAnsi" w:hAnsiTheme="minorHAnsi"/>
                <w:b/>
              </w:rPr>
            </w:pPr>
            <w:r>
              <w:rPr>
                <w:rFonts w:asciiTheme="minorHAnsi" w:hAnsiTheme="minorHAnsi"/>
                <w:b/>
              </w:rPr>
              <w:t>Lead</w:t>
            </w:r>
          </w:p>
        </w:tc>
        <w:tc>
          <w:tcPr>
            <w:tcW w:w="888" w:type="dxa"/>
            <w:shd w:val="clear" w:color="auto" w:fill="00B0F0"/>
          </w:tcPr>
          <w:p w:rsidR="006A13C6" w:rsidRPr="00D05C48" w:rsidRDefault="006A13C6" w:rsidP="00D022D2">
            <w:pPr>
              <w:jc w:val="center"/>
              <w:rPr>
                <w:rFonts w:asciiTheme="minorHAnsi" w:hAnsiTheme="minorHAnsi"/>
                <w:b/>
              </w:rPr>
            </w:pPr>
            <w:r>
              <w:rPr>
                <w:rFonts w:asciiTheme="minorHAnsi" w:hAnsiTheme="minorHAnsi"/>
                <w:b/>
              </w:rPr>
              <w:t>Review Date</w:t>
            </w:r>
          </w:p>
        </w:tc>
      </w:tr>
      <w:tr w:rsidR="006A13C6" w:rsidRPr="00D66DCD" w:rsidTr="00D76E88">
        <w:tc>
          <w:tcPr>
            <w:tcW w:w="1178" w:type="dxa"/>
          </w:tcPr>
          <w:p w:rsidR="006A13C6" w:rsidRDefault="006A13C6" w:rsidP="00D022D2">
            <w:pPr>
              <w:rPr>
                <w:rFonts w:asciiTheme="minorHAnsi" w:hAnsiTheme="minorHAnsi"/>
                <w:sz w:val="20"/>
                <w:szCs w:val="20"/>
              </w:rPr>
            </w:pPr>
          </w:p>
          <w:p w:rsidR="006A13C6" w:rsidRDefault="006A13C6" w:rsidP="00D022D2">
            <w:pPr>
              <w:rPr>
                <w:rFonts w:asciiTheme="minorHAnsi" w:hAnsiTheme="minorHAnsi"/>
                <w:sz w:val="20"/>
                <w:szCs w:val="20"/>
              </w:rPr>
            </w:pPr>
            <w:r w:rsidRPr="00D66DCD">
              <w:rPr>
                <w:rFonts w:asciiTheme="minorHAnsi" w:hAnsiTheme="minorHAnsi"/>
                <w:sz w:val="20"/>
                <w:szCs w:val="20"/>
              </w:rPr>
              <w:t>Gender Pay Gap in mean and median annual bonus pay</w:t>
            </w:r>
          </w:p>
          <w:p w:rsidR="006A13C6" w:rsidRPr="00D66DCD" w:rsidRDefault="006A13C6" w:rsidP="00D022D2">
            <w:pPr>
              <w:rPr>
                <w:rFonts w:asciiTheme="minorHAnsi" w:hAnsiTheme="minorHAnsi"/>
                <w:sz w:val="20"/>
                <w:szCs w:val="20"/>
              </w:rPr>
            </w:pPr>
          </w:p>
        </w:tc>
        <w:tc>
          <w:tcPr>
            <w:tcW w:w="2459" w:type="dxa"/>
          </w:tcPr>
          <w:p w:rsidR="006A13C6" w:rsidRDefault="006A13C6" w:rsidP="00D022D2">
            <w:pPr>
              <w:rPr>
                <w:rFonts w:asciiTheme="minorHAnsi" w:hAnsiTheme="minorHAnsi"/>
                <w:sz w:val="20"/>
                <w:szCs w:val="20"/>
              </w:rPr>
            </w:pPr>
          </w:p>
          <w:p w:rsidR="006A13C6" w:rsidRPr="00D66DCD" w:rsidRDefault="006A13C6" w:rsidP="00D022D2">
            <w:pPr>
              <w:rPr>
                <w:rFonts w:asciiTheme="minorHAnsi" w:hAnsiTheme="minorHAnsi"/>
                <w:sz w:val="20"/>
                <w:szCs w:val="20"/>
              </w:rPr>
            </w:pPr>
            <w:r>
              <w:rPr>
                <w:rFonts w:asciiTheme="minorHAnsi" w:hAnsiTheme="minorHAnsi"/>
                <w:sz w:val="20"/>
                <w:szCs w:val="20"/>
              </w:rPr>
              <w:t xml:space="preserve">The </w:t>
            </w:r>
            <w:r w:rsidRPr="00D66DCD">
              <w:rPr>
                <w:rFonts w:asciiTheme="minorHAnsi" w:hAnsiTheme="minorHAnsi"/>
                <w:sz w:val="20"/>
                <w:szCs w:val="20"/>
              </w:rPr>
              <w:t xml:space="preserve">Gender Pay Gap in annual bonus pay amongst those that received a bonus was </w:t>
            </w:r>
            <w:r>
              <w:rPr>
                <w:rFonts w:asciiTheme="minorHAnsi" w:hAnsiTheme="minorHAnsi"/>
                <w:b/>
                <w:sz w:val="20"/>
                <w:szCs w:val="20"/>
              </w:rPr>
              <w:t>+33.7</w:t>
            </w:r>
            <w:r w:rsidRPr="00D66DCD">
              <w:rPr>
                <w:rFonts w:asciiTheme="minorHAnsi" w:hAnsiTheme="minorHAnsi"/>
                <w:b/>
                <w:sz w:val="20"/>
                <w:szCs w:val="20"/>
              </w:rPr>
              <w:t>%</w:t>
            </w:r>
            <w:r w:rsidRPr="00D66DCD">
              <w:rPr>
                <w:rFonts w:asciiTheme="minorHAnsi" w:hAnsiTheme="minorHAnsi"/>
                <w:sz w:val="20"/>
                <w:szCs w:val="20"/>
              </w:rPr>
              <w:t xml:space="preserve"> in terms of the mean and </w:t>
            </w:r>
            <w:r>
              <w:rPr>
                <w:rFonts w:asciiTheme="minorHAnsi" w:hAnsiTheme="minorHAnsi"/>
                <w:b/>
                <w:sz w:val="20"/>
                <w:szCs w:val="20"/>
              </w:rPr>
              <w:t>+62.5</w:t>
            </w:r>
            <w:r w:rsidRPr="00D66DCD">
              <w:rPr>
                <w:rFonts w:asciiTheme="minorHAnsi" w:hAnsiTheme="minorHAnsi"/>
                <w:b/>
                <w:sz w:val="20"/>
                <w:szCs w:val="20"/>
              </w:rPr>
              <w:t>%</w:t>
            </w:r>
            <w:r w:rsidRPr="00D66DCD">
              <w:rPr>
                <w:rFonts w:asciiTheme="minorHAnsi" w:hAnsiTheme="minorHAnsi"/>
                <w:sz w:val="20"/>
                <w:szCs w:val="20"/>
              </w:rPr>
              <w:t xml:space="preserve"> in terms of the</w:t>
            </w:r>
            <w:r>
              <w:rPr>
                <w:rFonts w:asciiTheme="minorHAnsi" w:hAnsiTheme="minorHAnsi"/>
                <w:sz w:val="20"/>
                <w:szCs w:val="20"/>
              </w:rPr>
              <w:t xml:space="preserve"> median, both in favour of men</w:t>
            </w:r>
            <w:r w:rsidRPr="00D66DCD">
              <w:rPr>
                <w:rFonts w:asciiTheme="minorHAnsi" w:hAnsiTheme="minorHAnsi"/>
                <w:sz w:val="20"/>
                <w:szCs w:val="20"/>
              </w:rPr>
              <w:t>.</w:t>
            </w:r>
          </w:p>
          <w:p w:rsidR="006A13C6" w:rsidRPr="00D66DCD" w:rsidRDefault="006A13C6" w:rsidP="00D022D2">
            <w:pPr>
              <w:rPr>
                <w:rFonts w:asciiTheme="minorHAnsi" w:hAnsiTheme="minorHAnsi"/>
                <w:sz w:val="20"/>
                <w:szCs w:val="20"/>
              </w:rPr>
            </w:pPr>
          </w:p>
        </w:tc>
        <w:tc>
          <w:tcPr>
            <w:tcW w:w="4641" w:type="dxa"/>
            <w:vMerge w:val="restart"/>
          </w:tcPr>
          <w:p w:rsidR="006A13C6" w:rsidRPr="00D05C48" w:rsidRDefault="006A13C6" w:rsidP="00D022D2">
            <w:pPr>
              <w:rPr>
                <w:rFonts w:asciiTheme="minorHAnsi" w:hAnsiTheme="minorHAnsi"/>
                <w:sz w:val="20"/>
                <w:szCs w:val="20"/>
              </w:rPr>
            </w:pPr>
          </w:p>
          <w:p w:rsidR="006A13C6" w:rsidRDefault="006A13C6" w:rsidP="00D022D2">
            <w:pPr>
              <w:rPr>
                <w:rFonts w:asciiTheme="minorHAnsi" w:hAnsiTheme="minorHAnsi"/>
                <w:sz w:val="18"/>
                <w:szCs w:val="18"/>
              </w:rPr>
            </w:pPr>
            <w:r w:rsidRPr="00D05C48">
              <w:rPr>
                <w:rFonts w:asciiTheme="minorHAnsi" w:hAnsiTheme="minorHAnsi"/>
                <w:sz w:val="18"/>
                <w:szCs w:val="18"/>
              </w:rPr>
              <w:t>Further analysis</w:t>
            </w:r>
            <w:r>
              <w:rPr>
                <w:rFonts w:asciiTheme="minorHAnsi" w:hAnsiTheme="minorHAnsi"/>
                <w:sz w:val="18"/>
                <w:szCs w:val="18"/>
              </w:rPr>
              <w:t xml:space="preserve"> on the award of Clinical Excellence Awards over the past three years (April 2016 to April 2018 – corresponding approximately to the number in receipt of CEAs in 2018/19) </w:t>
            </w:r>
            <w:r w:rsidRPr="00D05C48">
              <w:rPr>
                <w:rFonts w:asciiTheme="minorHAnsi" w:hAnsiTheme="minorHAnsi"/>
                <w:sz w:val="18"/>
                <w:szCs w:val="18"/>
              </w:rPr>
              <w:t xml:space="preserve">indicated that female </w:t>
            </w:r>
            <w:r>
              <w:rPr>
                <w:rFonts w:asciiTheme="minorHAnsi" w:hAnsiTheme="minorHAnsi"/>
                <w:sz w:val="18"/>
                <w:szCs w:val="18"/>
              </w:rPr>
              <w:t xml:space="preserve">and male </w:t>
            </w:r>
            <w:r w:rsidRPr="00D05C48">
              <w:rPr>
                <w:rFonts w:asciiTheme="minorHAnsi" w:hAnsiTheme="minorHAnsi"/>
                <w:sz w:val="18"/>
                <w:szCs w:val="18"/>
              </w:rPr>
              <w:t xml:space="preserve">consultants were </w:t>
            </w:r>
            <w:r>
              <w:rPr>
                <w:rFonts w:asciiTheme="minorHAnsi" w:hAnsiTheme="minorHAnsi"/>
                <w:sz w:val="18"/>
                <w:szCs w:val="18"/>
              </w:rPr>
              <w:t xml:space="preserve">similarly </w:t>
            </w:r>
            <w:r w:rsidRPr="00D05C48">
              <w:rPr>
                <w:rFonts w:asciiTheme="minorHAnsi" w:hAnsiTheme="minorHAnsi"/>
                <w:sz w:val="18"/>
                <w:szCs w:val="18"/>
              </w:rPr>
              <w:t xml:space="preserve">likely to apply for an award, </w:t>
            </w:r>
            <w:r>
              <w:rPr>
                <w:rFonts w:asciiTheme="minorHAnsi" w:hAnsiTheme="minorHAnsi"/>
                <w:sz w:val="18"/>
                <w:szCs w:val="18"/>
              </w:rPr>
              <w:t xml:space="preserve">and </w:t>
            </w:r>
            <w:r w:rsidRPr="00D05C48">
              <w:rPr>
                <w:rFonts w:asciiTheme="minorHAnsi" w:hAnsiTheme="minorHAnsi"/>
                <w:sz w:val="18"/>
                <w:szCs w:val="18"/>
              </w:rPr>
              <w:t xml:space="preserve">were </w:t>
            </w:r>
            <w:r>
              <w:rPr>
                <w:rFonts w:asciiTheme="minorHAnsi" w:hAnsiTheme="minorHAnsi"/>
                <w:sz w:val="18"/>
                <w:szCs w:val="18"/>
              </w:rPr>
              <w:t>similarly</w:t>
            </w:r>
            <w:r w:rsidRPr="00D05C48">
              <w:rPr>
                <w:rFonts w:asciiTheme="minorHAnsi" w:hAnsiTheme="minorHAnsi"/>
                <w:sz w:val="18"/>
                <w:szCs w:val="18"/>
              </w:rPr>
              <w:t xml:space="preserve"> likely to be successful if they applied</w:t>
            </w:r>
            <w:r>
              <w:rPr>
                <w:rFonts w:asciiTheme="minorHAnsi" w:hAnsiTheme="minorHAnsi"/>
                <w:sz w:val="18"/>
                <w:szCs w:val="18"/>
              </w:rPr>
              <w:t>.</w:t>
            </w:r>
          </w:p>
          <w:p w:rsidR="006A13C6" w:rsidRDefault="006A13C6" w:rsidP="00D022D2">
            <w:pPr>
              <w:rPr>
                <w:rFonts w:asciiTheme="minorHAnsi" w:hAnsiTheme="minorHAnsi"/>
                <w:sz w:val="18"/>
                <w:szCs w:val="18"/>
              </w:rPr>
            </w:pPr>
          </w:p>
          <w:p w:rsidR="006A13C6" w:rsidRDefault="006A13C6" w:rsidP="00D022D2">
            <w:pPr>
              <w:rPr>
                <w:rFonts w:asciiTheme="minorHAnsi" w:hAnsiTheme="minorHAnsi"/>
                <w:sz w:val="18"/>
                <w:szCs w:val="18"/>
              </w:rPr>
            </w:pPr>
            <w:r>
              <w:rPr>
                <w:rFonts w:asciiTheme="minorHAnsi" w:hAnsiTheme="minorHAnsi"/>
                <w:sz w:val="18"/>
                <w:szCs w:val="18"/>
              </w:rPr>
              <w:t xml:space="preserve">Historically (over the past ten years), men have been more likely to apply for a CEA, although this trend is not apparent more recently.  Ongoing </w:t>
            </w:r>
            <w:r w:rsidRPr="00D05C48">
              <w:rPr>
                <w:rFonts w:asciiTheme="minorHAnsi" w:hAnsiTheme="minorHAnsi"/>
                <w:sz w:val="18"/>
                <w:szCs w:val="18"/>
              </w:rPr>
              <w:t xml:space="preserve">promotion of the </w:t>
            </w:r>
            <w:r>
              <w:rPr>
                <w:rFonts w:asciiTheme="minorHAnsi" w:hAnsiTheme="minorHAnsi"/>
                <w:sz w:val="18"/>
                <w:szCs w:val="18"/>
              </w:rPr>
              <w:t xml:space="preserve">CEA </w:t>
            </w:r>
            <w:r w:rsidRPr="00D05C48">
              <w:rPr>
                <w:rFonts w:asciiTheme="minorHAnsi" w:hAnsiTheme="minorHAnsi"/>
                <w:sz w:val="18"/>
                <w:szCs w:val="18"/>
              </w:rPr>
              <w:t>scheme</w:t>
            </w:r>
            <w:r>
              <w:rPr>
                <w:rFonts w:asciiTheme="minorHAnsi" w:hAnsiTheme="minorHAnsi"/>
                <w:sz w:val="18"/>
                <w:szCs w:val="18"/>
              </w:rPr>
              <w:t xml:space="preserve"> should continue to </w:t>
            </w:r>
            <w:r w:rsidRPr="00D05C48">
              <w:rPr>
                <w:rFonts w:asciiTheme="minorHAnsi" w:hAnsiTheme="minorHAnsi"/>
                <w:sz w:val="18"/>
                <w:szCs w:val="18"/>
              </w:rPr>
              <w:t>encourag</w:t>
            </w:r>
            <w:r>
              <w:rPr>
                <w:rFonts w:asciiTheme="minorHAnsi" w:hAnsiTheme="minorHAnsi"/>
                <w:sz w:val="18"/>
                <w:szCs w:val="18"/>
              </w:rPr>
              <w:t xml:space="preserve">e </w:t>
            </w:r>
            <w:r w:rsidRPr="00D05C48">
              <w:rPr>
                <w:rFonts w:asciiTheme="minorHAnsi" w:hAnsiTheme="minorHAnsi"/>
                <w:sz w:val="18"/>
                <w:szCs w:val="18"/>
              </w:rPr>
              <w:t xml:space="preserve">applications from </w:t>
            </w:r>
            <w:r>
              <w:rPr>
                <w:rFonts w:asciiTheme="minorHAnsi" w:hAnsiTheme="minorHAnsi"/>
                <w:sz w:val="18"/>
                <w:szCs w:val="18"/>
              </w:rPr>
              <w:t xml:space="preserve">all eligible consultants, </w:t>
            </w:r>
            <w:r w:rsidRPr="00D05C48">
              <w:rPr>
                <w:rFonts w:asciiTheme="minorHAnsi" w:hAnsiTheme="minorHAnsi"/>
                <w:sz w:val="18"/>
                <w:szCs w:val="18"/>
              </w:rPr>
              <w:t xml:space="preserve">ensuring accessibility for </w:t>
            </w:r>
            <w:r>
              <w:rPr>
                <w:rFonts w:asciiTheme="minorHAnsi" w:hAnsiTheme="minorHAnsi"/>
                <w:sz w:val="18"/>
                <w:szCs w:val="18"/>
              </w:rPr>
              <w:t>all</w:t>
            </w:r>
            <w:r w:rsidRPr="00D05C48">
              <w:rPr>
                <w:rFonts w:asciiTheme="minorHAnsi" w:hAnsiTheme="minorHAnsi"/>
                <w:sz w:val="18"/>
                <w:szCs w:val="18"/>
              </w:rPr>
              <w:t>.</w:t>
            </w:r>
            <w:r>
              <w:rPr>
                <w:rFonts w:asciiTheme="minorHAnsi" w:hAnsiTheme="minorHAnsi"/>
                <w:sz w:val="18"/>
                <w:szCs w:val="18"/>
              </w:rPr>
              <w:t xml:space="preserve">  </w:t>
            </w:r>
            <w:r w:rsidRPr="00D05C48">
              <w:rPr>
                <w:rFonts w:asciiTheme="minorHAnsi" w:hAnsiTheme="minorHAnsi"/>
                <w:sz w:val="18"/>
                <w:szCs w:val="18"/>
              </w:rPr>
              <w:t>Conside</w:t>
            </w:r>
            <w:r>
              <w:rPr>
                <w:rFonts w:asciiTheme="minorHAnsi" w:hAnsiTheme="minorHAnsi"/>
                <w:sz w:val="18"/>
                <w:szCs w:val="18"/>
              </w:rPr>
              <w:t xml:space="preserve">ration could be given to </w:t>
            </w:r>
            <w:r w:rsidRPr="00D05C48">
              <w:rPr>
                <w:rFonts w:asciiTheme="minorHAnsi" w:hAnsiTheme="minorHAnsi"/>
                <w:sz w:val="18"/>
                <w:szCs w:val="18"/>
              </w:rPr>
              <w:t>eliminating any unconscious bias by anonymising the award process.</w:t>
            </w:r>
          </w:p>
          <w:p w:rsidR="00193926" w:rsidRDefault="00193926" w:rsidP="00D022D2">
            <w:pPr>
              <w:rPr>
                <w:rFonts w:asciiTheme="minorHAnsi" w:hAnsiTheme="minorHAnsi"/>
                <w:sz w:val="18"/>
                <w:szCs w:val="18"/>
              </w:rPr>
            </w:pPr>
          </w:p>
          <w:p w:rsidR="00193926" w:rsidRPr="00D05C48" w:rsidRDefault="00193926" w:rsidP="00193926">
            <w:pPr>
              <w:rPr>
                <w:rFonts w:asciiTheme="minorHAnsi" w:hAnsiTheme="minorHAnsi"/>
                <w:sz w:val="18"/>
                <w:szCs w:val="18"/>
                <w:highlight w:val="yellow"/>
              </w:rPr>
            </w:pPr>
            <w:r w:rsidRPr="00193926">
              <w:rPr>
                <w:rFonts w:asciiTheme="minorHAnsi" w:hAnsiTheme="minorHAnsi"/>
                <w:sz w:val="18"/>
                <w:szCs w:val="18"/>
              </w:rPr>
              <w:t xml:space="preserve">The Trust is working with the </w:t>
            </w:r>
            <w:r>
              <w:rPr>
                <w:rFonts w:asciiTheme="minorHAnsi" w:hAnsiTheme="minorHAnsi"/>
                <w:sz w:val="18"/>
                <w:szCs w:val="18"/>
              </w:rPr>
              <w:t xml:space="preserve">Government Equalities Office </w:t>
            </w:r>
            <w:r w:rsidRPr="00193926">
              <w:rPr>
                <w:rFonts w:asciiTheme="minorHAnsi" w:hAnsiTheme="minorHAnsi"/>
                <w:sz w:val="18"/>
                <w:szCs w:val="18"/>
              </w:rPr>
              <w:t>on a pilot project de</w:t>
            </w:r>
            <w:r>
              <w:rPr>
                <w:rFonts w:asciiTheme="minorHAnsi" w:hAnsiTheme="minorHAnsi"/>
                <w:sz w:val="18"/>
                <w:szCs w:val="18"/>
              </w:rPr>
              <w:t>signed to research access to</w:t>
            </w:r>
            <w:r w:rsidRPr="00193926">
              <w:rPr>
                <w:rFonts w:asciiTheme="minorHAnsi" w:hAnsiTheme="minorHAnsi"/>
                <w:sz w:val="18"/>
                <w:szCs w:val="18"/>
              </w:rPr>
              <w:t xml:space="preserve"> CEA</w:t>
            </w:r>
            <w:r>
              <w:rPr>
                <w:rFonts w:asciiTheme="minorHAnsi" w:hAnsiTheme="minorHAnsi"/>
                <w:sz w:val="18"/>
                <w:szCs w:val="18"/>
              </w:rPr>
              <w:t>s for female and male clinicians</w:t>
            </w:r>
            <w:r w:rsidRPr="00193926">
              <w:rPr>
                <w:rFonts w:asciiTheme="minorHAnsi" w:hAnsiTheme="minorHAnsi"/>
                <w:sz w:val="18"/>
                <w:szCs w:val="18"/>
              </w:rPr>
              <w:t>.</w:t>
            </w:r>
          </w:p>
        </w:tc>
        <w:tc>
          <w:tcPr>
            <w:tcW w:w="1126" w:type="dxa"/>
            <w:vMerge w:val="restart"/>
          </w:tcPr>
          <w:p w:rsidR="006A13C6" w:rsidRPr="006A13C6" w:rsidRDefault="007068F5" w:rsidP="00D022D2">
            <w:pPr>
              <w:rPr>
                <w:rFonts w:asciiTheme="minorHAnsi" w:hAnsiTheme="minorHAnsi"/>
                <w:sz w:val="18"/>
                <w:szCs w:val="18"/>
              </w:rPr>
            </w:pPr>
            <w:r>
              <w:rPr>
                <w:rFonts w:asciiTheme="minorHAnsi" w:hAnsiTheme="minorHAnsi"/>
                <w:sz w:val="18"/>
                <w:szCs w:val="18"/>
              </w:rPr>
              <w:t>Medical Staffing and Revalidation Support Manager</w:t>
            </w:r>
          </w:p>
        </w:tc>
        <w:tc>
          <w:tcPr>
            <w:tcW w:w="888" w:type="dxa"/>
            <w:vMerge w:val="restart"/>
          </w:tcPr>
          <w:p w:rsidR="006A13C6" w:rsidRPr="006A13C6" w:rsidRDefault="007068F5" w:rsidP="00D022D2">
            <w:pPr>
              <w:rPr>
                <w:rFonts w:asciiTheme="minorHAnsi" w:hAnsiTheme="minorHAnsi"/>
                <w:sz w:val="18"/>
                <w:szCs w:val="18"/>
              </w:rPr>
            </w:pPr>
            <w:r>
              <w:rPr>
                <w:rFonts w:asciiTheme="minorHAnsi" w:hAnsiTheme="minorHAnsi"/>
                <w:sz w:val="18"/>
                <w:szCs w:val="18"/>
              </w:rPr>
              <w:t>August 2020</w:t>
            </w:r>
          </w:p>
        </w:tc>
      </w:tr>
      <w:tr w:rsidR="006A13C6" w:rsidRPr="00D66DCD" w:rsidTr="00D76E88">
        <w:trPr>
          <w:trHeight w:val="2278"/>
        </w:trPr>
        <w:tc>
          <w:tcPr>
            <w:tcW w:w="1178" w:type="dxa"/>
          </w:tcPr>
          <w:p w:rsidR="006A13C6" w:rsidRDefault="006A13C6" w:rsidP="00D022D2">
            <w:pPr>
              <w:rPr>
                <w:rFonts w:asciiTheme="minorHAnsi" w:hAnsiTheme="minorHAnsi"/>
                <w:sz w:val="20"/>
                <w:szCs w:val="20"/>
              </w:rPr>
            </w:pPr>
          </w:p>
          <w:p w:rsidR="006A13C6" w:rsidRPr="00D66DCD" w:rsidRDefault="006A13C6" w:rsidP="00D022D2">
            <w:pPr>
              <w:rPr>
                <w:rFonts w:asciiTheme="minorHAnsi" w:hAnsiTheme="minorHAnsi"/>
                <w:sz w:val="20"/>
                <w:szCs w:val="20"/>
              </w:rPr>
            </w:pPr>
            <w:r w:rsidRPr="00D66DCD">
              <w:rPr>
                <w:rFonts w:asciiTheme="minorHAnsi" w:hAnsiTheme="minorHAnsi"/>
                <w:sz w:val="20"/>
                <w:szCs w:val="20"/>
              </w:rPr>
              <w:t>Proportions of men and women in receipt of bonus pay</w:t>
            </w:r>
          </w:p>
        </w:tc>
        <w:tc>
          <w:tcPr>
            <w:tcW w:w="2459" w:type="dxa"/>
          </w:tcPr>
          <w:p w:rsidR="006A13C6" w:rsidRDefault="006A13C6" w:rsidP="00D022D2">
            <w:pPr>
              <w:rPr>
                <w:rFonts w:asciiTheme="minorHAnsi" w:hAnsiTheme="minorHAnsi"/>
                <w:sz w:val="20"/>
                <w:szCs w:val="20"/>
              </w:rPr>
            </w:pPr>
          </w:p>
          <w:p w:rsidR="006A13C6" w:rsidRDefault="006A13C6" w:rsidP="00D022D2">
            <w:pPr>
              <w:rPr>
                <w:rFonts w:asciiTheme="minorHAnsi" w:hAnsiTheme="minorHAnsi"/>
                <w:sz w:val="20"/>
                <w:szCs w:val="20"/>
              </w:rPr>
            </w:pPr>
            <w:r w:rsidRPr="00D66DCD">
              <w:rPr>
                <w:rFonts w:asciiTheme="minorHAnsi" w:hAnsiTheme="minorHAnsi"/>
                <w:sz w:val="20"/>
                <w:szCs w:val="20"/>
              </w:rPr>
              <w:t xml:space="preserve">Overall, </w:t>
            </w:r>
            <w:r w:rsidRPr="00D66DCD">
              <w:rPr>
                <w:rFonts w:asciiTheme="minorHAnsi" w:hAnsiTheme="minorHAnsi"/>
                <w:b/>
                <w:sz w:val="20"/>
                <w:szCs w:val="20"/>
              </w:rPr>
              <w:t>0.3%</w:t>
            </w:r>
            <w:r w:rsidRPr="00D66DCD">
              <w:rPr>
                <w:rFonts w:asciiTheme="minorHAnsi" w:hAnsiTheme="minorHAnsi"/>
                <w:sz w:val="20"/>
                <w:szCs w:val="20"/>
              </w:rPr>
              <w:t xml:space="preserve"> of female relevant employees received a bonus, whilst </w:t>
            </w:r>
            <w:r>
              <w:rPr>
                <w:rFonts w:asciiTheme="minorHAnsi" w:hAnsiTheme="minorHAnsi"/>
                <w:b/>
                <w:sz w:val="20"/>
                <w:szCs w:val="20"/>
              </w:rPr>
              <w:t>2.4</w:t>
            </w:r>
            <w:r w:rsidRPr="00D66DCD">
              <w:rPr>
                <w:rFonts w:asciiTheme="minorHAnsi" w:hAnsiTheme="minorHAnsi"/>
                <w:b/>
                <w:sz w:val="20"/>
                <w:szCs w:val="20"/>
              </w:rPr>
              <w:t>%</w:t>
            </w:r>
            <w:r w:rsidRPr="00D66DCD">
              <w:rPr>
                <w:rFonts w:asciiTheme="minorHAnsi" w:hAnsiTheme="minorHAnsi"/>
                <w:sz w:val="20"/>
                <w:szCs w:val="20"/>
              </w:rPr>
              <w:t xml:space="preserve"> of male relevant employees received a bonus.  Only Medical C</w:t>
            </w:r>
            <w:r>
              <w:rPr>
                <w:rFonts w:asciiTheme="minorHAnsi" w:hAnsiTheme="minorHAnsi"/>
                <w:sz w:val="20"/>
                <w:szCs w:val="20"/>
              </w:rPr>
              <w:t>onsultants received bonus pay (Clinical Excellence A</w:t>
            </w:r>
            <w:r w:rsidRPr="00D66DCD">
              <w:rPr>
                <w:rFonts w:asciiTheme="minorHAnsi" w:hAnsiTheme="minorHAnsi"/>
                <w:sz w:val="20"/>
                <w:szCs w:val="20"/>
              </w:rPr>
              <w:t>w</w:t>
            </w:r>
            <w:r>
              <w:rPr>
                <w:rFonts w:asciiTheme="minorHAnsi" w:hAnsiTheme="minorHAnsi"/>
                <w:sz w:val="20"/>
                <w:szCs w:val="20"/>
              </w:rPr>
              <w:t>ards).  Considering only Medical Consultants who applied for a CEA (Apr16 to Apr18): 63.3</w:t>
            </w:r>
            <w:r w:rsidRPr="00D66DCD">
              <w:rPr>
                <w:rFonts w:asciiTheme="minorHAnsi" w:hAnsiTheme="minorHAnsi"/>
                <w:sz w:val="20"/>
                <w:szCs w:val="20"/>
              </w:rPr>
              <w:t>% of female Consultan</w:t>
            </w:r>
            <w:r>
              <w:rPr>
                <w:rFonts w:asciiTheme="minorHAnsi" w:hAnsiTheme="minorHAnsi"/>
                <w:sz w:val="20"/>
                <w:szCs w:val="20"/>
              </w:rPr>
              <w:t xml:space="preserve">ts were successful compared to 71.4% </w:t>
            </w:r>
            <w:r w:rsidRPr="00D66DCD">
              <w:rPr>
                <w:rFonts w:asciiTheme="minorHAnsi" w:hAnsiTheme="minorHAnsi"/>
                <w:sz w:val="20"/>
                <w:szCs w:val="20"/>
              </w:rPr>
              <w:t>of male Consultants.</w:t>
            </w:r>
          </w:p>
          <w:p w:rsidR="006A13C6" w:rsidRPr="00D66DCD" w:rsidRDefault="006A13C6" w:rsidP="00D022D2">
            <w:pPr>
              <w:rPr>
                <w:rFonts w:asciiTheme="minorHAnsi" w:hAnsiTheme="minorHAnsi"/>
                <w:sz w:val="20"/>
                <w:szCs w:val="20"/>
              </w:rPr>
            </w:pPr>
          </w:p>
        </w:tc>
        <w:tc>
          <w:tcPr>
            <w:tcW w:w="4641" w:type="dxa"/>
            <w:vMerge/>
          </w:tcPr>
          <w:p w:rsidR="006A13C6" w:rsidRPr="00D66DCD" w:rsidRDefault="006A13C6" w:rsidP="00D022D2">
            <w:pPr>
              <w:rPr>
                <w:rFonts w:asciiTheme="minorHAnsi" w:hAnsiTheme="minorHAnsi"/>
                <w:sz w:val="20"/>
                <w:szCs w:val="20"/>
              </w:rPr>
            </w:pPr>
          </w:p>
        </w:tc>
        <w:tc>
          <w:tcPr>
            <w:tcW w:w="1126" w:type="dxa"/>
            <w:vMerge/>
          </w:tcPr>
          <w:p w:rsidR="006A13C6" w:rsidRPr="006A13C6" w:rsidRDefault="006A13C6" w:rsidP="00D022D2">
            <w:pPr>
              <w:rPr>
                <w:rFonts w:asciiTheme="minorHAnsi" w:hAnsiTheme="minorHAnsi"/>
                <w:sz w:val="18"/>
                <w:szCs w:val="18"/>
              </w:rPr>
            </w:pPr>
          </w:p>
        </w:tc>
        <w:tc>
          <w:tcPr>
            <w:tcW w:w="888" w:type="dxa"/>
            <w:vMerge/>
          </w:tcPr>
          <w:p w:rsidR="006A13C6" w:rsidRPr="006A13C6" w:rsidRDefault="006A13C6" w:rsidP="00D022D2">
            <w:pPr>
              <w:rPr>
                <w:rFonts w:asciiTheme="minorHAnsi" w:hAnsiTheme="minorHAnsi"/>
                <w:sz w:val="18"/>
                <w:szCs w:val="18"/>
              </w:rPr>
            </w:pPr>
          </w:p>
        </w:tc>
      </w:tr>
    </w:tbl>
    <w:p w:rsidR="006A13C6" w:rsidRDefault="006A13C6" w:rsidP="0023699D"/>
    <w:sectPr w:rsidR="006A13C6" w:rsidSect="004A18D4">
      <w:headerReference w:type="even" r:id="rId24"/>
      <w:headerReference w:type="default" r:id="rId25"/>
      <w:footerReference w:type="even" r:id="rId26"/>
      <w:footerReference w:type="default" r:id="rId27"/>
      <w:headerReference w:type="first" r:id="rId28"/>
      <w:footerReference w:type="first" r:id="rId29"/>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D63" w:rsidRDefault="00503D63" w:rsidP="00317957">
      <w:r>
        <w:separator/>
      </w:r>
    </w:p>
  </w:endnote>
  <w:endnote w:type="continuationSeparator" w:id="0">
    <w:p w:rsidR="00503D63" w:rsidRDefault="00503D63" w:rsidP="0031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79" w:rsidRDefault="00CB4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52640"/>
      <w:docPartObj>
        <w:docPartGallery w:val="Page Numbers (Bottom of Page)"/>
        <w:docPartUnique/>
      </w:docPartObj>
    </w:sdtPr>
    <w:sdtEndPr>
      <w:rPr>
        <w:noProof/>
      </w:rPr>
    </w:sdtEndPr>
    <w:sdtContent>
      <w:p w:rsidR="000D0C00" w:rsidRDefault="000D0C00">
        <w:pPr>
          <w:pStyle w:val="Footer"/>
          <w:jc w:val="right"/>
        </w:pPr>
        <w:r>
          <w:fldChar w:fldCharType="begin"/>
        </w:r>
        <w:r>
          <w:instrText xml:space="preserve"> PAGE   \* MERGEFORMAT </w:instrText>
        </w:r>
        <w:r>
          <w:fldChar w:fldCharType="separate"/>
        </w:r>
        <w:r w:rsidR="003D1FD6">
          <w:rPr>
            <w:noProof/>
          </w:rPr>
          <w:t>2</w:t>
        </w:r>
        <w:r>
          <w:rPr>
            <w:noProof/>
          </w:rPr>
          <w:fldChar w:fldCharType="end"/>
        </w:r>
      </w:p>
    </w:sdtContent>
  </w:sdt>
  <w:p w:rsidR="000D0C00" w:rsidRDefault="000D0C00" w:rsidP="00CA1EE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79" w:rsidRDefault="00CB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D63" w:rsidRDefault="00503D63" w:rsidP="00317957">
      <w:r>
        <w:separator/>
      </w:r>
    </w:p>
  </w:footnote>
  <w:footnote w:type="continuationSeparator" w:id="0">
    <w:p w:rsidR="00503D63" w:rsidRDefault="00503D63" w:rsidP="00317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79" w:rsidRDefault="00CB4A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C00" w:rsidRDefault="000D0C00">
    <w:pPr>
      <w:pStyle w:val="Header"/>
    </w:pPr>
    <w:r>
      <w:rPr>
        <w:noProof/>
        <w:lang w:eastAsia="en-GB"/>
      </w:rPr>
      <w:drawing>
        <wp:anchor distT="0" distB="0" distL="114300" distR="114300" simplePos="0" relativeHeight="251659264" behindDoc="0" locked="0" layoutInCell="0" allowOverlap="0" wp14:anchorId="230C5F2E" wp14:editId="2CAC3843">
          <wp:simplePos x="0" y="0"/>
          <wp:positionH relativeFrom="column">
            <wp:posOffset>2486025</wp:posOffset>
          </wp:positionH>
          <wp:positionV relativeFrom="paragraph">
            <wp:posOffset>-144779</wp:posOffset>
          </wp:positionV>
          <wp:extent cx="4019550" cy="1242626"/>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b="15742"/>
                  <a:stretch>
                    <a:fillRect/>
                  </a:stretch>
                </pic:blipFill>
                <pic:spPr bwMode="auto">
                  <a:xfrm>
                    <a:off x="0" y="0"/>
                    <a:ext cx="4019848" cy="124271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79" w:rsidRDefault="00CB4A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6EDB"/>
    <w:multiLevelType w:val="hybridMultilevel"/>
    <w:tmpl w:val="432C3B88"/>
    <w:lvl w:ilvl="0" w:tplc="2300353E">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E4C75"/>
    <w:multiLevelType w:val="hybridMultilevel"/>
    <w:tmpl w:val="DCA065D8"/>
    <w:lvl w:ilvl="0" w:tplc="2300353E">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723A95"/>
    <w:multiLevelType w:val="hybridMultilevel"/>
    <w:tmpl w:val="21C4B402"/>
    <w:lvl w:ilvl="0" w:tplc="2300353E">
      <w:start w:val="1"/>
      <w:numFmt w:val="bullet"/>
      <w:lvlText w:val=""/>
      <w:lvlJc w:val="left"/>
      <w:pPr>
        <w:ind w:left="720" w:hanging="360"/>
      </w:pPr>
      <w:rPr>
        <w:rFonts w:ascii="Symbol" w:hAnsi="Symbol" w:hint="default"/>
        <w:color w:val="FF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1590A"/>
    <w:multiLevelType w:val="hybridMultilevel"/>
    <w:tmpl w:val="DC52C8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C336FB"/>
    <w:multiLevelType w:val="hybridMultilevel"/>
    <w:tmpl w:val="CAAE15F8"/>
    <w:lvl w:ilvl="0" w:tplc="91D2AB8C">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A2441A"/>
    <w:multiLevelType w:val="hybridMultilevel"/>
    <w:tmpl w:val="95B8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48"/>
    <w:rsid w:val="000040BE"/>
    <w:rsid w:val="000040FD"/>
    <w:rsid w:val="00004B8A"/>
    <w:rsid w:val="00004D1B"/>
    <w:rsid w:val="00006F33"/>
    <w:rsid w:val="000111BF"/>
    <w:rsid w:val="00011688"/>
    <w:rsid w:val="00013228"/>
    <w:rsid w:val="00014B3A"/>
    <w:rsid w:val="00014DBB"/>
    <w:rsid w:val="00015476"/>
    <w:rsid w:val="00016105"/>
    <w:rsid w:val="00021DC9"/>
    <w:rsid w:val="000221D6"/>
    <w:rsid w:val="00022884"/>
    <w:rsid w:val="0002307E"/>
    <w:rsid w:val="0002334B"/>
    <w:rsid w:val="00023F9A"/>
    <w:rsid w:val="0002509D"/>
    <w:rsid w:val="00025338"/>
    <w:rsid w:val="000259BC"/>
    <w:rsid w:val="0002625A"/>
    <w:rsid w:val="000265B1"/>
    <w:rsid w:val="00027EEA"/>
    <w:rsid w:val="000321ED"/>
    <w:rsid w:val="000344A7"/>
    <w:rsid w:val="0003632C"/>
    <w:rsid w:val="0003676F"/>
    <w:rsid w:val="0003708A"/>
    <w:rsid w:val="000374E4"/>
    <w:rsid w:val="00037693"/>
    <w:rsid w:val="00037DF5"/>
    <w:rsid w:val="000407BF"/>
    <w:rsid w:val="00040917"/>
    <w:rsid w:val="00040F68"/>
    <w:rsid w:val="000411CC"/>
    <w:rsid w:val="000422FF"/>
    <w:rsid w:val="0004238A"/>
    <w:rsid w:val="00042F03"/>
    <w:rsid w:val="00045387"/>
    <w:rsid w:val="000453EC"/>
    <w:rsid w:val="00051D74"/>
    <w:rsid w:val="000535D2"/>
    <w:rsid w:val="00053650"/>
    <w:rsid w:val="00056602"/>
    <w:rsid w:val="000571D9"/>
    <w:rsid w:val="00060871"/>
    <w:rsid w:val="00060E66"/>
    <w:rsid w:val="00065BC1"/>
    <w:rsid w:val="000673ED"/>
    <w:rsid w:val="00072F02"/>
    <w:rsid w:val="000731B4"/>
    <w:rsid w:val="00073614"/>
    <w:rsid w:val="0007364F"/>
    <w:rsid w:val="000736C3"/>
    <w:rsid w:val="00073D8C"/>
    <w:rsid w:val="00074136"/>
    <w:rsid w:val="00074D92"/>
    <w:rsid w:val="000757D8"/>
    <w:rsid w:val="00077757"/>
    <w:rsid w:val="000801D4"/>
    <w:rsid w:val="00080D16"/>
    <w:rsid w:val="00080E7B"/>
    <w:rsid w:val="00082BF6"/>
    <w:rsid w:val="000852EF"/>
    <w:rsid w:val="00085B24"/>
    <w:rsid w:val="00085F26"/>
    <w:rsid w:val="00086028"/>
    <w:rsid w:val="000864CA"/>
    <w:rsid w:val="000868E1"/>
    <w:rsid w:val="00087101"/>
    <w:rsid w:val="00094CF1"/>
    <w:rsid w:val="00095274"/>
    <w:rsid w:val="0009716B"/>
    <w:rsid w:val="00097285"/>
    <w:rsid w:val="000A27C1"/>
    <w:rsid w:val="000A2FB3"/>
    <w:rsid w:val="000A48AB"/>
    <w:rsid w:val="000A7091"/>
    <w:rsid w:val="000A7A57"/>
    <w:rsid w:val="000B0370"/>
    <w:rsid w:val="000B0530"/>
    <w:rsid w:val="000B1242"/>
    <w:rsid w:val="000B1F32"/>
    <w:rsid w:val="000B32D4"/>
    <w:rsid w:val="000B3625"/>
    <w:rsid w:val="000B4316"/>
    <w:rsid w:val="000B52AD"/>
    <w:rsid w:val="000B7980"/>
    <w:rsid w:val="000C01B5"/>
    <w:rsid w:val="000C0FA9"/>
    <w:rsid w:val="000C11A6"/>
    <w:rsid w:val="000C1E5B"/>
    <w:rsid w:val="000C3DC7"/>
    <w:rsid w:val="000C4AB9"/>
    <w:rsid w:val="000C55F1"/>
    <w:rsid w:val="000D0042"/>
    <w:rsid w:val="000D0601"/>
    <w:rsid w:val="000D0C00"/>
    <w:rsid w:val="000D0FA6"/>
    <w:rsid w:val="000D1CB6"/>
    <w:rsid w:val="000D35C8"/>
    <w:rsid w:val="000D42D4"/>
    <w:rsid w:val="000D69E8"/>
    <w:rsid w:val="000D6AF8"/>
    <w:rsid w:val="000D7855"/>
    <w:rsid w:val="000E0ADA"/>
    <w:rsid w:val="000E269C"/>
    <w:rsid w:val="000E2AE8"/>
    <w:rsid w:val="000E2B81"/>
    <w:rsid w:val="000E2D6F"/>
    <w:rsid w:val="000E34E0"/>
    <w:rsid w:val="000E35E6"/>
    <w:rsid w:val="000E4217"/>
    <w:rsid w:val="000E43EE"/>
    <w:rsid w:val="000E6085"/>
    <w:rsid w:val="000E6C2A"/>
    <w:rsid w:val="000E711F"/>
    <w:rsid w:val="000E7432"/>
    <w:rsid w:val="000E79E0"/>
    <w:rsid w:val="000F099C"/>
    <w:rsid w:val="000F55ED"/>
    <w:rsid w:val="000F621C"/>
    <w:rsid w:val="000F658A"/>
    <w:rsid w:val="00102345"/>
    <w:rsid w:val="00104099"/>
    <w:rsid w:val="0010505D"/>
    <w:rsid w:val="001102C5"/>
    <w:rsid w:val="00110C46"/>
    <w:rsid w:val="001148D3"/>
    <w:rsid w:val="00115CE1"/>
    <w:rsid w:val="00116F8D"/>
    <w:rsid w:val="0011737C"/>
    <w:rsid w:val="00117E9E"/>
    <w:rsid w:val="0012015C"/>
    <w:rsid w:val="001202DA"/>
    <w:rsid w:val="001232B2"/>
    <w:rsid w:val="00124268"/>
    <w:rsid w:val="0012459E"/>
    <w:rsid w:val="001249E0"/>
    <w:rsid w:val="00124F6E"/>
    <w:rsid w:val="001277A6"/>
    <w:rsid w:val="0013341E"/>
    <w:rsid w:val="001344E3"/>
    <w:rsid w:val="00134B44"/>
    <w:rsid w:val="00135FF8"/>
    <w:rsid w:val="00137765"/>
    <w:rsid w:val="00140EA3"/>
    <w:rsid w:val="00141A67"/>
    <w:rsid w:val="00141EB6"/>
    <w:rsid w:val="00142361"/>
    <w:rsid w:val="00143AEC"/>
    <w:rsid w:val="001443C1"/>
    <w:rsid w:val="0014467B"/>
    <w:rsid w:val="00144902"/>
    <w:rsid w:val="00144E59"/>
    <w:rsid w:val="0014678B"/>
    <w:rsid w:val="001472ED"/>
    <w:rsid w:val="00147E1C"/>
    <w:rsid w:val="0015005A"/>
    <w:rsid w:val="00150F13"/>
    <w:rsid w:val="001515FC"/>
    <w:rsid w:val="001517B1"/>
    <w:rsid w:val="001525F4"/>
    <w:rsid w:val="001574C1"/>
    <w:rsid w:val="00161E3A"/>
    <w:rsid w:val="001639FC"/>
    <w:rsid w:val="001642F2"/>
    <w:rsid w:val="0016616A"/>
    <w:rsid w:val="00170BD8"/>
    <w:rsid w:val="0017100A"/>
    <w:rsid w:val="001720F6"/>
    <w:rsid w:val="00172A00"/>
    <w:rsid w:val="00173D60"/>
    <w:rsid w:val="00174433"/>
    <w:rsid w:val="00174C0E"/>
    <w:rsid w:val="00174C5F"/>
    <w:rsid w:val="001759A6"/>
    <w:rsid w:val="00175B97"/>
    <w:rsid w:val="00175E8D"/>
    <w:rsid w:val="0018077D"/>
    <w:rsid w:val="00181036"/>
    <w:rsid w:val="00181588"/>
    <w:rsid w:val="00182E60"/>
    <w:rsid w:val="00184C05"/>
    <w:rsid w:val="00184F27"/>
    <w:rsid w:val="0018525F"/>
    <w:rsid w:val="00186A1D"/>
    <w:rsid w:val="00187771"/>
    <w:rsid w:val="00187C59"/>
    <w:rsid w:val="001905B6"/>
    <w:rsid w:val="0019060E"/>
    <w:rsid w:val="0019116D"/>
    <w:rsid w:val="00191A36"/>
    <w:rsid w:val="001922AB"/>
    <w:rsid w:val="00192371"/>
    <w:rsid w:val="00193346"/>
    <w:rsid w:val="001936DA"/>
    <w:rsid w:val="00193926"/>
    <w:rsid w:val="00194AD0"/>
    <w:rsid w:val="00194B6F"/>
    <w:rsid w:val="001950E1"/>
    <w:rsid w:val="0019699F"/>
    <w:rsid w:val="00197700"/>
    <w:rsid w:val="00197CE7"/>
    <w:rsid w:val="001A1ED9"/>
    <w:rsid w:val="001A2E7D"/>
    <w:rsid w:val="001A2FB6"/>
    <w:rsid w:val="001A3E26"/>
    <w:rsid w:val="001A40BE"/>
    <w:rsid w:val="001A4160"/>
    <w:rsid w:val="001A4772"/>
    <w:rsid w:val="001A4B95"/>
    <w:rsid w:val="001A62C6"/>
    <w:rsid w:val="001A7121"/>
    <w:rsid w:val="001B1790"/>
    <w:rsid w:val="001B2EF3"/>
    <w:rsid w:val="001B3698"/>
    <w:rsid w:val="001B56C2"/>
    <w:rsid w:val="001B60AA"/>
    <w:rsid w:val="001B7824"/>
    <w:rsid w:val="001C3A48"/>
    <w:rsid w:val="001C4332"/>
    <w:rsid w:val="001C6A5F"/>
    <w:rsid w:val="001C7216"/>
    <w:rsid w:val="001C79B6"/>
    <w:rsid w:val="001D19D2"/>
    <w:rsid w:val="001D1BBA"/>
    <w:rsid w:val="001D3805"/>
    <w:rsid w:val="001D6B00"/>
    <w:rsid w:val="001D7D33"/>
    <w:rsid w:val="001E1591"/>
    <w:rsid w:val="001E1810"/>
    <w:rsid w:val="001E268B"/>
    <w:rsid w:val="001E4460"/>
    <w:rsid w:val="001E607B"/>
    <w:rsid w:val="001E6F8F"/>
    <w:rsid w:val="001E70E1"/>
    <w:rsid w:val="001E712B"/>
    <w:rsid w:val="001E79ED"/>
    <w:rsid w:val="001F07B8"/>
    <w:rsid w:val="001F11F4"/>
    <w:rsid w:val="001F15B9"/>
    <w:rsid w:val="001F23E3"/>
    <w:rsid w:val="001F26F7"/>
    <w:rsid w:val="001F447E"/>
    <w:rsid w:val="001F52C2"/>
    <w:rsid w:val="001F72F0"/>
    <w:rsid w:val="00202285"/>
    <w:rsid w:val="00202860"/>
    <w:rsid w:val="00204072"/>
    <w:rsid w:val="00204214"/>
    <w:rsid w:val="0020587B"/>
    <w:rsid w:val="00205F2E"/>
    <w:rsid w:val="00206A91"/>
    <w:rsid w:val="00206B4E"/>
    <w:rsid w:val="00207E7C"/>
    <w:rsid w:val="002102AF"/>
    <w:rsid w:val="0021198F"/>
    <w:rsid w:val="002137AF"/>
    <w:rsid w:val="00215FED"/>
    <w:rsid w:val="002171C2"/>
    <w:rsid w:val="002175C5"/>
    <w:rsid w:val="00217DEC"/>
    <w:rsid w:val="0022301B"/>
    <w:rsid w:val="00223A7E"/>
    <w:rsid w:val="00223FDB"/>
    <w:rsid w:val="00224336"/>
    <w:rsid w:val="0022548C"/>
    <w:rsid w:val="00226537"/>
    <w:rsid w:val="00227CCB"/>
    <w:rsid w:val="00230CB2"/>
    <w:rsid w:val="002319C3"/>
    <w:rsid w:val="00232C1F"/>
    <w:rsid w:val="00232E80"/>
    <w:rsid w:val="00233E29"/>
    <w:rsid w:val="002352EA"/>
    <w:rsid w:val="0023699D"/>
    <w:rsid w:val="00236CD2"/>
    <w:rsid w:val="00241C1C"/>
    <w:rsid w:val="00243E31"/>
    <w:rsid w:val="00245663"/>
    <w:rsid w:val="00247971"/>
    <w:rsid w:val="00247F38"/>
    <w:rsid w:val="002501B7"/>
    <w:rsid w:val="002515D8"/>
    <w:rsid w:val="002518E3"/>
    <w:rsid w:val="0025261C"/>
    <w:rsid w:val="0025310B"/>
    <w:rsid w:val="002548FD"/>
    <w:rsid w:val="00254B60"/>
    <w:rsid w:val="00254E07"/>
    <w:rsid w:val="002558C3"/>
    <w:rsid w:val="00260C25"/>
    <w:rsid w:val="0026179C"/>
    <w:rsid w:val="0026345A"/>
    <w:rsid w:val="00267323"/>
    <w:rsid w:val="002702D3"/>
    <w:rsid w:val="00270DBC"/>
    <w:rsid w:val="00271158"/>
    <w:rsid w:val="00272FBA"/>
    <w:rsid w:val="00273191"/>
    <w:rsid w:val="00273624"/>
    <w:rsid w:val="00273A96"/>
    <w:rsid w:val="0027500C"/>
    <w:rsid w:val="002753AB"/>
    <w:rsid w:val="00277FEA"/>
    <w:rsid w:val="00281759"/>
    <w:rsid w:val="00281875"/>
    <w:rsid w:val="00284745"/>
    <w:rsid w:val="00285037"/>
    <w:rsid w:val="00285968"/>
    <w:rsid w:val="00286A22"/>
    <w:rsid w:val="00287895"/>
    <w:rsid w:val="0029024F"/>
    <w:rsid w:val="002917E1"/>
    <w:rsid w:val="00291817"/>
    <w:rsid w:val="00291DDA"/>
    <w:rsid w:val="00293553"/>
    <w:rsid w:val="00293E4E"/>
    <w:rsid w:val="002940E9"/>
    <w:rsid w:val="00294F26"/>
    <w:rsid w:val="00296135"/>
    <w:rsid w:val="002A0690"/>
    <w:rsid w:val="002A1820"/>
    <w:rsid w:val="002A2E0B"/>
    <w:rsid w:val="002A3941"/>
    <w:rsid w:val="002A3C87"/>
    <w:rsid w:val="002A70FF"/>
    <w:rsid w:val="002B07BE"/>
    <w:rsid w:val="002B1396"/>
    <w:rsid w:val="002B1FD8"/>
    <w:rsid w:val="002B2706"/>
    <w:rsid w:val="002B3269"/>
    <w:rsid w:val="002B4A2E"/>
    <w:rsid w:val="002B5078"/>
    <w:rsid w:val="002B5084"/>
    <w:rsid w:val="002B5C61"/>
    <w:rsid w:val="002B5D7C"/>
    <w:rsid w:val="002B66A4"/>
    <w:rsid w:val="002B68E4"/>
    <w:rsid w:val="002B6EA1"/>
    <w:rsid w:val="002C14F7"/>
    <w:rsid w:val="002C1E34"/>
    <w:rsid w:val="002C2FFF"/>
    <w:rsid w:val="002C6C75"/>
    <w:rsid w:val="002C702D"/>
    <w:rsid w:val="002C7207"/>
    <w:rsid w:val="002C7567"/>
    <w:rsid w:val="002D1F11"/>
    <w:rsid w:val="002D2BF9"/>
    <w:rsid w:val="002D368C"/>
    <w:rsid w:val="002D3838"/>
    <w:rsid w:val="002D4056"/>
    <w:rsid w:val="002D4197"/>
    <w:rsid w:val="002D4755"/>
    <w:rsid w:val="002D7743"/>
    <w:rsid w:val="002D7FB8"/>
    <w:rsid w:val="002E07DC"/>
    <w:rsid w:val="002E12ED"/>
    <w:rsid w:val="002E33CD"/>
    <w:rsid w:val="002E39E3"/>
    <w:rsid w:val="002E42D3"/>
    <w:rsid w:val="002E4986"/>
    <w:rsid w:val="002E4E26"/>
    <w:rsid w:val="002E51F0"/>
    <w:rsid w:val="002E54FF"/>
    <w:rsid w:val="002E7256"/>
    <w:rsid w:val="002F0185"/>
    <w:rsid w:val="002F03D5"/>
    <w:rsid w:val="002F1601"/>
    <w:rsid w:val="002F2E48"/>
    <w:rsid w:val="002F3D77"/>
    <w:rsid w:val="002F3E71"/>
    <w:rsid w:val="002F4D1F"/>
    <w:rsid w:val="003007C1"/>
    <w:rsid w:val="0030323E"/>
    <w:rsid w:val="003045D5"/>
    <w:rsid w:val="00304C21"/>
    <w:rsid w:val="00305C1E"/>
    <w:rsid w:val="00305C8A"/>
    <w:rsid w:val="0030602C"/>
    <w:rsid w:val="003062D9"/>
    <w:rsid w:val="003065ED"/>
    <w:rsid w:val="00307394"/>
    <w:rsid w:val="003110ED"/>
    <w:rsid w:val="003114D6"/>
    <w:rsid w:val="00312610"/>
    <w:rsid w:val="0031340E"/>
    <w:rsid w:val="003144A2"/>
    <w:rsid w:val="0031662F"/>
    <w:rsid w:val="003171A3"/>
    <w:rsid w:val="00317957"/>
    <w:rsid w:val="00322E9D"/>
    <w:rsid w:val="00323AD6"/>
    <w:rsid w:val="003257AB"/>
    <w:rsid w:val="00325808"/>
    <w:rsid w:val="00326B1F"/>
    <w:rsid w:val="00326E9C"/>
    <w:rsid w:val="003279B7"/>
    <w:rsid w:val="003305E1"/>
    <w:rsid w:val="003323CC"/>
    <w:rsid w:val="00333356"/>
    <w:rsid w:val="00333D99"/>
    <w:rsid w:val="00335D46"/>
    <w:rsid w:val="003376DE"/>
    <w:rsid w:val="00337D21"/>
    <w:rsid w:val="003419A3"/>
    <w:rsid w:val="003424B5"/>
    <w:rsid w:val="00342892"/>
    <w:rsid w:val="00343DE0"/>
    <w:rsid w:val="003443F0"/>
    <w:rsid w:val="003455D8"/>
    <w:rsid w:val="00345738"/>
    <w:rsid w:val="00346022"/>
    <w:rsid w:val="003461A9"/>
    <w:rsid w:val="003471E7"/>
    <w:rsid w:val="00347BB6"/>
    <w:rsid w:val="00350352"/>
    <w:rsid w:val="00350552"/>
    <w:rsid w:val="003506D6"/>
    <w:rsid w:val="00350D4E"/>
    <w:rsid w:val="00353572"/>
    <w:rsid w:val="003548C2"/>
    <w:rsid w:val="0035553D"/>
    <w:rsid w:val="00355A89"/>
    <w:rsid w:val="003566B1"/>
    <w:rsid w:val="00357910"/>
    <w:rsid w:val="00357E65"/>
    <w:rsid w:val="00357FDA"/>
    <w:rsid w:val="003609E7"/>
    <w:rsid w:val="0036110B"/>
    <w:rsid w:val="00361CFA"/>
    <w:rsid w:val="00364B79"/>
    <w:rsid w:val="003657A0"/>
    <w:rsid w:val="003659D4"/>
    <w:rsid w:val="00365C3A"/>
    <w:rsid w:val="00365D3B"/>
    <w:rsid w:val="00366675"/>
    <w:rsid w:val="00366968"/>
    <w:rsid w:val="00367EC6"/>
    <w:rsid w:val="003705BE"/>
    <w:rsid w:val="00371486"/>
    <w:rsid w:val="00371AAE"/>
    <w:rsid w:val="00374574"/>
    <w:rsid w:val="003759F5"/>
    <w:rsid w:val="00375E61"/>
    <w:rsid w:val="0037620D"/>
    <w:rsid w:val="003778F9"/>
    <w:rsid w:val="00384592"/>
    <w:rsid w:val="0038501B"/>
    <w:rsid w:val="003858E2"/>
    <w:rsid w:val="00386BA5"/>
    <w:rsid w:val="00392FBD"/>
    <w:rsid w:val="00395A60"/>
    <w:rsid w:val="003966DE"/>
    <w:rsid w:val="00396AAA"/>
    <w:rsid w:val="00396C64"/>
    <w:rsid w:val="003A1AE1"/>
    <w:rsid w:val="003A1B60"/>
    <w:rsid w:val="003A271E"/>
    <w:rsid w:val="003A3AE7"/>
    <w:rsid w:val="003A3B5B"/>
    <w:rsid w:val="003A3D98"/>
    <w:rsid w:val="003A4516"/>
    <w:rsid w:val="003A4AB0"/>
    <w:rsid w:val="003A52EE"/>
    <w:rsid w:val="003A64AD"/>
    <w:rsid w:val="003B089A"/>
    <w:rsid w:val="003B24E7"/>
    <w:rsid w:val="003B33DB"/>
    <w:rsid w:val="003B3E8D"/>
    <w:rsid w:val="003B4949"/>
    <w:rsid w:val="003B4B0D"/>
    <w:rsid w:val="003B4E40"/>
    <w:rsid w:val="003B5516"/>
    <w:rsid w:val="003B65BF"/>
    <w:rsid w:val="003B6A33"/>
    <w:rsid w:val="003B6A82"/>
    <w:rsid w:val="003B769E"/>
    <w:rsid w:val="003C30FA"/>
    <w:rsid w:val="003C3843"/>
    <w:rsid w:val="003C6AB6"/>
    <w:rsid w:val="003D0BC1"/>
    <w:rsid w:val="003D0CDD"/>
    <w:rsid w:val="003D0E78"/>
    <w:rsid w:val="003D1FD6"/>
    <w:rsid w:val="003D2E72"/>
    <w:rsid w:val="003D2EEB"/>
    <w:rsid w:val="003D2EFF"/>
    <w:rsid w:val="003D3786"/>
    <w:rsid w:val="003D3BE0"/>
    <w:rsid w:val="003D4025"/>
    <w:rsid w:val="003D7309"/>
    <w:rsid w:val="003D761E"/>
    <w:rsid w:val="003E04B9"/>
    <w:rsid w:val="003E05F1"/>
    <w:rsid w:val="003E1B6F"/>
    <w:rsid w:val="003E3065"/>
    <w:rsid w:val="003E4755"/>
    <w:rsid w:val="003E5466"/>
    <w:rsid w:val="003E6468"/>
    <w:rsid w:val="003E6F69"/>
    <w:rsid w:val="003E75A9"/>
    <w:rsid w:val="003F0EBC"/>
    <w:rsid w:val="003F29FC"/>
    <w:rsid w:val="003F2F4D"/>
    <w:rsid w:val="003F4123"/>
    <w:rsid w:val="003F433A"/>
    <w:rsid w:val="003F454D"/>
    <w:rsid w:val="00400B8F"/>
    <w:rsid w:val="004014B3"/>
    <w:rsid w:val="00402EA3"/>
    <w:rsid w:val="00403A61"/>
    <w:rsid w:val="00404ADE"/>
    <w:rsid w:val="00405414"/>
    <w:rsid w:val="00406E5A"/>
    <w:rsid w:val="004072C9"/>
    <w:rsid w:val="00407DD8"/>
    <w:rsid w:val="0041041A"/>
    <w:rsid w:val="00411967"/>
    <w:rsid w:val="004119AB"/>
    <w:rsid w:val="0041235F"/>
    <w:rsid w:val="00413143"/>
    <w:rsid w:val="00413F58"/>
    <w:rsid w:val="00414F32"/>
    <w:rsid w:val="00416782"/>
    <w:rsid w:val="00417201"/>
    <w:rsid w:val="00417530"/>
    <w:rsid w:val="00420CAF"/>
    <w:rsid w:val="00421DEB"/>
    <w:rsid w:val="00422A7B"/>
    <w:rsid w:val="00422F73"/>
    <w:rsid w:val="004238C5"/>
    <w:rsid w:val="004249C3"/>
    <w:rsid w:val="004254D1"/>
    <w:rsid w:val="00425732"/>
    <w:rsid w:val="00425CC0"/>
    <w:rsid w:val="00426611"/>
    <w:rsid w:val="004349D2"/>
    <w:rsid w:val="00435229"/>
    <w:rsid w:val="004359B0"/>
    <w:rsid w:val="0043629A"/>
    <w:rsid w:val="0044189D"/>
    <w:rsid w:val="00443B7E"/>
    <w:rsid w:val="00443BAE"/>
    <w:rsid w:val="00443FD4"/>
    <w:rsid w:val="00444BA5"/>
    <w:rsid w:val="00453559"/>
    <w:rsid w:val="00453594"/>
    <w:rsid w:val="00453A13"/>
    <w:rsid w:val="004555C3"/>
    <w:rsid w:val="00456963"/>
    <w:rsid w:val="00456F94"/>
    <w:rsid w:val="00460017"/>
    <w:rsid w:val="00462C54"/>
    <w:rsid w:val="004636E0"/>
    <w:rsid w:val="00464A1F"/>
    <w:rsid w:val="00465E6A"/>
    <w:rsid w:val="00470385"/>
    <w:rsid w:val="0047041A"/>
    <w:rsid w:val="0047165D"/>
    <w:rsid w:val="00472050"/>
    <w:rsid w:val="0047277E"/>
    <w:rsid w:val="0047308D"/>
    <w:rsid w:val="004743EE"/>
    <w:rsid w:val="00474973"/>
    <w:rsid w:val="004777FA"/>
    <w:rsid w:val="00480C9C"/>
    <w:rsid w:val="00480E87"/>
    <w:rsid w:val="004818B4"/>
    <w:rsid w:val="004821CC"/>
    <w:rsid w:val="004837D7"/>
    <w:rsid w:val="0048395A"/>
    <w:rsid w:val="004842AA"/>
    <w:rsid w:val="00484799"/>
    <w:rsid w:val="00484819"/>
    <w:rsid w:val="00492B0F"/>
    <w:rsid w:val="00494DD2"/>
    <w:rsid w:val="0049598E"/>
    <w:rsid w:val="004970A9"/>
    <w:rsid w:val="004A18D4"/>
    <w:rsid w:val="004A2B55"/>
    <w:rsid w:val="004A477E"/>
    <w:rsid w:val="004A6753"/>
    <w:rsid w:val="004A6796"/>
    <w:rsid w:val="004A7976"/>
    <w:rsid w:val="004B16BE"/>
    <w:rsid w:val="004B202E"/>
    <w:rsid w:val="004B274B"/>
    <w:rsid w:val="004B3EB0"/>
    <w:rsid w:val="004B4388"/>
    <w:rsid w:val="004B48E4"/>
    <w:rsid w:val="004B4B69"/>
    <w:rsid w:val="004B4EBC"/>
    <w:rsid w:val="004B5A56"/>
    <w:rsid w:val="004B623D"/>
    <w:rsid w:val="004B73F2"/>
    <w:rsid w:val="004C0A21"/>
    <w:rsid w:val="004C1306"/>
    <w:rsid w:val="004C3111"/>
    <w:rsid w:val="004C4259"/>
    <w:rsid w:val="004C429C"/>
    <w:rsid w:val="004C5B87"/>
    <w:rsid w:val="004C5FC0"/>
    <w:rsid w:val="004C72BB"/>
    <w:rsid w:val="004C7727"/>
    <w:rsid w:val="004D13C7"/>
    <w:rsid w:val="004D1C34"/>
    <w:rsid w:val="004D47CB"/>
    <w:rsid w:val="004D5CD5"/>
    <w:rsid w:val="004D61CC"/>
    <w:rsid w:val="004D729C"/>
    <w:rsid w:val="004E1CCB"/>
    <w:rsid w:val="004E2733"/>
    <w:rsid w:val="004E2F23"/>
    <w:rsid w:val="004E328A"/>
    <w:rsid w:val="004E37C4"/>
    <w:rsid w:val="004E4536"/>
    <w:rsid w:val="004E4678"/>
    <w:rsid w:val="004E5AAE"/>
    <w:rsid w:val="004E62FE"/>
    <w:rsid w:val="004E6562"/>
    <w:rsid w:val="004E66B9"/>
    <w:rsid w:val="004E6BA7"/>
    <w:rsid w:val="004E6BCE"/>
    <w:rsid w:val="004E7534"/>
    <w:rsid w:val="004F0774"/>
    <w:rsid w:val="004F0EC3"/>
    <w:rsid w:val="004F16E6"/>
    <w:rsid w:val="004F279F"/>
    <w:rsid w:val="004F30C9"/>
    <w:rsid w:val="004F3589"/>
    <w:rsid w:val="004F4195"/>
    <w:rsid w:val="004F559F"/>
    <w:rsid w:val="004F56FA"/>
    <w:rsid w:val="00500113"/>
    <w:rsid w:val="005008B0"/>
    <w:rsid w:val="005013BF"/>
    <w:rsid w:val="00501875"/>
    <w:rsid w:val="00501C07"/>
    <w:rsid w:val="00503D63"/>
    <w:rsid w:val="00504843"/>
    <w:rsid w:val="00505EE8"/>
    <w:rsid w:val="00506F99"/>
    <w:rsid w:val="00510C24"/>
    <w:rsid w:val="00510E42"/>
    <w:rsid w:val="00513510"/>
    <w:rsid w:val="005145BF"/>
    <w:rsid w:val="00515ABE"/>
    <w:rsid w:val="00516038"/>
    <w:rsid w:val="00516167"/>
    <w:rsid w:val="005163AE"/>
    <w:rsid w:val="0051658A"/>
    <w:rsid w:val="00516B9B"/>
    <w:rsid w:val="00517DD8"/>
    <w:rsid w:val="0052087A"/>
    <w:rsid w:val="00521711"/>
    <w:rsid w:val="005217B3"/>
    <w:rsid w:val="005235C5"/>
    <w:rsid w:val="00525D66"/>
    <w:rsid w:val="00531A48"/>
    <w:rsid w:val="0053346E"/>
    <w:rsid w:val="00536005"/>
    <w:rsid w:val="0053604D"/>
    <w:rsid w:val="00537255"/>
    <w:rsid w:val="00537BC5"/>
    <w:rsid w:val="00540AAA"/>
    <w:rsid w:val="005412B1"/>
    <w:rsid w:val="0054160D"/>
    <w:rsid w:val="00542271"/>
    <w:rsid w:val="0054275A"/>
    <w:rsid w:val="00542FDA"/>
    <w:rsid w:val="0054345C"/>
    <w:rsid w:val="0054418E"/>
    <w:rsid w:val="00545E9F"/>
    <w:rsid w:val="00550154"/>
    <w:rsid w:val="005501F3"/>
    <w:rsid w:val="00550289"/>
    <w:rsid w:val="005518F3"/>
    <w:rsid w:val="005544E9"/>
    <w:rsid w:val="00555735"/>
    <w:rsid w:val="0055667A"/>
    <w:rsid w:val="00557356"/>
    <w:rsid w:val="005608A1"/>
    <w:rsid w:val="00563E09"/>
    <w:rsid w:val="00564464"/>
    <w:rsid w:val="00565044"/>
    <w:rsid w:val="00565F17"/>
    <w:rsid w:val="0056768C"/>
    <w:rsid w:val="00570523"/>
    <w:rsid w:val="00571E6D"/>
    <w:rsid w:val="0057343E"/>
    <w:rsid w:val="00573740"/>
    <w:rsid w:val="00574837"/>
    <w:rsid w:val="005749CE"/>
    <w:rsid w:val="00574F44"/>
    <w:rsid w:val="00581540"/>
    <w:rsid w:val="00581B3D"/>
    <w:rsid w:val="00582ABA"/>
    <w:rsid w:val="005837EF"/>
    <w:rsid w:val="00583F27"/>
    <w:rsid w:val="005848D9"/>
    <w:rsid w:val="00585CD6"/>
    <w:rsid w:val="00587162"/>
    <w:rsid w:val="00587D1C"/>
    <w:rsid w:val="00587E4B"/>
    <w:rsid w:val="00590C16"/>
    <w:rsid w:val="00593906"/>
    <w:rsid w:val="00594DC5"/>
    <w:rsid w:val="00595653"/>
    <w:rsid w:val="005A028E"/>
    <w:rsid w:val="005A043C"/>
    <w:rsid w:val="005A07BA"/>
    <w:rsid w:val="005A2F36"/>
    <w:rsid w:val="005A5798"/>
    <w:rsid w:val="005B10DE"/>
    <w:rsid w:val="005B12C7"/>
    <w:rsid w:val="005B2D02"/>
    <w:rsid w:val="005B35E5"/>
    <w:rsid w:val="005B3F43"/>
    <w:rsid w:val="005B7A92"/>
    <w:rsid w:val="005C0E48"/>
    <w:rsid w:val="005C145D"/>
    <w:rsid w:val="005C231C"/>
    <w:rsid w:val="005C2B9A"/>
    <w:rsid w:val="005C3302"/>
    <w:rsid w:val="005C3D7A"/>
    <w:rsid w:val="005C42BF"/>
    <w:rsid w:val="005C4663"/>
    <w:rsid w:val="005C601D"/>
    <w:rsid w:val="005C67DD"/>
    <w:rsid w:val="005D0B0A"/>
    <w:rsid w:val="005D295C"/>
    <w:rsid w:val="005D320D"/>
    <w:rsid w:val="005D5AFB"/>
    <w:rsid w:val="005D68CF"/>
    <w:rsid w:val="005D720C"/>
    <w:rsid w:val="005E1089"/>
    <w:rsid w:val="005E182A"/>
    <w:rsid w:val="005E1E75"/>
    <w:rsid w:val="005E3B19"/>
    <w:rsid w:val="005E5916"/>
    <w:rsid w:val="005E5E4D"/>
    <w:rsid w:val="005E7749"/>
    <w:rsid w:val="005E7A4B"/>
    <w:rsid w:val="005F09FC"/>
    <w:rsid w:val="005F173F"/>
    <w:rsid w:val="005F34F8"/>
    <w:rsid w:val="005F5000"/>
    <w:rsid w:val="005F53F1"/>
    <w:rsid w:val="005F5413"/>
    <w:rsid w:val="005F60D4"/>
    <w:rsid w:val="005F7A55"/>
    <w:rsid w:val="00600BAC"/>
    <w:rsid w:val="00600E61"/>
    <w:rsid w:val="006020A7"/>
    <w:rsid w:val="0060243B"/>
    <w:rsid w:val="00603260"/>
    <w:rsid w:val="006037BC"/>
    <w:rsid w:val="00605A74"/>
    <w:rsid w:val="00606B58"/>
    <w:rsid w:val="00606F42"/>
    <w:rsid w:val="006078A3"/>
    <w:rsid w:val="00607AA6"/>
    <w:rsid w:val="00607E2F"/>
    <w:rsid w:val="0061106E"/>
    <w:rsid w:val="00611103"/>
    <w:rsid w:val="00612258"/>
    <w:rsid w:val="006145BC"/>
    <w:rsid w:val="00615225"/>
    <w:rsid w:val="00616112"/>
    <w:rsid w:val="006164C3"/>
    <w:rsid w:val="00616947"/>
    <w:rsid w:val="00616FF5"/>
    <w:rsid w:val="006205C2"/>
    <w:rsid w:val="006208A0"/>
    <w:rsid w:val="0062228B"/>
    <w:rsid w:val="00622557"/>
    <w:rsid w:val="00622A90"/>
    <w:rsid w:val="00623282"/>
    <w:rsid w:val="006243D3"/>
    <w:rsid w:val="006244E3"/>
    <w:rsid w:val="0062474E"/>
    <w:rsid w:val="00625483"/>
    <w:rsid w:val="0062648F"/>
    <w:rsid w:val="00626F6F"/>
    <w:rsid w:val="00627E51"/>
    <w:rsid w:val="006302D4"/>
    <w:rsid w:val="00632BC4"/>
    <w:rsid w:val="00632E39"/>
    <w:rsid w:val="006331BC"/>
    <w:rsid w:val="00634EE6"/>
    <w:rsid w:val="00636579"/>
    <w:rsid w:val="00636A72"/>
    <w:rsid w:val="00636E5E"/>
    <w:rsid w:val="00637EE9"/>
    <w:rsid w:val="00640321"/>
    <w:rsid w:val="00640516"/>
    <w:rsid w:val="006442A0"/>
    <w:rsid w:val="006451DD"/>
    <w:rsid w:val="00645625"/>
    <w:rsid w:val="00647AD2"/>
    <w:rsid w:val="006525CD"/>
    <w:rsid w:val="00653FFA"/>
    <w:rsid w:val="00654087"/>
    <w:rsid w:val="006560D4"/>
    <w:rsid w:val="0065734D"/>
    <w:rsid w:val="00665394"/>
    <w:rsid w:val="0067008E"/>
    <w:rsid w:val="006701A3"/>
    <w:rsid w:val="00670987"/>
    <w:rsid w:val="00671542"/>
    <w:rsid w:val="006725D9"/>
    <w:rsid w:val="006739E0"/>
    <w:rsid w:val="00674690"/>
    <w:rsid w:val="00675BB9"/>
    <w:rsid w:val="00676409"/>
    <w:rsid w:val="006767BC"/>
    <w:rsid w:val="00676945"/>
    <w:rsid w:val="006773C0"/>
    <w:rsid w:val="00677C9C"/>
    <w:rsid w:val="006806BF"/>
    <w:rsid w:val="00680748"/>
    <w:rsid w:val="0068137F"/>
    <w:rsid w:val="00683483"/>
    <w:rsid w:val="0068359F"/>
    <w:rsid w:val="00683C9F"/>
    <w:rsid w:val="00685FDC"/>
    <w:rsid w:val="00686487"/>
    <w:rsid w:val="00686D4A"/>
    <w:rsid w:val="00686F9A"/>
    <w:rsid w:val="00687A81"/>
    <w:rsid w:val="006923FA"/>
    <w:rsid w:val="006935B0"/>
    <w:rsid w:val="00693636"/>
    <w:rsid w:val="00694416"/>
    <w:rsid w:val="00694854"/>
    <w:rsid w:val="006954E4"/>
    <w:rsid w:val="00696829"/>
    <w:rsid w:val="0069682D"/>
    <w:rsid w:val="006A071B"/>
    <w:rsid w:val="006A13C6"/>
    <w:rsid w:val="006A1C92"/>
    <w:rsid w:val="006A3703"/>
    <w:rsid w:val="006A38DF"/>
    <w:rsid w:val="006A51E2"/>
    <w:rsid w:val="006A63C5"/>
    <w:rsid w:val="006A6CD6"/>
    <w:rsid w:val="006A6D07"/>
    <w:rsid w:val="006B05C7"/>
    <w:rsid w:val="006B1B0D"/>
    <w:rsid w:val="006B3EF5"/>
    <w:rsid w:val="006B4A4B"/>
    <w:rsid w:val="006B4D70"/>
    <w:rsid w:val="006B4EB5"/>
    <w:rsid w:val="006C0082"/>
    <w:rsid w:val="006C025A"/>
    <w:rsid w:val="006C0891"/>
    <w:rsid w:val="006C0D4E"/>
    <w:rsid w:val="006C1F3F"/>
    <w:rsid w:val="006C4442"/>
    <w:rsid w:val="006C4CE2"/>
    <w:rsid w:val="006C4DB5"/>
    <w:rsid w:val="006C4F5A"/>
    <w:rsid w:val="006C73B9"/>
    <w:rsid w:val="006C798C"/>
    <w:rsid w:val="006D08A2"/>
    <w:rsid w:val="006D379D"/>
    <w:rsid w:val="006D515A"/>
    <w:rsid w:val="006D64A0"/>
    <w:rsid w:val="006E02BE"/>
    <w:rsid w:val="006E0DC8"/>
    <w:rsid w:val="006E0F5B"/>
    <w:rsid w:val="006E1367"/>
    <w:rsid w:val="006E16B6"/>
    <w:rsid w:val="006E204D"/>
    <w:rsid w:val="006E2060"/>
    <w:rsid w:val="006E2DB1"/>
    <w:rsid w:val="006E3A0B"/>
    <w:rsid w:val="006E4572"/>
    <w:rsid w:val="006E5169"/>
    <w:rsid w:val="006E5ED8"/>
    <w:rsid w:val="006E6E15"/>
    <w:rsid w:val="006F0A0C"/>
    <w:rsid w:val="006F162C"/>
    <w:rsid w:val="006F3AE7"/>
    <w:rsid w:val="006F5974"/>
    <w:rsid w:val="006F70A5"/>
    <w:rsid w:val="006F7391"/>
    <w:rsid w:val="006F7749"/>
    <w:rsid w:val="006F77B4"/>
    <w:rsid w:val="006F7896"/>
    <w:rsid w:val="007024E5"/>
    <w:rsid w:val="00702F85"/>
    <w:rsid w:val="00703363"/>
    <w:rsid w:val="00703463"/>
    <w:rsid w:val="00705736"/>
    <w:rsid w:val="00705C45"/>
    <w:rsid w:val="00705D98"/>
    <w:rsid w:val="00705E7F"/>
    <w:rsid w:val="007064E9"/>
    <w:rsid w:val="007068F5"/>
    <w:rsid w:val="00706980"/>
    <w:rsid w:val="00706A31"/>
    <w:rsid w:val="007073F9"/>
    <w:rsid w:val="00710FC7"/>
    <w:rsid w:val="00711FEA"/>
    <w:rsid w:val="0071416D"/>
    <w:rsid w:val="00714A54"/>
    <w:rsid w:val="00716591"/>
    <w:rsid w:val="00716DA0"/>
    <w:rsid w:val="007201B7"/>
    <w:rsid w:val="007247CD"/>
    <w:rsid w:val="00724C70"/>
    <w:rsid w:val="007254CD"/>
    <w:rsid w:val="0072780B"/>
    <w:rsid w:val="0073009C"/>
    <w:rsid w:val="00731B2A"/>
    <w:rsid w:val="00731EA9"/>
    <w:rsid w:val="00732CBA"/>
    <w:rsid w:val="00732EFB"/>
    <w:rsid w:val="007332EF"/>
    <w:rsid w:val="00733ADC"/>
    <w:rsid w:val="00733EDB"/>
    <w:rsid w:val="00734211"/>
    <w:rsid w:val="00734CBE"/>
    <w:rsid w:val="00735F11"/>
    <w:rsid w:val="00736EA6"/>
    <w:rsid w:val="00737912"/>
    <w:rsid w:val="00741A96"/>
    <w:rsid w:val="00741D80"/>
    <w:rsid w:val="0074222C"/>
    <w:rsid w:val="00743A15"/>
    <w:rsid w:val="00743F7A"/>
    <w:rsid w:val="007472D5"/>
    <w:rsid w:val="00747975"/>
    <w:rsid w:val="00747F72"/>
    <w:rsid w:val="0075144C"/>
    <w:rsid w:val="00751A0D"/>
    <w:rsid w:val="007533E2"/>
    <w:rsid w:val="00754687"/>
    <w:rsid w:val="007549F5"/>
    <w:rsid w:val="00754C1F"/>
    <w:rsid w:val="007550EE"/>
    <w:rsid w:val="00755188"/>
    <w:rsid w:val="00756FCE"/>
    <w:rsid w:val="007570F1"/>
    <w:rsid w:val="007575D0"/>
    <w:rsid w:val="00757CE9"/>
    <w:rsid w:val="007629A8"/>
    <w:rsid w:val="00762F57"/>
    <w:rsid w:val="007649AC"/>
    <w:rsid w:val="0076543D"/>
    <w:rsid w:val="00765E33"/>
    <w:rsid w:val="00767F0D"/>
    <w:rsid w:val="00771502"/>
    <w:rsid w:val="00771C8A"/>
    <w:rsid w:val="00775059"/>
    <w:rsid w:val="00776766"/>
    <w:rsid w:val="007775F9"/>
    <w:rsid w:val="00777DFA"/>
    <w:rsid w:val="00780848"/>
    <w:rsid w:val="00781C4C"/>
    <w:rsid w:val="00782276"/>
    <w:rsid w:val="00784B64"/>
    <w:rsid w:val="0078646B"/>
    <w:rsid w:val="00791C22"/>
    <w:rsid w:val="0079204E"/>
    <w:rsid w:val="007923D4"/>
    <w:rsid w:val="00793258"/>
    <w:rsid w:val="0079398D"/>
    <w:rsid w:val="0079423A"/>
    <w:rsid w:val="007946E6"/>
    <w:rsid w:val="00794762"/>
    <w:rsid w:val="00794B6E"/>
    <w:rsid w:val="0079680F"/>
    <w:rsid w:val="007974DF"/>
    <w:rsid w:val="007A1DDE"/>
    <w:rsid w:val="007A2C3B"/>
    <w:rsid w:val="007A3020"/>
    <w:rsid w:val="007A35FC"/>
    <w:rsid w:val="007A5AA9"/>
    <w:rsid w:val="007A7F8D"/>
    <w:rsid w:val="007B11DD"/>
    <w:rsid w:val="007B15C8"/>
    <w:rsid w:val="007B212E"/>
    <w:rsid w:val="007B2931"/>
    <w:rsid w:val="007B2CC2"/>
    <w:rsid w:val="007B3FC8"/>
    <w:rsid w:val="007B67DE"/>
    <w:rsid w:val="007C15D8"/>
    <w:rsid w:val="007C24DA"/>
    <w:rsid w:val="007C2552"/>
    <w:rsid w:val="007C3777"/>
    <w:rsid w:val="007C4BE9"/>
    <w:rsid w:val="007C4DBA"/>
    <w:rsid w:val="007C5768"/>
    <w:rsid w:val="007C5ABC"/>
    <w:rsid w:val="007C5CF3"/>
    <w:rsid w:val="007D08E2"/>
    <w:rsid w:val="007D2E05"/>
    <w:rsid w:val="007D4314"/>
    <w:rsid w:val="007D44BA"/>
    <w:rsid w:val="007D45FA"/>
    <w:rsid w:val="007D587C"/>
    <w:rsid w:val="007D7C2A"/>
    <w:rsid w:val="007E0F49"/>
    <w:rsid w:val="007E249E"/>
    <w:rsid w:val="007E25A2"/>
    <w:rsid w:val="007E2CD6"/>
    <w:rsid w:val="007E3FDF"/>
    <w:rsid w:val="007F0FEF"/>
    <w:rsid w:val="007F20BB"/>
    <w:rsid w:val="007F2C95"/>
    <w:rsid w:val="007F62F6"/>
    <w:rsid w:val="007F7FAA"/>
    <w:rsid w:val="00800782"/>
    <w:rsid w:val="0080127A"/>
    <w:rsid w:val="00804343"/>
    <w:rsid w:val="00805411"/>
    <w:rsid w:val="008057A0"/>
    <w:rsid w:val="00806901"/>
    <w:rsid w:val="00807F4B"/>
    <w:rsid w:val="00810DEE"/>
    <w:rsid w:val="00811710"/>
    <w:rsid w:val="0081232F"/>
    <w:rsid w:val="0081237B"/>
    <w:rsid w:val="00812955"/>
    <w:rsid w:val="00813485"/>
    <w:rsid w:val="0081461F"/>
    <w:rsid w:val="008146AA"/>
    <w:rsid w:val="00815D5F"/>
    <w:rsid w:val="00816176"/>
    <w:rsid w:val="00817735"/>
    <w:rsid w:val="00817D92"/>
    <w:rsid w:val="00817F3D"/>
    <w:rsid w:val="00821CA9"/>
    <w:rsid w:val="00823AE0"/>
    <w:rsid w:val="00824129"/>
    <w:rsid w:val="0082503A"/>
    <w:rsid w:val="0082675D"/>
    <w:rsid w:val="00827224"/>
    <w:rsid w:val="0082793B"/>
    <w:rsid w:val="00830461"/>
    <w:rsid w:val="00830713"/>
    <w:rsid w:val="0083243C"/>
    <w:rsid w:val="0083267B"/>
    <w:rsid w:val="00833D65"/>
    <w:rsid w:val="008345DA"/>
    <w:rsid w:val="00835308"/>
    <w:rsid w:val="00835ADE"/>
    <w:rsid w:val="00835F69"/>
    <w:rsid w:val="008362B4"/>
    <w:rsid w:val="00840F64"/>
    <w:rsid w:val="00843826"/>
    <w:rsid w:val="0084737B"/>
    <w:rsid w:val="008522FC"/>
    <w:rsid w:val="00855037"/>
    <w:rsid w:val="00857BA8"/>
    <w:rsid w:val="0086339E"/>
    <w:rsid w:val="0086419A"/>
    <w:rsid w:val="008662B8"/>
    <w:rsid w:val="0086737E"/>
    <w:rsid w:val="00867556"/>
    <w:rsid w:val="0087037A"/>
    <w:rsid w:val="008709E1"/>
    <w:rsid w:val="00870E9E"/>
    <w:rsid w:val="00870EE0"/>
    <w:rsid w:val="00872D30"/>
    <w:rsid w:val="008761CA"/>
    <w:rsid w:val="00876F6B"/>
    <w:rsid w:val="00877567"/>
    <w:rsid w:val="00877F20"/>
    <w:rsid w:val="00881918"/>
    <w:rsid w:val="00881B6E"/>
    <w:rsid w:val="0088300D"/>
    <w:rsid w:val="00885709"/>
    <w:rsid w:val="0088586F"/>
    <w:rsid w:val="00885CCF"/>
    <w:rsid w:val="008866DC"/>
    <w:rsid w:val="008875AD"/>
    <w:rsid w:val="008901B4"/>
    <w:rsid w:val="00891C12"/>
    <w:rsid w:val="008921E5"/>
    <w:rsid w:val="00893567"/>
    <w:rsid w:val="008935E7"/>
    <w:rsid w:val="008959CD"/>
    <w:rsid w:val="00895B03"/>
    <w:rsid w:val="008A2941"/>
    <w:rsid w:val="008A31A9"/>
    <w:rsid w:val="008A4B39"/>
    <w:rsid w:val="008A568A"/>
    <w:rsid w:val="008A6F9F"/>
    <w:rsid w:val="008A7889"/>
    <w:rsid w:val="008B5402"/>
    <w:rsid w:val="008B61AB"/>
    <w:rsid w:val="008C1490"/>
    <w:rsid w:val="008C1A7B"/>
    <w:rsid w:val="008C2412"/>
    <w:rsid w:val="008C323E"/>
    <w:rsid w:val="008C365A"/>
    <w:rsid w:val="008C3A34"/>
    <w:rsid w:val="008C3DEF"/>
    <w:rsid w:val="008C4AD3"/>
    <w:rsid w:val="008C63FE"/>
    <w:rsid w:val="008C644D"/>
    <w:rsid w:val="008C6CBC"/>
    <w:rsid w:val="008D0DBA"/>
    <w:rsid w:val="008D1716"/>
    <w:rsid w:val="008D2710"/>
    <w:rsid w:val="008D2EE1"/>
    <w:rsid w:val="008D2F1B"/>
    <w:rsid w:val="008D3416"/>
    <w:rsid w:val="008D45B8"/>
    <w:rsid w:val="008D509D"/>
    <w:rsid w:val="008D5755"/>
    <w:rsid w:val="008D70A2"/>
    <w:rsid w:val="008D7EA8"/>
    <w:rsid w:val="008D7FEC"/>
    <w:rsid w:val="008E0B7A"/>
    <w:rsid w:val="008E11F4"/>
    <w:rsid w:val="008E31B6"/>
    <w:rsid w:val="008E4AA3"/>
    <w:rsid w:val="008E5916"/>
    <w:rsid w:val="008F065C"/>
    <w:rsid w:val="008F1562"/>
    <w:rsid w:val="008F158E"/>
    <w:rsid w:val="008F1A40"/>
    <w:rsid w:val="008F1DC9"/>
    <w:rsid w:val="008F225D"/>
    <w:rsid w:val="008F29C1"/>
    <w:rsid w:val="008F4064"/>
    <w:rsid w:val="008F737D"/>
    <w:rsid w:val="008F7A92"/>
    <w:rsid w:val="008F7B01"/>
    <w:rsid w:val="00901B4E"/>
    <w:rsid w:val="00901FA0"/>
    <w:rsid w:val="009021E4"/>
    <w:rsid w:val="00902ADF"/>
    <w:rsid w:val="00904214"/>
    <w:rsid w:val="009068CD"/>
    <w:rsid w:val="00906F1C"/>
    <w:rsid w:val="0091249E"/>
    <w:rsid w:val="00913E17"/>
    <w:rsid w:val="009148AB"/>
    <w:rsid w:val="0091597D"/>
    <w:rsid w:val="00917D6A"/>
    <w:rsid w:val="009200E7"/>
    <w:rsid w:val="00920812"/>
    <w:rsid w:val="009209B9"/>
    <w:rsid w:val="00920E87"/>
    <w:rsid w:val="009222CA"/>
    <w:rsid w:val="00924C66"/>
    <w:rsid w:val="00925EBD"/>
    <w:rsid w:val="00925F13"/>
    <w:rsid w:val="0092729B"/>
    <w:rsid w:val="009303BD"/>
    <w:rsid w:val="00930C4A"/>
    <w:rsid w:val="00930CB5"/>
    <w:rsid w:val="00931A5A"/>
    <w:rsid w:val="00936BB1"/>
    <w:rsid w:val="0093764C"/>
    <w:rsid w:val="009403C3"/>
    <w:rsid w:val="00940920"/>
    <w:rsid w:val="00944F59"/>
    <w:rsid w:val="00947B50"/>
    <w:rsid w:val="0095020A"/>
    <w:rsid w:val="00950FE9"/>
    <w:rsid w:val="00951A61"/>
    <w:rsid w:val="0095252F"/>
    <w:rsid w:val="009530AE"/>
    <w:rsid w:val="00954537"/>
    <w:rsid w:val="00957444"/>
    <w:rsid w:val="00960223"/>
    <w:rsid w:val="00960872"/>
    <w:rsid w:val="00961049"/>
    <w:rsid w:val="009624DF"/>
    <w:rsid w:val="0096296F"/>
    <w:rsid w:val="00963DCB"/>
    <w:rsid w:val="00964FF5"/>
    <w:rsid w:val="009656C5"/>
    <w:rsid w:val="00966EA5"/>
    <w:rsid w:val="00967941"/>
    <w:rsid w:val="009732C2"/>
    <w:rsid w:val="00973D76"/>
    <w:rsid w:val="00976821"/>
    <w:rsid w:val="00976859"/>
    <w:rsid w:val="00976FE4"/>
    <w:rsid w:val="00977582"/>
    <w:rsid w:val="00981048"/>
    <w:rsid w:val="009811D0"/>
    <w:rsid w:val="00981605"/>
    <w:rsid w:val="0098198C"/>
    <w:rsid w:val="00982CA0"/>
    <w:rsid w:val="00983C96"/>
    <w:rsid w:val="00984CB6"/>
    <w:rsid w:val="009851BA"/>
    <w:rsid w:val="009857C8"/>
    <w:rsid w:val="00985EC6"/>
    <w:rsid w:val="009862AA"/>
    <w:rsid w:val="009872CE"/>
    <w:rsid w:val="00990A90"/>
    <w:rsid w:val="009916F6"/>
    <w:rsid w:val="00991928"/>
    <w:rsid w:val="00992D8C"/>
    <w:rsid w:val="00993C6E"/>
    <w:rsid w:val="009946F8"/>
    <w:rsid w:val="00994E30"/>
    <w:rsid w:val="009A002B"/>
    <w:rsid w:val="009A0BAF"/>
    <w:rsid w:val="009A1D48"/>
    <w:rsid w:val="009A1DB6"/>
    <w:rsid w:val="009A22DA"/>
    <w:rsid w:val="009A3AC9"/>
    <w:rsid w:val="009A3E32"/>
    <w:rsid w:val="009A3F80"/>
    <w:rsid w:val="009A4033"/>
    <w:rsid w:val="009A5122"/>
    <w:rsid w:val="009A519D"/>
    <w:rsid w:val="009B19E0"/>
    <w:rsid w:val="009B272A"/>
    <w:rsid w:val="009B5AE1"/>
    <w:rsid w:val="009C0ED6"/>
    <w:rsid w:val="009C28A8"/>
    <w:rsid w:val="009C3D76"/>
    <w:rsid w:val="009C4BAE"/>
    <w:rsid w:val="009C55F3"/>
    <w:rsid w:val="009C586D"/>
    <w:rsid w:val="009C607D"/>
    <w:rsid w:val="009C6D07"/>
    <w:rsid w:val="009C7553"/>
    <w:rsid w:val="009C75DC"/>
    <w:rsid w:val="009D0C33"/>
    <w:rsid w:val="009D2351"/>
    <w:rsid w:val="009D2A37"/>
    <w:rsid w:val="009D47D4"/>
    <w:rsid w:val="009D58BF"/>
    <w:rsid w:val="009D6121"/>
    <w:rsid w:val="009D7C91"/>
    <w:rsid w:val="009D7CAC"/>
    <w:rsid w:val="009E0C17"/>
    <w:rsid w:val="009E1525"/>
    <w:rsid w:val="009E1855"/>
    <w:rsid w:val="009E2BC8"/>
    <w:rsid w:val="009E32D3"/>
    <w:rsid w:val="009E45D5"/>
    <w:rsid w:val="009E608D"/>
    <w:rsid w:val="009F099B"/>
    <w:rsid w:val="009F1789"/>
    <w:rsid w:val="009F1C99"/>
    <w:rsid w:val="009F2256"/>
    <w:rsid w:val="009F226B"/>
    <w:rsid w:val="009F3D1B"/>
    <w:rsid w:val="009F6725"/>
    <w:rsid w:val="009F775A"/>
    <w:rsid w:val="009F79DE"/>
    <w:rsid w:val="009F7E8F"/>
    <w:rsid w:val="00A00389"/>
    <w:rsid w:val="00A009AC"/>
    <w:rsid w:val="00A02DCC"/>
    <w:rsid w:val="00A05073"/>
    <w:rsid w:val="00A07354"/>
    <w:rsid w:val="00A106A6"/>
    <w:rsid w:val="00A11126"/>
    <w:rsid w:val="00A116B9"/>
    <w:rsid w:val="00A1269E"/>
    <w:rsid w:val="00A129CC"/>
    <w:rsid w:val="00A14771"/>
    <w:rsid w:val="00A14788"/>
    <w:rsid w:val="00A1643A"/>
    <w:rsid w:val="00A219E9"/>
    <w:rsid w:val="00A22326"/>
    <w:rsid w:val="00A22E32"/>
    <w:rsid w:val="00A22F2D"/>
    <w:rsid w:val="00A23852"/>
    <w:rsid w:val="00A245A3"/>
    <w:rsid w:val="00A24E7C"/>
    <w:rsid w:val="00A24FDE"/>
    <w:rsid w:val="00A25411"/>
    <w:rsid w:val="00A26389"/>
    <w:rsid w:val="00A265C9"/>
    <w:rsid w:val="00A2763A"/>
    <w:rsid w:val="00A32787"/>
    <w:rsid w:val="00A32A23"/>
    <w:rsid w:val="00A3405B"/>
    <w:rsid w:val="00A343D3"/>
    <w:rsid w:val="00A34502"/>
    <w:rsid w:val="00A35A20"/>
    <w:rsid w:val="00A35AA1"/>
    <w:rsid w:val="00A36F4B"/>
    <w:rsid w:val="00A3794B"/>
    <w:rsid w:val="00A40094"/>
    <w:rsid w:val="00A4179A"/>
    <w:rsid w:val="00A425ED"/>
    <w:rsid w:val="00A42658"/>
    <w:rsid w:val="00A4271C"/>
    <w:rsid w:val="00A42B78"/>
    <w:rsid w:val="00A441C5"/>
    <w:rsid w:val="00A44572"/>
    <w:rsid w:val="00A45112"/>
    <w:rsid w:val="00A4626F"/>
    <w:rsid w:val="00A50290"/>
    <w:rsid w:val="00A502ED"/>
    <w:rsid w:val="00A5058C"/>
    <w:rsid w:val="00A507EB"/>
    <w:rsid w:val="00A50FD4"/>
    <w:rsid w:val="00A51F45"/>
    <w:rsid w:val="00A523CF"/>
    <w:rsid w:val="00A52659"/>
    <w:rsid w:val="00A566D0"/>
    <w:rsid w:val="00A61E1E"/>
    <w:rsid w:val="00A620E3"/>
    <w:rsid w:val="00A643DC"/>
    <w:rsid w:val="00A64A79"/>
    <w:rsid w:val="00A6650D"/>
    <w:rsid w:val="00A671B1"/>
    <w:rsid w:val="00A67744"/>
    <w:rsid w:val="00A70F49"/>
    <w:rsid w:val="00A7164C"/>
    <w:rsid w:val="00A71B07"/>
    <w:rsid w:val="00A71C63"/>
    <w:rsid w:val="00A71D60"/>
    <w:rsid w:val="00A73FD9"/>
    <w:rsid w:val="00A74698"/>
    <w:rsid w:val="00A74848"/>
    <w:rsid w:val="00A7523E"/>
    <w:rsid w:val="00A75315"/>
    <w:rsid w:val="00A76FA7"/>
    <w:rsid w:val="00A77697"/>
    <w:rsid w:val="00A8112A"/>
    <w:rsid w:val="00A81655"/>
    <w:rsid w:val="00A8312E"/>
    <w:rsid w:val="00A839D6"/>
    <w:rsid w:val="00A85C23"/>
    <w:rsid w:val="00A85D90"/>
    <w:rsid w:val="00A87A45"/>
    <w:rsid w:val="00A9002B"/>
    <w:rsid w:val="00A90B90"/>
    <w:rsid w:val="00A918F3"/>
    <w:rsid w:val="00A93E5F"/>
    <w:rsid w:val="00A940C6"/>
    <w:rsid w:val="00A952BE"/>
    <w:rsid w:val="00A96026"/>
    <w:rsid w:val="00AA0C2A"/>
    <w:rsid w:val="00AA2814"/>
    <w:rsid w:val="00AA2930"/>
    <w:rsid w:val="00AA4DD2"/>
    <w:rsid w:val="00AB1CCA"/>
    <w:rsid w:val="00AB1D83"/>
    <w:rsid w:val="00AB31D5"/>
    <w:rsid w:val="00AB329C"/>
    <w:rsid w:val="00AB6A93"/>
    <w:rsid w:val="00AB73B7"/>
    <w:rsid w:val="00AB74DB"/>
    <w:rsid w:val="00AC0FE0"/>
    <w:rsid w:val="00AC2E09"/>
    <w:rsid w:val="00AC4CF1"/>
    <w:rsid w:val="00AC4E3D"/>
    <w:rsid w:val="00AC6F3F"/>
    <w:rsid w:val="00AC7349"/>
    <w:rsid w:val="00AD27E2"/>
    <w:rsid w:val="00AD2D40"/>
    <w:rsid w:val="00AD393A"/>
    <w:rsid w:val="00AD49A3"/>
    <w:rsid w:val="00AD5206"/>
    <w:rsid w:val="00AD5DEA"/>
    <w:rsid w:val="00AD6C97"/>
    <w:rsid w:val="00AD7385"/>
    <w:rsid w:val="00AE0A61"/>
    <w:rsid w:val="00AE1B04"/>
    <w:rsid w:val="00AE1F8E"/>
    <w:rsid w:val="00AE24DA"/>
    <w:rsid w:val="00AE5372"/>
    <w:rsid w:val="00AE627B"/>
    <w:rsid w:val="00AE6746"/>
    <w:rsid w:val="00AF0762"/>
    <w:rsid w:val="00AF0BAB"/>
    <w:rsid w:val="00AF1D69"/>
    <w:rsid w:val="00AF2EDD"/>
    <w:rsid w:val="00AF32BF"/>
    <w:rsid w:val="00AF401F"/>
    <w:rsid w:val="00AF4790"/>
    <w:rsid w:val="00AF502D"/>
    <w:rsid w:val="00AF5506"/>
    <w:rsid w:val="00AF6C20"/>
    <w:rsid w:val="00AF6CB1"/>
    <w:rsid w:val="00AF6D48"/>
    <w:rsid w:val="00B00BEC"/>
    <w:rsid w:val="00B03748"/>
    <w:rsid w:val="00B04207"/>
    <w:rsid w:val="00B04F69"/>
    <w:rsid w:val="00B05682"/>
    <w:rsid w:val="00B07490"/>
    <w:rsid w:val="00B10C1D"/>
    <w:rsid w:val="00B112E2"/>
    <w:rsid w:val="00B1258D"/>
    <w:rsid w:val="00B1521B"/>
    <w:rsid w:val="00B166B5"/>
    <w:rsid w:val="00B1731B"/>
    <w:rsid w:val="00B174DF"/>
    <w:rsid w:val="00B176C1"/>
    <w:rsid w:val="00B20A3D"/>
    <w:rsid w:val="00B2229A"/>
    <w:rsid w:val="00B22D18"/>
    <w:rsid w:val="00B23B62"/>
    <w:rsid w:val="00B2497A"/>
    <w:rsid w:val="00B24F2B"/>
    <w:rsid w:val="00B25CD4"/>
    <w:rsid w:val="00B26067"/>
    <w:rsid w:val="00B2708F"/>
    <w:rsid w:val="00B2709A"/>
    <w:rsid w:val="00B32DE9"/>
    <w:rsid w:val="00B32FB0"/>
    <w:rsid w:val="00B32FD5"/>
    <w:rsid w:val="00B3503A"/>
    <w:rsid w:val="00B37E78"/>
    <w:rsid w:val="00B40456"/>
    <w:rsid w:val="00B43066"/>
    <w:rsid w:val="00B43B4A"/>
    <w:rsid w:val="00B43D5E"/>
    <w:rsid w:val="00B476FB"/>
    <w:rsid w:val="00B524EA"/>
    <w:rsid w:val="00B5324F"/>
    <w:rsid w:val="00B53292"/>
    <w:rsid w:val="00B54766"/>
    <w:rsid w:val="00B5495D"/>
    <w:rsid w:val="00B54E0B"/>
    <w:rsid w:val="00B56921"/>
    <w:rsid w:val="00B56DAC"/>
    <w:rsid w:val="00B60E06"/>
    <w:rsid w:val="00B61BF9"/>
    <w:rsid w:val="00B6323A"/>
    <w:rsid w:val="00B633F1"/>
    <w:rsid w:val="00B63D9F"/>
    <w:rsid w:val="00B64C2E"/>
    <w:rsid w:val="00B666A7"/>
    <w:rsid w:val="00B6728B"/>
    <w:rsid w:val="00B6788F"/>
    <w:rsid w:val="00B71880"/>
    <w:rsid w:val="00B723A4"/>
    <w:rsid w:val="00B727C9"/>
    <w:rsid w:val="00B72B12"/>
    <w:rsid w:val="00B7574B"/>
    <w:rsid w:val="00B75A73"/>
    <w:rsid w:val="00B75B82"/>
    <w:rsid w:val="00B76770"/>
    <w:rsid w:val="00B76870"/>
    <w:rsid w:val="00B772A6"/>
    <w:rsid w:val="00B77D61"/>
    <w:rsid w:val="00B8228F"/>
    <w:rsid w:val="00B82DDD"/>
    <w:rsid w:val="00B840AC"/>
    <w:rsid w:val="00B841DC"/>
    <w:rsid w:val="00B84EE9"/>
    <w:rsid w:val="00B857CE"/>
    <w:rsid w:val="00B86043"/>
    <w:rsid w:val="00B86C7B"/>
    <w:rsid w:val="00B875D5"/>
    <w:rsid w:val="00B87C89"/>
    <w:rsid w:val="00B90324"/>
    <w:rsid w:val="00B9175B"/>
    <w:rsid w:val="00B936CE"/>
    <w:rsid w:val="00B93F27"/>
    <w:rsid w:val="00B940A9"/>
    <w:rsid w:val="00B945F2"/>
    <w:rsid w:val="00B9492A"/>
    <w:rsid w:val="00B950AE"/>
    <w:rsid w:val="00B95CB0"/>
    <w:rsid w:val="00B95FA5"/>
    <w:rsid w:val="00B96B4D"/>
    <w:rsid w:val="00BA17FC"/>
    <w:rsid w:val="00BA2C89"/>
    <w:rsid w:val="00BA2E2D"/>
    <w:rsid w:val="00BA370E"/>
    <w:rsid w:val="00BA3B5F"/>
    <w:rsid w:val="00BA3C1C"/>
    <w:rsid w:val="00BA4BAD"/>
    <w:rsid w:val="00BA5190"/>
    <w:rsid w:val="00BB1337"/>
    <w:rsid w:val="00BB5841"/>
    <w:rsid w:val="00BB6808"/>
    <w:rsid w:val="00BB6D11"/>
    <w:rsid w:val="00BB7321"/>
    <w:rsid w:val="00BB7FD7"/>
    <w:rsid w:val="00BC07D6"/>
    <w:rsid w:val="00BC17FE"/>
    <w:rsid w:val="00BC1C3A"/>
    <w:rsid w:val="00BC2CE3"/>
    <w:rsid w:val="00BC5917"/>
    <w:rsid w:val="00BC63C4"/>
    <w:rsid w:val="00BC6EF1"/>
    <w:rsid w:val="00BD03D7"/>
    <w:rsid w:val="00BD3586"/>
    <w:rsid w:val="00BD3B52"/>
    <w:rsid w:val="00BD50FF"/>
    <w:rsid w:val="00BD5196"/>
    <w:rsid w:val="00BD53EE"/>
    <w:rsid w:val="00BD5CE7"/>
    <w:rsid w:val="00BD68FD"/>
    <w:rsid w:val="00BD6AAB"/>
    <w:rsid w:val="00BE1E69"/>
    <w:rsid w:val="00BE2109"/>
    <w:rsid w:val="00BE2282"/>
    <w:rsid w:val="00BE33D8"/>
    <w:rsid w:val="00BE4206"/>
    <w:rsid w:val="00BE635A"/>
    <w:rsid w:val="00BE74B1"/>
    <w:rsid w:val="00BE783D"/>
    <w:rsid w:val="00BE798F"/>
    <w:rsid w:val="00BF093F"/>
    <w:rsid w:val="00BF1916"/>
    <w:rsid w:val="00BF2BE2"/>
    <w:rsid w:val="00BF36CE"/>
    <w:rsid w:val="00BF3731"/>
    <w:rsid w:val="00BF375F"/>
    <w:rsid w:val="00BF3B47"/>
    <w:rsid w:val="00BF48A6"/>
    <w:rsid w:val="00BF4E6B"/>
    <w:rsid w:val="00BF5135"/>
    <w:rsid w:val="00BF791A"/>
    <w:rsid w:val="00C00188"/>
    <w:rsid w:val="00C01AA0"/>
    <w:rsid w:val="00C02EC7"/>
    <w:rsid w:val="00C04E4E"/>
    <w:rsid w:val="00C0621F"/>
    <w:rsid w:val="00C079EC"/>
    <w:rsid w:val="00C1015E"/>
    <w:rsid w:val="00C10725"/>
    <w:rsid w:val="00C10EF0"/>
    <w:rsid w:val="00C11F6E"/>
    <w:rsid w:val="00C12E8F"/>
    <w:rsid w:val="00C13FBC"/>
    <w:rsid w:val="00C14F0D"/>
    <w:rsid w:val="00C15367"/>
    <w:rsid w:val="00C15E03"/>
    <w:rsid w:val="00C17278"/>
    <w:rsid w:val="00C21A8D"/>
    <w:rsid w:val="00C21B23"/>
    <w:rsid w:val="00C2285B"/>
    <w:rsid w:val="00C22916"/>
    <w:rsid w:val="00C23CBD"/>
    <w:rsid w:val="00C24593"/>
    <w:rsid w:val="00C329E5"/>
    <w:rsid w:val="00C32EFA"/>
    <w:rsid w:val="00C3338D"/>
    <w:rsid w:val="00C34F11"/>
    <w:rsid w:val="00C3634D"/>
    <w:rsid w:val="00C427F8"/>
    <w:rsid w:val="00C4302D"/>
    <w:rsid w:val="00C47494"/>
    <w:rsid w:val="00C52D9B"/>
    <w:rsid w:val="00C53ECF"/>
    <w:rsid w:val="00C5476E"/>
    <w:rsid w:val="00C56153"/>
    <w:rsid w:val="00C56EA8"/>
    <w:rsid w:val="00C570BF"/>
    <w:rsid w:val="00C57CF6"/>
    <w:rsid w:val="00C605DE"/>
    <w:rsid w:val="00C61078"/>
    <w:rsid w:val="00C62708"/>
    <w:rsid w:val="00C6299D"/>
    <w:rsid w:val="00C67E12"/>
    <w:rsid w:val="00C703FA"/>
    <w:rsid w:val="00C718A1"/>
    <w:rsid w:val="00C71A3C"/>
    <w:rsid w:val="00C73E25"/>
    <w:rsid w:val="00C74331"/>
    <w:rsid w:val="00C74458"/>
    <w:rsid w:val="00C74626"/>
    <w:rsid w:val="00C75584"/>
    <w:rsid w:val="00C75665"/>
    <w:rsid w:val="00C77099"/>
    <w:rsid w:val="00C8187A"/>
    <w:rsid w:val="00C82781"/>
    <w:rsid w:val="00C833FE"/>
    <w:rsid w:val="00C835A9"/>
    <w:rsid w:val="00C856F3"/>
    <w:rsid w:val="00C8582D"/>
    <w:rsid w:val="00C9020D"/>
    <w:rsid w:val="00C91445"/>
    <w:rsid w:val="00C9176A"/>
    <w:rsid w:val="00C92C9E"/>
    <w:rsid w:val="00C95A38"/>
    <w:rsid w:val="00C9738C"/>
    <w:rsid w:val="00CA18FF"/>
    <w:rsid w:val="00CA1EE1"/>
    <w:rsid w:val="00CA1F7C"/>
    <w:rsid w:val="00CA2CB2"/>
    <w:rsid w:val="00CB0CE9"/>
    <w:rsid w:val="00CB0F4E"/>
    <w:rsid w:val="00CB4A79"/>
    <w:rsid w:val="00CB5909"/>
    <w:rsid w:val="00CB6080"/>
    <w:rsid w:val="00CB6512"/>
    <w:rsid w:val="00CB7757"/>
    <w:rsid w:val="00CC2BAE"/>
    <w:rsid w:val="00CC6AD0"/>
    <w:rsid w:val="00CC77A6"/>
    <w:rsid w:val="00CD0C99"/>
    <w:rsid w:val="00CD1522"/>
    <w:rsid w:val="00CD23D0"/>
    <w:rsid w:val="00CD3848"/>
    <w:rsid w:val="00CD3FBB"/>
    <w:rsid w:val="00CD5BAE"/>
    <w:rsid w:val="00CD79C1"/>
    <w:rsid w:val="00CE1B01"/>
    <w:rsid w:val="00CE2D01"/>
    <w:rsid w:val="00CE419A"/>
    <w:rsid w:val="00CE4229"/>
    <w:rsid w:val="00CF261F"/>
    <w:rsid w:val="00CF2D06"/>
    <w:rsid w:val="00CF6094"/>
    <w:rsid w:val="00CF7CD3"/>
    <w:rsid w:val="00D00336"/>
    <w:rsid w:val="00D007F1"/>
    <w:rsid w:val="00D0154D"/>
    <w:rsid w:val="00D0536E"/>
    <w:rsid w:val="00D05C48"/>
    <w:rsid w:val="00D070BF"/>
    <w:rsid w:val="00D078B1"/>
    <w:rsid w:val="00D117CD"/>
    <w:rsid w:val="00D11CEE"/>
    <w:rsid w:val="00D12025"/>
    <w:rsid w:val="00D1224C"/>
    <w:rsid w:val="00D126FA"/>
    <w:rsid w:val="00D139FB"/>
    <w:rsid w:val="00D1534E"/>
    <w:rsid w:val="00D171F6"/>
    <w:rsid w:val="00D172ED"/>
    <w:rsid w:val="00D2023D"/>
    <w:rsid w:val="00D2039C"/>
    <w:rsid w:val="00D2181B"/>
    <w:rsid w:val="00D21F49"/>
    <w:rsid w:val="00D2342F"/>
    <w:rsid w:val="00D30356"/>
    <w:rsid w:val="00D30DFF"/>
    <w:rsid w:val="00D3128A"/>
    <w:rsid w:val="00D32793"/>
    <w:rsid w:val="00D34032"/>
    <w:rsid w:val="00D3506B"/>
    <w:rsid w:val="00D36FC7"/>
    <w:rsid w:val="00D37A33"/>
    <w:rsid w:val="00D37CD1"/>
    <w:rsid w:val="00D409A3"/>
    <w:rsid w:val="00D41776"/>
    <w:rsid w:val="00D425E8"/>
    <w:rsid w:val="00D42739"/>
    <w:rsid w:val="00D43AA4"/>
    <w:rsid w:val="00D44453"/>
    <w:rsid w:val="00D452F5"/>
    <w:rsid w:val="00D465E2"/>
    <w:rsid w:val="00D56688"/>
    <w:rsid w:val="00D6005A"/>
    <w:rsid w:val="00D61F25"/>
    <w:rsid w:val="00D63685"/>
    <w:rsid w:val="00D64BE9"/>
    <w:rsid w:val="00D64D63"/>
    <w:rsid w:val="00D64D71"/>
    <w:rsid w:val="00D65894"/>
    <w:rsid w:val="00D65E12"/>
    <w:rsid w:val="00D66DCD"/>
    <w:rsid w:val="00D66F9C"/>
    <w:rsid w:val="00D710A1"/>
    <w:rsid w:val="00D73CD3"/>
    <w:rsid w:val="00D742F1"/>
    <w:rsid w:val="00D74954"/>
    <w:rsid w:val="00D749EE"/>
    <w:rsid w:val="00D74AB9"/>
    <w:rsid w:val="00D74BCD"/>
    <w:rsid w:val="00D75482"/>
    <w:rsid w:val="00D760BC"/>
    <w:rsid w:val="00D769AE"/>
    <w:rsid w:val="00D76AFF"/>
    <w:rsid w:val="00D76E88"/>
    <w:rsid w:val="00D76ED4"/>
    <w:rsid w:val="00D7721B"/>
    <w:rsid w:val="00D77E69"/>
    <w:rsid w:val="00D81D73"/>
    <w:rsid w:val="00D81E43"/>
    <w:rsid w:val="00D84874"/>
    <w:rsid w:val="00D85894"/>
    <w:rsid w:val="00D86470"/>
    <w:rsid w:val="00D868A6"/>
    <w:rsid w:val="00D8694B"/>
    <w:rsid w:val="00D86B26"/>
    <w:rsid w:val="00D8759A"/>
    <w:rsid w:val="00D91736"/>
    <w:rsid w:val="00D918BA"/>
    <w:rsid w:val="00D938F5"/>
    <w:rsid w:val="00D9525F"/>
    <w:rsid w:val="00D9622D"/>
    <w:rsid w:val="00D9777A"/>
    <w:rsid w:val="00DA174E"/>
    <w:rsid w:val="00DA2697"/>
    <w:rsid w:val="00DA2DC7"/>
    <w:rsid w:val="00DA34AF"/>
    <w:rsid w:val="00DA4A64"/>
    <w:rsid w:val="00DA64F8"/>
    <w:rsid w:val="00DA6DCF"/>
    <w:rsid w:val="00DA6ED1"/>
    <w:rsid w:val="00DA7BCF"/>
    <w:rsid w:val="00DB00F5"/>
    <w:rsid w:val="00DB19D6"/>
    <w:rsid w:val="00DB34E1"/>
    <w:rsid w:val="00DB62C2"/>
    <w:rsid w:val="00DC02CD"/>
    <w:rsid w:val="00DC075A"/>
    <w:rsid w:val="00DC30C1"/>
    <w:rsid w:val="00DC481A"/>
    <w:rsid w:val="00DC7021"/>
    <w:rsid w:val="00DD0B7A"/>
    <w:rsid w:val="00DD121E"/>
    <w:rsid w:val="00DD382B"/>
    <w:rsid w:val="00DD3C7F"/>
    <w:rsid w:val="00DD4BA4"/>
    <w:rsid w:val="00DD69FD"/>
    <w:rsid w:val="00DE0813"/>
    <w:rsid w:val="00DE1265"/>
    <w:rsid w:val="00DE1934"/>
    <w:rsid w:val="00DE1C59"/>
    <w:rsid w:val="00DE2462"/>
    <w:rsid w:val="00DE4391"/>
    <w:rsid w:val="00DE474F"/>
    <w:rsid w:val="00DE5F80"/>
    <w:rsid w:val="00DE6FBB"/>
    <w:rsid w:val="00DE70C2"/>
    <w:rsid w:val="00DE718B"/>
    <w:rsid w:val="00DE721D"/>
    <w:rsid w:val="00DE7769"/>
    <w:rsid w:val="00DF061B"/>
    <w:rsid w:val="00DF1917"/>
    <w:rsid w:val="00DF2969"/>
    <w:rsid w:val="00DF2977"/>
    <w:rsid w:val="00DF3826"/>
    <w:rsid w:val="00DF3AAF"/>
    <w:rsid w:val="00DF3BA3"/>
    <w:rsid w:val="00DF4086"/>
    <w:rsid w:val="00DF468E"/>
    <w:rsid w:val="00DF5547"/>
    <w:rsid w:val="00DF6940"/>
    <w:rsid w:val="00DF7B42"/>
    <w:rsid w:val="00E00948"/>
    <w:rsid w:val="00E01B4A"/>
    <w:rsid w:val="00E034C8"/>
    <w:rsid w:val="00E04341"/>
    <w:rsid w:val="00E0458D"/>
    <w:rsid w:val="00E11ED8"/>
    <w:rsid w:val="00E1220B"/>
    <w:rsid w:val="00E1492E"/>
    <w:rsid w:val="00E149FC"/>
    <w:rsid w:val="00E15A8E"/>
    <w:rsid w:val="00E164F9"/>
    <w:rsid w:val="00E2219C"/>
    <w:rsid w:val="00E2251F"/>
    <w:rsid w:val="00E23B3B"/>
    <w:rsid w:val="00E24123"/>
    <w:rsid w:val="00E24303"/>
    <w:rsid w:val="00E25620"/>
    <w:rsid w:val="00E259D8"/>
    <w:rsid w:val="00E2739F"/>
    <w:rsid w:val="00E30677"/>
    <w:rsid w:val="00E306AC"/>
    <w:rsid w:val="00E30DEF"/>
    <w:rsid w:val="00E30EA5"/>
    <w:rsid w:val="00E31350"/>
    <w:rsid w:val="00E31597"/>
    <w:rsid w:val="00E31654"/>
    <w:rsid w:val="00E31B3A"/>
    <w:rsid w:val="00E332CD"/>
    <w:rsid w:val="00E334AA"/>
    <w:rsid w:val="00E336F3"/>
    <w:rsid w:val="00E34C35"/>
    <w:rsid w:val="00E35402"/>
    <w:rsid w:val="00E36C6F"/>
    <w:rsid w:val="00E3710F"/>
    <w:rsid w:val="00E37700"/>
    <w:rsid w:val="00E37811"/>
    <w:rsid w:val="00E402DE"/>
    <w:rsid w:val="00E406B3"/>
    <w:rsid w:val="00E41602"/>
    <w:rsid w:val="00E42620"/>
    <w:rsid w:val="00E43B0B"/>
    <w:rsid w:val="00E43D64"/>
    <w:rsid w:val="00E448C9"/>
    <w:rsid w:val="00E45B3B"/>
    <w:rsid w:val="00E47266"/>
    <w:rsid w:val="00E4798E"/>
    <w:rsid w:val="00E501EE"/>
    <w:rsid w:val="00E5130F"/>
    <w:rsid w:val="00E52120"/>
    <w:rsid w:val="00E53551"/>
    <w:rsid w:val="00E55467"/>
    <w:rsid w:val="00E5631B"/>
    <w:rsid w:val="00E57F1A"/>
    <w:rsid w:val="00E6138C"/>
    <w:rsid w:val="00E61B15"/>
    <w:rsid w:val="00E61F4B"/>
    <w:rsid w:val="00E62A53"/>
    <w:rsid w:val="00E62C04"/>
    <w:rsid w:val="00E64549"/>
    <w:rsid w:val="00E65BBF"/>
    <w:rsid w:val="00E677D8"/>
    <w:rsid w:val="00E67A71"/>
    <w:rsid w:val="00E67BC1"/>
    <w:rsid w:val="00E70839"/>
    <w:rsid w:val="00E721C3"/>
    <w:rsid w:val="00E726A3"/>
    <w:rsid w:val="00E72A57"/>
    <w:rsid w:val="00E733FD"/>
    <w:rsid w:val="00E73B4E"/>
    <w:rsid w:val="00E7474E"/>
    <w:rsid w:val="00E74846"/>
    <w:rsid w:val="00E74F7C"/>
    <w:rsid w:val="00E76EA5"/>
    <w:rsid w:val="00E778E1"/>
    <w:rsid w:val="00E812C1"/>
    <w:rsid w:val="00E82705"/>
    <w:rsid w:val="00E82D00"/>
    <w:rsid w:val="00E83044"/>
    <w:rsid w:val="00E83641"/>
    <w:rsid w:val="00E8448C"/>
    <w:rsid w:val="00E84AD7"/>
    <w:rsid w:val="00E864ED"/>
    <w:rsid w:val="00E8714A"/>
    <w:rsid w:val="00E90222"/>
    <w:rsid w:val="00E9233F"/>
    <w:rsid w:val="00E92954"/>
    <w:rsid w:val="00E9383C"/>
    <w:rsid w:val="00E93E71"/>
    <w:rsid w:val="00E93FC9"/>
    <w:rsid w:val="00E94230"/>
    <w:rsid w:val="00E944B0"/>
    <w:rsid w:val="00E957AE"/>
    <w:rsid w:val="00E95A16"/>
    <w:rsid w:val="00E975B8"/>
    <w:rsid w:val="00E97850"/>
    <w:rsid w:val="00EA00F8"/>
    <w:rsid w:val="00EA02C8"/>
    <w:rsid w:val="00EA09E7"/>
    <w:rsid w:val="00EA0B09"/>
    <w:rsid w:val="00EA20A4"/>
    <w:rsid w:val="00EA3C6A"/>
    <w:rsid w:val="00EA749C"/>
    <w:rsid w:val="00EA7CC1"/>
    <w:rsid w:val="00EB029F"/>
    <w:rsid w:val="00EB0514"/>
    <w:rsid w:val="00EB0B2C"/>
    <w:rsid w:val="00EB0CD8"/>
    <w:rsid w:val="00EB0F06"/>
    <w:rsid w:val="00EB1C25"/>
    <w:rsid w:val="00EB1D29"/>
    <w:rsid w:val="00EB2ABE"/>
    <w:rsid w:val="00EB2BE0"/>
    <w:rsid w:val="00EB2CB0"/>
    <w:rsid w:val="00EB3644"/>
    <w:rsid w:val="00EB39BF"/>
    <w:rsid w:val="00EB5B9A"/>
    <w:rsid w:val="00EB5E62"/>
    <w:rsid w:val="00EB6E19"/>
    <w:rsid w:val="00EC06AE"/>
    <w:rsid w:val="00EC0F11"/>
    <w:rsid w:val="00EC1AAD"/>
    <w:rsid w:val="00EC2195"/>
    <w:rsid w:val="00EC21A0"/>
    <w:rsid w:val="00EC297D"/>
    <w:rsid w:val="00EC50E0"/>
    <w:rsid w:val="00EC53F6"/>
    <w:rsid w:val="00EC5552"/>
    <w:rsid w:val="00EC785E"/>
    <w:rsid w:val="00ED4285"/>
    <w:rsid w:val="00ED459B"/>
    <w:rsid w:val="00ED55AE"/>
    <w:rsid w:val="00ED5FC5"/>
    <w:rsid w:val="00ED7B30"/>
    <w:rsid w:val="00EE03D2"/>
    <w:rsid w:val="00EE1526"/>
    <w:rsid w:val="00EE25B0"/>
    <w:rsid w:val="00EE355C"/>
    <w:rsid w:val="00EE35CB"/>
    <w:rsid w:val="00EF0E5F"/>
    <w:rsid w:val="00EF2911"/>
    <w:rsid w:val="00EF3E89"/>
    <w:rsid w:val="00EF4C24"/>
    <w:rsid w:val="00EF4E5E"/>
    <w:rsid w:val="00EF612C"/>
    <w:rsid w:val="00F013A3"/>
    <w:rsid w:val="00F01597"/>
    <w:rsid w:val="00F01A9D"/>
    <w:rsid w:val="00F01C5B"/>
    <w:rsid w:val="00F02A3D"/>
    <w:rsid w:val="00F040C3"/>
    <w:rsid w:val="00F04D62"/>
    <w:rsid w:val="00F10235"/>
    <w:rsid w:val="00F10F37"/>
    <w:rsid w:val="00F13311"/>
    <w:rsid w:val="00F15081"/>
    <w:rsid w:val="00F17906"/>
    <w:rsid w:val="00F21825"/>
    <w:rsid w:val="00F21A06"/>
    <w:rsid w:val="00F2268D"/>
    <w:rsid w:val="00F22E33"/>
    <w:rsid w:val="00F22F34"/>
    <w:rsid w:val="00F24A89"/>
    <w:rsid w:val="00F25943"/>
    <w:rsid w:val="00F25CE8"/>
    <w:rsid w:val="00F26242"/>
    <w:rsid w:val="00F26916"/>
    <w:rsid w:val="00F27BF8"/>
    <w:rsid w:val="00F309BB"/>
    <w:rsid w:val="00F31B8A"/>
    <w:rsid w:val="00F31EBC"/>
    <w:rsid w:val="00F32048"/>
    <w:rsid w:val="00F3205C"/>
    <w:rsid w:val="00F336E5"/>
    <w:rsid w:val="00F35FA1"/>
    <w:rsid w:val="00F37AE2"/>
    <w:rsid w:val="00F4055A"/>
    <w:rsid w:val="00F418D1"/>
    <w:rsid w:val="00F419FA"/>
    <w:rsid w:val="00F4584F"/>
    <w:rsid w:val="00F464ED"/>
    <w:rsid w:val="00F51065"/>
    <w:rsid w:val="00F51383"/>
    <w:rsid w:val="00F519A2"/>
    <w:rsid w:val="00F53E19"/>
    <w:rsid w:val="00F56365"/>
    <w:rsid w:val="00F56388"/>
    <w:rsid w:val="00F57DDC"/>
    <w:rsid w:val="00F6049B"/>
    <w:rsid w:val="00F607A9"/>
    <w:rsid w:val="00F62DD0"/>
    <w:rsid w:val="00F64313"/>
    <w:rsid w:val="00F651B1"/>
    <w:rsid w:val="00F65E5A"/>
    <w:rsid w:val="00F66379"/>
    <w:rsid w:val="00F67223"/>
    <w:rsid w:val="00F7145E"/>
    <w:rsid w:val="00F72BB5"/>
    <w:rsid w:val="00F72C48"/>
    <w:rsid w:val="00F73A34"/>
    <w:rsid w:val="00F74637"/>
    <w:rsid w:val="00F75144"/>
    <w:rsid w:val="00F759A5"/>
    <w:rsid w:val="00F75CF3"/>
    <w:rsid w:val="00F80399"/>
    <w:rsid w:val="00F80D2B"/>
    <w:rsid w:val="00F81058"/>
    <w:rsid w:val="00F81EA7"/>
    <w:rsid w:val="00F82F5A"/>
    <w:rsid w:val="00F83784"/>
    <w:rsid w:val="00F85A68"/>
    <w:rsid w:val="00F860A4"/>
    <w:rsid w:val="00F867C1"/>
    <w:rsid w:val="00F87F96"/>
    <w:rsid w:val="00F90071"/>
    <w:rsid w:val="00F90133"/>
    <w:rsid w:val="00F9086C"/>
    <w:rsid w:val="00F9194E"/>
    <w:rsid w:val="00F92B01"/>
    <w:rsid w:val="00F940A6"/>
    <w:rsid w:val="00F95C1D"/>
    <w:rsid w:val="00F961EE"/>
    <w:rsid w:val="00F970D1"/>
    <w:rsid w:val="00F9735C"/>
    <w:rsid w:val="00FA0EFC"/>
    <w:rsid w:val="00FA27E2"/>
    <w:rsid w:val="00FA2C06"/>
    <w:rsid w:val="00FA2CD7"/>
    <w:rsid w:val="00FA37DA"/>
    <w:rsid w:val="00FA4B47"/>
    <w:rsid w:val="00FA4FA8"/>
    <w:rsid w:val="00FA5419"/>
    <w:rsid w:val="00FA69B3"/>
    <w:rsid w:val="00FA6ABF"/>
    <w:rsid w:val="00FA7800"/>
    <w:rsid w:val="00FA7B35"/>
    <w:rsid w:val="00FA7C03"/>
    <w:rsid w:val="00FB1F63"/>
    <w:rsid w:val="00FB286D"/>
    <w:rsid w:val="00FB30DE"/>
    <w:rsid w:val="00FB3CA6"/>
    <w:rsid w:val="00FB5FC2"/>
    <w:rsid w:val="00FB7F42"/>
    <w:rsid w:val="00FC0460"/>
    <w:rsid w:val="00FC0BA9"/>
    <w:rsid w:val="00FC132F"/>
    <w:rsid w:val="00FC3616"/>
    <w:rsid w:val="00FC37BB"/>
    <w:rsid w:val="00FC3A33"/>
    <w:rsid w:val="00FC56DD"/>
    <w:rsid w:val="00FD05BC"/>
    <w:rsid w:val="00FD127F"/>
    <w:rsid w:val="00FD2A26"/>
    <w:rsid w:val="00FD3282"/>
    <w:rsid w:val="00FD6824"/>
    <w:rsid w:val="00FE0688"/>
    <w:rsid w:val="00FE31B3"/>
    <w:rsid w:val="00FE354E"/>
    <w:rsid w:val="00FE563E"/>
    <w:rsid w:val="00FE580E"/>
    <w:rsid w:val="00FE5AAF"/>
    <w:rsid w:val="00FE6630"/>
    <w:rsid w:val="00FF2304"/>
    <w:rsid w:val="00FF4789"/>
    <w:rsid w:val="00FF4BFB"/>
    <w:rsid w:val="00FF6E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97"/>
    <w:pPr>
      <w:spacing w:after="0" w:line="240" w:lineRule="auto"/>
    </w:pPr>
    <w:rPr>
      <w:rFonts w:ascii="Arial" w:hAnsi="Arial"/>
    </w:rPr>
  </w:style>
  <w:style w:type="paragraph" w:styleId="Heading1">
    <w:name w:val="heading 1"/>
    <w:basedOn w:val="Normal"/>
    <w:next w:val="Normal"/>
    <w:link w:val="Heading1Char"/>
    <w:uiPriority w:val="9"/>
    <w:qFormat/>
    <w:rsid w:val="00241C1C"/>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41C1C"/>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92B0F"/>
    <w:pPr>
      <w:keepNext/>
      <w:keepLines/>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D710A1"/>
    <w:pPr>
      <w:keepNext/>
      <w:keepLines/>
      <w:ind w:left="340"/>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C1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241C1C"/>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492B0F"/>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D710A1"/>
    <w:rPr>
      <w:rFonts w:ascii="Arial" w:eastAsiaTheme="majorEastAsia" w:hAnsi="Arial" w:cstheme="majorBidi"/>
      <w:b/>
      <w:bCs/>
      <w:i/>
      <w:iCs/>
      <w:sz w:val="24"/>
    </w:rPr>
  </w:style>
  <w:style w:type="paragraph" w:styleId="Header">
    <w:name w:val="header"/>
    <w:basedOn w:val="Normal"/>
    <w:link w:val="HeaderChar"/>
    <w:uiPriority w:val="99"/>
    <w:unhideWhenUsed/>
    <w:rsid w:val="00317957"/>
    <w:pPr>
      <w:tabs>
        <w:tab w:val="center" w:pos="4513"/>
        <w:tab w:val="right" w:pos="9026"/>
      </w:tabs>
    </w:pPr>
  </w:style>
  <w:style w:type="character" w:customStyle="1" w:styleId="HeaderChar">
    <w:name w:val="Header Char"/>
    <w:basedOn w:val="DefaultParagraphFont"/>
    <w:link w:val="Header"/>
    <w:uiPriority w:val="99"/>
    <w:rsid w:val="00317957"/>
  </w:style>
  <w:style w:type="paragraph" w:styleId="Footer">
    <w:name w:val="footer"/>
    <w:basedOn w:val="Normal"/>
    <w:link w:val="FooterChar"/>
    <w:uiPriority w:val="99"/>
    <w:unhideWhenUsed/>
    <w:rsid w:val="00317957"/>
    <w:pPr>
      <w:tabs>
        <w:tab w:val="center" w:pos="4513"/>
        <w:tab w:val="right" w:pos="9026"/>
      </w:tabs>
    </w:pPr>
  </w:style>
  <w:style w:type="character" w:customStyle="1" w:styleId="FooterChar">
    <w:name w:val="Footer Char"/>
    <w:basedOn w:val="DefaultParagraphFont"/>
    <w:link w:val="Footer"/>
    <w:uiPriority w:val="99"/>
    <w:rsid w:val="00317957"/>
  </w:style>
  <w:style w:type="paragraph" w:styleId="Caption">
    <w:name w:val="caption"/>
    <w:basedOn w:val="Normal"/>
    <w:next w:val="Normal"/>
    <w:uiPriority w:val="35"/>
    <w:unhideWhenUsed/>
    <w:qFormat/>
    <w:rsid w:val="00A35AA1"/>
    <w:rPr>
      <w:bCs/>
      <w:color w:val="000000" w:themeColor="text1"/>
      <w:szCs w:val="18"/>
    </w:rPr>
  </w:style>
  <w:style w:type="paragraph" w:styleId="ListParagraph">
    <w:name w:val="List Paragraph"/>
    <w:basedOn w:val="Normal"/>
    <w:uiPriority w:val="34"/>
    <w:qFormat/>
    <w:rsid w:val="008C644D"/>
    <w:pPr>
      <w:ind w:left="720"/>
      <w:contextualSpacing/>
    </w:pPr>
  </w:style>
  <w:style w:type="paragraph" w:styleId="TOCHeading">
    <w:name w:val="TOC Heading"/>
    <w:basedOn w:val="Heading1"/>
    <w:next w:val="Normal"/>
    <w:uiPriority w:val="39"/>
    <w:semiHidden/>
    <w:unhideWhenUsed/>
    <w:qFormat/>
    <w:rsid w:val="002A2E0B"/>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2A2E0B"/>
    <w:pPr>
      <w:spacing w:after="100"/>
    </w:pPr>
  </w:style>
  <w:style w:type="paragraph" w:styleId="TOC2">
    <w:name w:val="toc 2"/>
    <w:basedOn w:val="Normal"/>
    <w:next w:val="Normal"/>
    <w:autoRedefine/>
    <w:uiPriority w:val="39"/>
    <w:unhideWhenUsed/>
    <w:rsid w:val="002A2E0B"/>
    <w:pPr>
      <w:spacing w:after="100"/>
      <w:ind w:left="240"/>
    </w:pPr>
  </w:style>
  <w:style w:type="character" w:styleId="Hyperlink">
    <w:name w:val="Hyperlink"/>
    <w:basedOn w:val="DefaultParagraphFont"/>
    <w:uiPriority w:val="99"/>
    <w:unhideWhenUsed/>
    <w:rsid w:val="002A2E0B"/>
    <w:rPr>
      <w:color w:val="0000FF" w:themeColor="hyperlink"/>
      <w:u w:val="single"/>
    </w:rPr>
  </w:style>
  <w:style w:type="paragraph" w:styleId="BalloonText">
    <w:name w:val="Balloon Text"/>
    <w:basedOn w:val="Normal"/>
    <w:link w:val="BalloonTextChar"/>
    <w:uiPriority w:val="99"/>
    <w:semiHidden/>
    <w:unhideWhenUsed/>
    <w:rsid w:val="007C15D8"/>
    <w:rPr>
      <w:rFonts w:ascii="Tahoma" w:hAnsi="Tahoma" w:cs="Tahoma"/>
      <w:sz w:val="16"/>
      <w:szCs w:val="16"/>
    </w:rPr>
  </w:style>
  <w:style w:type="character" w:customStyle="1" w:styleId="BalloonTextChar">
    <w:name w:val="Balloon Text Char"/>
    <w:basedOn w:val="DefaultParagraphFont"/>
    <w:link w:val="BalloonText"/>
    <w:uiPriority w:val="99"/>
    <w:semiHidden/>
    <w:rsid w:val="007C15D8"/>
    <w:rPr>
      <w:rFonts w:ascii="Tahoma" w:hAnsi="Tahoma" w:cs="Tahoma"/>
      <w:sz w:val="16"/>
      <w:szCs w:val="16"/>
    </w:rPr>
  </w:style>
  <w:style w:type="paragraph" w:styleId="FootnoteText">
    <w:name w:val="footnote text"/>
    <w:basedOn w:val="Normal"/>
    <w:link w:val="FootnoteTextChar"/>
    <w:uiPriority w:val="99"/>
    <w:semiHidden/>
    <w:unhideWhenUsed/>
    <w:rsid w:val="004C4259"/>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C4259"/>
    <w:rPr>
      <w:sz w:val="20"/>
      <w:szCs w:val="20"/>
    </w:rPr>
  </w:style>
  <w:style w:type="character" w:styleId="FootnoteReference">
    <w:name w:val="footnote reference"/>
    <w:basedOn w:val="DefaultParagraphFont"/>
    <w:uiPriority w:val="99"/>
    <w:semiHidden/>
    <w:unhideWhenUsed/>
    <w:rsid w:val="004C4259"/>
    <w:rPr>
      <w:vertAlign w:val="superscript"/>
    </w:rPr>
  </w:style>
  <w:style w:type="paragraph" w:styleId="NormalWeb">
    <w:name w:val="Normal (Web)"/>
    <w:basedOn w:val="Normal"/>
    <w:uiPriority w:val="99"/>
    <w:semiHidden/>
    <w:unhideWhenUsed/>
    <w:rsid w:val="00FB3CA6"/>
    <w:pPr>
      <w:spacing w:before="100" w:beforeAutospacing="1" w:after="100" w:afterAutospacing="1"/>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565F17"/>
    <w:rPr>
      <w:color w:val="800080"/>
      <w:u w:val="single"/>
    </w:rPr>
  </w:style>
  <w:style w:type="paragraph" w:customStyle="1" w:styleId="xl79">
    <w:name w:val="xl79"/>
    <w:basedOn w:val="Normal"/>
    <w:rsid w:val="00565F17"/>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80">
    <w:name w:val="xl80"/>
    <w:basedOn w:val="Normal"/>
    <w:rsid w:val="00565F17"/>
    <w:pPr>
      <w:spacing w:before="100" w:beforeAutospacing="1" w:after="100" w:afterAutospacing="1"/>
      <w:jc w:val="right"/>
      <w:textAlignment w:val="top"/>
    </w:pPr>
    <w:rPr>
      <w:rFonts w:ascii="Times New Roman" w:eastAsia="Times New Roman" w:hAnsi="Times New Roman" w:cs="Times New Roman"/>
      <w:b/>
      <w:bCs/>
      <w:i/>
      <w:iCs/>
      <w:sz w:val="24"/>
      <w:szCs w:val="24"/>
      <w:lang w:eastAsia="en-GB"/>
    </w:rPr>
  </w:style>
  <w:style w:type="paragraph" w:customStyle="1" w:styleId="xl81">
    <w:name w:val="xl81"/>
    <w:basedOn w:val="Normal"/>
    <w:rsid w:val="00565F17"/>
    <w:pPr>
      <w:spacing w:before="100" w:beforeAutospacing="1" w:after="100" w:afterAutospacing="1"/>
      <w:textAlignment w:val="top"/>
    </w:pPr>
    <w:rPr>
      <w:rFonts w:ascii="Times New Roman" w:eastAsia="Times New Roman" w:hAnsi="Times New Roman" w:cs="Times New Roman"/>
      <w:i/>
      <w:iCs/>
      <w:sz w:val="24"/>
      <w:szCs w:val="24"/>
      <w:lang w:eastAsia="en-GB"/>
    </w:rPr>
  </w:style>
  <w:style w:type="paragraph" w:customStyle="1" w:styleId="xl82">
    <w:name w:val="xl82"/>
    <w:basedOn w:val="Normal"/>
    <w:rsid w:val="00565F17"/>
    <w:pPr>
      <w:spacing w:before="100" w:beforeAutospacing="1" w:after="100" w:afterAutospacing="1"/>
      <w:textAlignment w:val="top"/>
    </w:pPr>
    <w:rPr>
      <w:rFonts w:ascii="Times New Roman" w:eastAsia="Times New Roman" w:hAnsi="Times New Roman" w:cs="Times New Roman"/>
      <w:i/>
      <w:iCs/>
      <w:sz w:val="24"/>
      <w:szCs w:val="24"/>
      <w:lang w:eastAsia="en-GB"/>
    </w:rPr>
  </w:style>
  <w:style w:type="paragraph" w:customStyle="1" w:styleId="xl83">
    <w:name w:val="xl83"/>
    <w:basedOn w:val="Normal"/>
    <w:rsid w:val="00565F17"/>
    <w:pPr>
      <w:pBdr>
        <w:top w:val="dotted"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sz w:val="24"/>
      <w:szCs w:val="24"/>
      <w:lang w:eastAsia="en-GB"/>
    </w:rPr>
  </w:style>
  <w:style w:type="paragraph" w:customStyle="1" w:styleId="xl84">
    <w:name w:val="xl84"/>
    <w:basedOn w:val="Normal"/>
    <w:rsid w:val="00565F17"/>
    <w:pPr>
      <w:pBdr>
        <w:top w:val="dotted"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 w:val="24"/>
      <w:szCs w:val="24"/>
      <w:lang w:eastAsia="en-GB"/>
    </w:rPr>
  </w:style>
  <w:style w:type="paragraph" w:customStyle="1" w:styleId="xl85">
    <w:name w:val="xl85"/>
    <w:basedOn w:val="Normal"/>
    <w:rsid w:val="00565F17"/>
    <w:pPr>
      <w:pBdr>
        <w:top w:val="dotted"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 w:val="24"/>
      <w:szCs w:val="24"/>
      <w:lang w:eastAsia="en-GB"/>
    </w:rPr>
  </w:style>
  <w:style w:type="paragraph" w:customStyle="1" w:styleId="xl86">
    <w:name w:val="xl86"/>
    <w:basedOn w:val="Normal"/>
    <w:rsid w:val="00565F17"/>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87">
    <w:name w:val="xl87"/>
    <w:basedOn w:val="Normal"/>
    <w:rsid w:val="00565F17"/>
    <w:pPr>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xl88">
    <w:name w:val="xl88"/>
    <w:basedOn w:val="Normal"/>
    <w:rsid w:val="00565F17"/>
    <w:pPr>
      <w:pBdr>
        <w:bottom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en-GB"/>
    </w:rPr>
  </w:style>
  <w:style w:type="paragraph" w:customStyle="1" w:styleId="xl89">
    <w:name w:val="xl89"/>
    <w:basedOn w:val="Normal"/>
    <w:rsid w:val="00565F17"/>
    <w:pPr>
      <w:shd w:val="clear" w:color="000000" w:fill="D9D9D9"/>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0">
    <w:name w:val="xl90"/>
    <w:basedOn w:val="Normal"/>
    <w:rsid w:val="00565F17"/>
    <w:pPr>
      <w:shd w:val="clear" w:color="000000" w:fill="D9D9D9"/>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1">
    <w:name w:val="xl91"/>
    <w:basedOn w:val="Normal"/>
    <w:rsid w:val="00565F17"/>
    <w:pPr>
      <w:shd w:val="clear" w:color="000000" w:fill="FFFFFF"/>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2">
    <w:name w:val="xl92"/>
    <w:basedOn w:val="Normal"/>
    <w:rsid w:val="00565F17"/>
    <w:pPr>
      <w:shd w:val="clear" w:color="000000" w:fill="FFFFFF"/>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3">
    <w:name w:val="xl93"/>
    <w:basedOn w:val="Normal"/>
    <w:rsid w:val="00565F17"/>
    <w:pPr>
      <w:shd w:val="clear" w:color="000000" w:fill="33CC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4">
    <w:name w:val="xl94"/>
    <w:basedOn w:val="Normal"/>
    <w:rsid w:val="00565F17"/>
    <w:pPr>
      <w:shd w:val="clear" w:color="000000" w:fill="33CC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5">
    <w:name w:val="xl95"/>
    <w:basedOn w:val="Normal"/>
    <w:rsid w:val="00565F17"/>
    <w:pPr>
      <w:pBdr>
        <w:top w:val="dotted"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6">
    <w:name w:val="xl96"/>
    <w:basedOn w:val="Normal"/>
    <w:rsid w:val="00565F17"/>
    <w:pPr>
      <w:pBdr>
        <w:top w:val="dotted"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7">
    <w:name w:val="xl97"/>
    <w:basedOn w:val="Normal"/>
    <w:rsid w:val="00565F17"/>
    <w:pPr>
      <w:pBdr>
        <w:top w:val="dotted"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8">
    <w:name w:val="xl98"/>
    <w:basedOn w:val="Normal"/>
    <w:rsid w:val="00565F17"/>
    <w:pPr>
      <w:pBdr>
        <w:top w:val="dotted"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9">
    <w:name w:val="xl99"/>
    <w:basedOn w:val="Normal"/>
    <w:rsid w:val="00565F17"/>
    <w:pPr>
      <w:shd w:val="clear" w:color="000000" w:fill="FF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0">
    <w:name w:val="xl100"/>
    <w:basedOn w:val="Normal"/>
    <w:rsid w:val="00565F17"/>
    <w:pPr>
      <w:shd w:val="clear" w:color="000000" w:fill="FF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1">
    <w:name w:val="xl101"/>
    <w:basedOn w:val="Normal"/>
    <w:rsid w:val="00565F17"/>
    <w:pPr>
      <w:shd w:val="clear" w:color="000000" w:fill="99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565F17"/>
    <w:pPr>
      <w:shd w:val="clear" w:color="000000" w:fill="99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3">
    <w:name w:val="xl103"/>
    <w:basedOn w:val="Normal"/>
    <w:rsid w:val="00565F17"/>
    <w:pPr>
      <w:shd w:val="clear" w:color="000000" w:fill="FF99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4">
    <w:name w:val="xl104"/>
    <w:basedOn w:val="Normal"/>
    <w:rsid w:val="00565F17"/>
    <w:pPr>
      <w:shd w:val="clear" w:color="000000" w:fill="FF99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5">
    <w:name w:val="xl105"/>
    <w:basedOn w:val="Normal"/>
    <w:rsid w:val="00565F17"/>
    <w:pPr>
      <w:shd w:val="clear" w:color="000000" w:fill="008000"/>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6">
    <w:name w:val="xl106"/>
    <w:basedOn w:val="Normal"/>
    <w:rsid w:val="00565F17"/>
    <w:pPr>
      <w:shd w:val="clear" w:color="000000" w:fill="008000"/>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565F17"/>
    <w:pPr>
      <w:spacing w:before="100" w:beforeAutospacing="1" w:after="100" w:afterAutospacing="1"/>
      <w:jc w:val="center"/>
      <w:textAlignment w:val="top"/>
    </w:pPr>
    <w:rPr>
      <w:rFonts w:ascii="Times New Roman" w:eastAsia="Times New Roman" w:hAnsi="Times New Roman" w:cs="Times New Roman"/>
      <w:b/>
      <w:bCs/>
      <w:sz w:val="24"/>
      <w:szCs w:val="24"/>
      <w:lang w:eastAsia="en-GB"/>
    </w:rPr>
  </w:style>
  <w:style w:type="paragraph" w:customStyle="1" w:styleId="xl108">
    <w:name w:val="xl108"/>
    <w:basedOn w:val="Normal"/>
    <w:rsid w:val="00565F17"/>
    <w:pPr>
      <w:pBdr>
        <w:top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en-GB"/>
    </w:rPr>
  </w:style>
  <w:style w:type="paragraph" w:customStyle="1" w:styleId="xl109">
    <w:name w:val="xl109"/>
    <w:basedOn w:val="Normal"/>
    <w:rsid w:val="00565F17"/>
    <w:pPr>
      <w:spacing w:before="100" w:beforeAutospacing="1" w:after="100" w:afterAutospacing="1"/>
      <w:textAlignment w:val="center"/>
    </w:pPr>
    <w:rPr>
      <w:rFonts w:ascii="Times New Roman" w:eastAsia="Times New Roman" w:hAnsi="Times New Roman" w:cs="Times New Roman"/>
      <w:b/>
      <w:bCs/>
      <w:sz w:val="24"/>
      <w:szCs w:val="24"/>
      <w:lang w:eastAsia="en-GB"/>
    </w:rPr>
  </w:style>
  <w:style w:type="paragraph" w:customStyle="1" w:styleId="xl110">
    <w:name w:val="xl110"/>
    <w:basedOn w:val="Normal"/>
    <w:rsid w:val="00565F17"/>
    <w:pPr>
      <w:pBdr>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en-GB"/>
    </w:rPr>
  </w:style>
  <w:style w:type="paragraph" w:customStyle="1" w:styleId="xl111">
    <w:name w:val="xl111"/>
    <w:basedOn w:val="Normal"/>
    <w:rsid w:val="00565F17"/>
    <w:pPr>
      <w:pBdr>
        <w:bottom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112">
    <w:name w:val="xl112"/>
    <w:basedOn w:val="Normal"/>
    <w:rsid w:val="00565F17"/>
    <w:pPr>
      <w:pBdr>
        <w:top w:val="dotted"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sz w:val="24"/>
      <w:szCs w:val="24"/>
      <w:lang w:eastAsia="en-GB"/>
    </w:rPr>
  </w:style>
  <w:style w:type="paragraph" w:customStyle="1" w:styleId="xl113">
    <w:name w:val="xl113"/>
    <w:basedOn w:val="Normal"/>
    <w:rsid w:val="00565F17"/>
    <w:pPr>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styleId="TOC3">
    <w:name w:val="toc 3"/>
    <w:basedOn w:val="Normal"/>
    <w:next w:val="Normal"/>
    <w:autoRedefine/>
    <w:uiPriority w:val="39"/>
    <w:unhideWhenUsed/>
    <w:rsid w:val="00D64D63"/>
    <w:pPr>
      <w:spacing w:after="100"/>
      <w:ind w:left="440"/>
    </w:pPr>
  </w:style>
  <w:style w:type="character" w:styleId="CommentReference">
    <w:name w:val="annotation reference"/>
    <w:basedOn w:val="DefaultParagraphFont"/>
    <w:uiPriority w:val="99"/>
    <w:semiHidden/>
    <w:unhideWhenUsed/>
    <w:rsid w:val="00004D1B"/>
    <w:rPr>
      <w:sz w:val="16"/>
      <w:szCs w:val="16"/>
    </w:rPr>
  </w:style>
  <w:style w:type="paragraph" w:styleId="CommentText">
    <w:name w:val="annotation text"/>
    <w:basedOn w:val="Normal"/>
    <w:link w:val="CommentTextChar"/>
    <w:uiPriority w:val="99"/>
    <w:semiHidden/>
    <w:unhideWhenUsed/>
    <w:rsid w:val="00004D1B"/>
    <w:rPr>
      <w:sz w:val="20"/>
      <w:szCs w:val="20"/>
    </w:rPr>
  </w:style>
  <w:style w:type="character" w:customStyle="1" w:styleId="CommentTextChar">
    <w:name w:val="Comment Text Char"/>
    <w:basedOn w:val="DefaultParagraphFont"/>
    <w:link w:val="CommentText"/>
    <w:uiPriority w:val="99"/>
    <w:semiHidden/>
    <w:rsid w:val="00004D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4D1B"/>
    <w:rPr>
      <w:b/>
      <w:bCs/>
    </w:rPr>
  </w:style>
  <w:style w:type="character" w:customStyle="1" w:styleId="CommentSubjectChar">
    <w:name w:val="Comment Subject Char"/>
    <w:basedOn w:val="CommentTextChar"/>
    <w:link w:val="CommentSubject"/>
    <w:uiPriority w:val="99"/>
    <w:semiHidden/>
    <w:rsid w:val="00004D1B"/>
    <w:rPr>
      <w:rFonts w:ascii="Arial" w:hAnsi="Arial"/>
      <w:b/>
      <w:bCs/>
      <w:sz w:val="20"/>
      <w:szCs w:val="20"/>
    </w:rPr>
  </w:style>
  <w:style w:type="paragraph" w:styleId="Revision">
    <w:name w:val="Revision"/>
    <w:hidden/>
    <w:uiPriority w:val="99"/>
    <w:semiHidden/>
    <w:rsid w:val="006B4A4B"/>
    <w:pPr>
      <w:spacing w:after="0" w:line="240" w:lineRule="auto"/>
    </w:pPr>
    <w:rPr>
      <w:rFonts w:ascii="Arial" w:hAnsi="Arial"/>
    </w:rPr>
  </w:style>
  <w:style w:type="table" w:styleId="TableGrid">
    <w:name w:val="Table Grid"/>
    <w:basedOn w:val="TableNormal"/>
    <w:uiPriority w:val="59"/>
    <w:rsid w:val="00D7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7D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97"/>
    <w:pPr>
      <w:spacing w:after="0" w:line="240" w:lineRule="auto"/>
    </w:pPr>
    <w:rPr>
      <w:rFonts w:ascii="Arial" w:hAnsi="Arial"/>
    </w:rPr>
  </w:style>
  <w:style w:type="paragraph" w:styleId="Heading1">
    <w:name w:val="heading 1"/>
    <w:basedOn w:val="Normal"/>
    <w:next w:val="Normal"/>
    <w:link w:val="Heading1Char"/>
    <w:uiPriority w:val="9"/>
    <w:qFormat/>
    <w:rsid w:val="00241C1C"/>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41C1C"/>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92B0F"/>
    <w:pPr>
      <w:keepNext/>
      <w:keepLines/>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D710A1"/>
    <w:pPr>
      <w:keepNext/>
      <w:keepLines/>
      <w:ind w:left="340"/>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C1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241C1C"/>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492B0F"/>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D710A1"/>
    <w:rPr>
      <w:rFonts w:ascii="Arial" w:eastAsiaTheme="majorEastAsia" w:hAnsi="Arial" w:cstheme="majorBidi"/>
      <w:b/>
      <w:bCs/>
      <w:i/>
      <w:iCs/>
      <w:sz w:val="24"/>
    </w:rPr>
  </w:style>
  <w:style w:type="paragraph" w:styleId="Header">
    <w:name w:val="header"/>
    <w:basedOn w:val="Normal"/>
    <w:link w:val="HeaderChar"/>
    <w:uiPriority w:val="99"/>
    <w:unhideWhenUsed/>
    <w:rsid w:val="00317957"/>
    <w:pPr>
      <w:tabs>
        <w:tab w:val="center" w:pos="4513"/>
        <w:tab w:val="right" w:pos="9026"/>
      </w:tabs>
    </w:pPr>
  </w:style>
  <w:style w:type="character" w:customStyle="1" w:styleId="HeaderChar">
    <w:name w:val="Header Char"/>
    <w:basedOn w:val="DefaultParagraphFont"/>
    <w:link w:val="Header"/>
    <w:uiPriority w:val="99"/>
    <w:rsid w:val="00317957"/>
  </w:style>
  <w:style w:type="paragraph" w:styleId="Footer">
    <w:name w:val="footer"/>
    <w:basedOn w:val="Normal"/>
    <w:link w:val="FooterChar"/>
    <w:uiPriority w:val="99"/>
    <w:unhideWhenUsed/>
    <w:rsid w:val="00317957"/>
    <w:pPr>
      <w:tabs>
        <w:tab w:val="center" w:pos="4513"/>
        <w:tab w:val="right" w:pos="9026"/>
      </w:tabs>
    </w:pPr>
  </w:style>
  <w:style w:type="character" w:customStyle="1" w:styleId="FooterChar">
    <w:name w:val="Footer Char"/>
    <w:basedOn w:val="DefaultParagraphFont"/>
    <w:link w:val="Footer"/>
    <w:uiPriority w:val="99"/>
    <w:rsid w:val="00317957"/>
  </w:style>
  <w:style w:type="paragraph" w:styleId="Caption">
    <w:name w:val="caption"/>
    <w:basedOn w:val="Normal"/>
    <w:next w:val="Normal"/>
    <w:uiPriority w:val="35"/>
    <w:unhideWhenUsed/>
    <w:qFormat/>
    <w:rsid w:val="00A35AA1"/>
    <w:rPr>
      <w:bCs/>
      <w:color w:val="000000" w:themeColor="text1"/>
      <w:szCs w:val="18"/>
    </w:rPr>
  </w:style>
  <w:style w:type="paragraph" w:styleId="ListParagraph">
    <w:name w:val="List Paragraph"/>
    <w:basedOn w:val="Normal"/>
    <w:uiPriority w:val="34"/>
    <w:qFormat/>
    <w:rsid w:val="008C644D"/>
    <w:pPr>
      <w:ind w:left="720"/>
      <w:contextualSpacing/>
    </w:pPr>
  </w:style>
  <w:style w:type="paragraph" w:styleId="TOCHeading">
    <w:name w:val="TOC Heading"/>
    <w:basedOn w:val="Heading1"/>
    <w:next w:val="Normal"/>
    <w:uiPriority w:val="39"/>
    <w:semiHidden/>
    <w:unhideWhenUsed/>
    <w:qFormat/>
    <w:rsid w:val="002A2E0B"/>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2A2E0B"/>
    <w:pPr>
      <w:spacing w:after="100"/>
    </w:pPr>
  </w:style>
  <w:style w:type="paragraph" w:styleId="TOC2">
    <w:name w:val="toc 2"/>
    <w:basedOn w:val="Normal"/>
    <w:next w:val="Normal"/>
    <w:autoRedefine/>
    <w:uiPriority w:val="39"/>
    <w:unhideWhenUsed/>
    <w:rsid w:val="002A2E0B"/>
    <w:pPr>
      <w:spacing w:after="100"/>
      <w:ind w:left="240"/>
    </w:pPr>
  </w:style>
  <w:style w:type="character" w:styleId="Hyperlink">
    <w:name w:val="Hyperlink"/>
    <w:basedOn w:val="DefaultParagraphFont"/>
    <w:uiPriority w:val="99"/>
    <w:unhideWhenUsed/>
    <w:rsid w:val="002A2E0B"/>
    <w:rPr>
      <w:color w:val="0000FF" w:themeColor="hyperlink"/>
      <w:u w:val="single"/>
    </w:rPr>
  </w:style>
  <w:style w:type="paragraph" w:styleId="BalloonText">
    <w:name w:val="Balloon Text"/>
    <w:basedOn w:val="Normal"/>
    <w:link w:val="BalloonTextChar"/>
    <w:uiPriority w:val="99"/>
    <w:semiHidden/>
    <w:unhideWhenUsed/>
    <w:rsid w:val="007C15D8"/>
    <w:rPr>
      <w:rFonts w:ascii="Tahoma" w:hAnsi="Tahoma" w:cs="Tahoma"/>
      <w:sz w:val="16"/>
      <w:szCs w:val="16"/>
    </w:rPr>
  </w:style>
  <w:style w:type="character" w:customStyle="1" w:styleId="BalloonTextChar">
    <w:name w:val="Balloon Text Char"/>
    <w:basedOn w:val="DefaultParagraphFont"/>
    <w:link w:val="BalloonText"/>
    <w:uiPriority w:val="99"/>
    <w:semiHidden/>
    <w:rsid w:val="007C15D8"/>
    <w:rPr>
      <w:rFonts w:ascii="Tahoma" w:hAnsi="Tahoma" w:cs="Tahoma"/>
      <w:sz w:val="16"/>
      <w:szCs w:val="16"/>
    </w:rPr>
  </w:style>
  <w:style w:type="paragraph" w:styleId="FootnoteText">
    <w:name w:val="footnote text"/>
    <w:basedOn w:val="Normal"/>
    <w:link w:val="FootnoteTextChar"/>
    <w:uiPriority w:val="99"/>
    <w:semiHidden/>
    <w:unhideWhenUsed/>
    <w:rsid w:val="004C4259"/>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C4259"/>
    <w:rPr>
      <w:sz w:val="20"/>
      <w:szCs w:val="20"/>
    </w:rPr>
  </w:style>
  <w:style w:type="character" w:styleId="FootnoteReference">
    <w:name w:val="footnote reference"/>
    <w:basedOn w:val="DefaultParagraphFont"/>
    <w:uiPriority w:val="99"/>
    <w:semiHidden/>
    <w:unhideWhenUsed/>
    <w:rsid w:val="004C4259"/>
    <w:rPr>
      <w:vertAlign w:val="superscript"/>
    </w:rPr>
  </w:style>
  <w:style w:type="paragraph" w:styleId="NormalWeb">
    <w:name w:val="Normal (Web)"/>
    <w:basedOn w:val="Normal"/>
    <w:uiPriority w:val="99"/>
    <w:semiHidden/>
    <w:unhideWhenUsed/>
    <w:rsid w:val="00FB3CA6"/>
    <w:pPr>
      <w:spacing w:before="100" w:beforeAutospacing="1" w:after="100" w:afterAutospacing="1"/>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565F17"/>
    <w:rPr>
      <w:color w:val="800080"/>
      <w:u w:val="single"/>
    </w:rPr>
  </w:style>
  <w:style w:type="paragraph" w:customStyle="1" w:styleId="xl79">
    <w:name w:val="xl79"/>
    <w:basedOn w:val="Normal"/>
    <w:rsid w:val="00565F17"/>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80">
    <w:name w:val="xl80"/>
    <w:basedOn w:val="Normal"/>
    <w:rsid w:val="00565F17"/>
    <w:pPr>
      <w:spacing w:before="100" w:beforeAutospacing="1" w:after="100" w:afterAutospacing="1"/>
      <w:jc w:val="right"/>
      <w:textAlignment w:val="top"/>
    </w:pPr>
    <w:rPr>
      <w:rFonts w:ascii="Times New Roman" w:eastAsia="Times New Roman" w:hAnsi="Times New Roman" w:cs="Times New Roman"/>
      <w:b/>
      <w:bCs/>
      <w:i/>
      <w:iCs/>
      <w:sz w:val="24"/>
      <w:szCs w:val="24"/>
      <w:lang w:eastAsia="en-GB"/>
    </w:rPr>
  </w:style>
  <w:style w:type="paragraph" w:customStyle="1" w:styleId="xl81">
    <w:name w:val="xl81"/>
    <w:basedOn w:val="Normal"/>
    <w:rsid w:val="00565F17"/>
    <w:pPr>
      <w:spacing w:before="100" w:beforeAutospacing="1" w:after="100" w:afterAutospacing="1"/>
      <w:textAlignment w:val="top"/>
    </w:pPr>
    <w:rPr>
      <w:rFonts w:ascii="Times New Roman" w:eastAsia="Times New Roman" w:hAnsi="Times New Roman" w:cs="Times New Roman"/>
      <w:i/>
      <w:iCs/>
      <w:sz w:val="24"/>
      <w:szCs w:val="24"/>
      <w:lang w:eastAsia="en-GB"/>
    </w:rPr>
  </w:style>
  <w:style w:type="paragraph" w:customStyle="1" w:styleId="xl82">
    <w:name w:val="xl82"/>
    <w:basedOn w:val="Normal"/>
    <w:rsid w:val="00565F17"/>
    <w:pPr>
      <w:spacing w:before="100" w:beforeAutospacing="1" w:after="100" w:afterAutospacing="1"/>
      <w:textAlignment w:val="top"/>
    </w:pPr>
    <w:rPr>
      <w:rFonts w:ascii="Times New Roman" w:eastAsia="Times New Roman" w:hAnsi="Times New Roman" w:cs="Times New Roman"/>
      <w:i/>
      <w:iCs/>
      <w:sz w:val="24"/>
      <w:szCs w:val="24"/>
      <w:lang w:eastAsia="en-GB"/>
    </w:rPr>
  </w:style>
  <w:style w:type="paragraph" w:customStyle="1" w:styleId="xl83">
    <w:name w:val="xl83"/>
    <w:basedOn w:val="Normal"/>
    <w:rsid w:val="00565F17"/>
    <w:pPr>
      <w:pBdr>
        <w:top w:val="dotted"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i/>
      <w:iCs/>
      <w:sz w:val="24"/>
      <w:szCs w:val="24"/>
      <w:lang w:eastAsia="en-GB"/>
    </w:rPr>
  </w:style>
  <w:style w:type="paragraph" w:customStyle="1" w:styleId="xl84">
    <w:name w:val="xl84"/>
    <w:basedOn w:val="Normal"/>
    <w:rsid w:val="00565F17"/>
    <w:pPr>
      <w:pBdr>
        <w:top w:val="dotted"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 w:val="24"/>
      <w:szCs w:val="24"/>
      <w:lang w:eastAsia="en-GB"/>
    </w:rPr>
  </w:style>
  <w:style w:type="paragraph" w:customStyle="1" w:styleId="xl85">
    <w:name w:val="xl85"/>
    <w:basedOn w:val="Normal"/>
    <w:rsid w:val="00565F17"/>
    <w:pPr>
      <w:pBdr>
        <w:top w:val="dotted"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i/>
      <w:iCs/>
      <w:sz w:val="24"/>
      <w:szCs w:val="24"/>
      <w:lang w:eastAsia="en-GB"/>
    </w:rPr>
  </w:style>
  <w:style w:type="paragraph" w:customStyle="1" w:styleId="xl86">
    <w:name w:val="xl86"/>
    <w:basedOn w:val="Normal"/>
    <w:rsid w:val="00565F17"/>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87">
    <w:name w:val="xl87"/>
    <w:basedOn w:val="Normal"/>
    <w:rsid w:val="00565F17"/>
    <w:pPr>
      <w:spacing w:before="100" w:beforeAutospacing="1" w:after="100" w:afterAutospacing="1"/>
    </w:pPr>
    <w:rPr>
      <w:rFonts w:ascii="Times New Roman" w:eastAsia="Times New Roman" w:hAnsi="Times New Roman" w:cs="Times New Roman"/>
      <w:b/>
      <w:bCs/>
      <w:sz w:val="24"/>
      <w:szCs w:val="24"/>
      <w:lang w:eastAsia="en-GB"/>
    </w:rPr>
  </w:style>
  <w:style w:type="paragraph" w:customStyle="1" w:styleId="xl88">
    <w:name w:val="xl88"/>
    <w:basedOn w:val="Normal"/>
    <w:rsid w:val="00565F17"/>
    <w:pPr>
      <w:pBdr>
        <w:bottom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en-GB"/>
    </w:rPr>
  </w:style>
  <w:style w:type="paragraph" w:customStyle="1" w:styleId="xl89">
    <w:name w:val="xl89"/>
    <w:basedOn w:val="Normal"/>
    <w:rsid w:val="00565F17"/>
    <w:pPr>
      <w:shd w:val="clear" w:color="000000" w:fill="D9D9D9"/>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0">
    <w:name w:val="xl90"/>
    <w:basedOn w:val="Normal"/>
    <w:rsid w:val="00565F17"/>
    <w:pPr>
      <w:shd w:val="clear" w:color="000000" w:fill="D9D9D9"/>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1">
    <w:name w:val="xl91"/>
    <w:basedOn w:val="Normal"/>
    <w:rsid w:val="00565F17"/>
    <w:pPr>
      <w:shd w:val="clear" w:color="000000" w:fill="FFFFFF"/>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2">
    <w:name w:val="xl92"/>
    <w:basedOn w:val="Normal"/>
    <w:rsid w:val="00565F17"/>
    <w:pPr>
      <w:shd w:val="clear" w:color="000000" w:fill="FFFFFF"/>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3">
    <w:name w:val="xl93"/>
    <w:basedOn w:val="Normal"/>
    <w:rsid w:val="00565F17"/>
    <w:pPr>
      <w:shd w:val="clear" w:color="000000" w:fill="33CC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4">
    <w:name w:val="xl94"/>
    <w:basedOn w:val="Normal"/>
    <w:rsid w:val="00565F17"/>
    <w:pPr>
      <w:shd w:val="clear" w:color="000000" w:fill="33CC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5">
    <w:name w:val="xl95"/>
    <w:basedOn w:val="Normal"/>
    <w:rsid w:val="00565F17"/>
    <w:pPr>
      <w:pBdr>
        <w:top w:val="dotted"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6">
    <w:name w:val="xl96"/>
    <w:basedOn w:val="Normal"/>
    <w:rsid w:val="00565F17"/>
    <w:pPr>
      <w:pBdr>
        <w:top w:val="dotted" w:sz="4" w:space="0" w:color="auto"/>
        <w:bottom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7">
    <w:name w:val="xl97"/>
    <w:basedOn w:val="Normal"/>
    <w:rsid w:val="00565F17"/>
    <w:pPr>
      <w:pBdr>
        <w:top w:val="dotted"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8">
    <w:name w:val="xl98"/>
    <w:basedOn w:val="Normal"/>
    <w:rsid w:val="00565F17"/>
    <w:pPr>
      <w:pBdr>
        <w:top w:val="dotted"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9">
    <w:name w:val="xl99"/>
    <w:basedOn w:val="Normal"/>
    <w:rsid w:val="00565F17"/>
    <w:pPr>
      <w:shd w:val="clear" w:color="000000" w:fill="FF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0">
    <w:name w:val="xl100"/>
    <w:basedOn w:val="Normal"/>
    <w:rsid w:val="00565F17"/>
    <w:pPr>
      <w:shd w:val="clear" w:color="000000" w:fill="FF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1">
    <w:name w:val="xl101"/>
    <w:basedOn w:val="Normal"/>
    <w:rsid w:val="00565F17"/>
    <w:pPr>
      <w:shd w:val="clear" w:color="000000" w:fill="99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565F17"/>
    <w:pPr>
      <w:shd w:val="clear" w:color="000000" w:fill="99FF66"/>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3">
    <w:name w:val="xl103"/>
    <w:basedOn w:val="Normal"/>
    <w:rsid w:val="00565F17"/>
    <w:pPr>
      <w:shd w:val="clear" w:color="000000" w:fill="FF99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4">
    <w:name w:val="xl104"/>
    <w:basedOn w:val="Normal"/>
    <w:rsid w:val="00565F17"/>
    <w:pPr>
      <w:shd w:val="clear" w:color="000000" w:fill="FF993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5">
    <w:name w:val="xl105"/>
    <w:basedOn w:val="Normal"/>
    <w:rsid w:val="00565F17"/>
    <w:pPr>
      <w:shd w:val="clear" w:color="000000" w:fill="008000"/>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6">
    <w:name w:val="xl106"/>
    <w:basedOn w:val="Normal"/>
    <w:rsid w:val="00565F17"/>
    <w:pPr>
      <w:shd w:val="clear" w:color="000000" w:fill="008000"/>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565F17"/>
    <w:pPr>
      <w:spacing w:before="100" w:beforeAutospacing="1" w:after="100" w:afterAutospacing="1"/>
      <w:jc w:val="center"/>
      <w:textAlignment w:val="top"/>
    </w:pPr>
    <w:rPr>
      <w:rFonts w:ascii="Times New Roman" w:eastAsia="Times New Roman" w:hAnsi="Times New Roman" w:cs="Times New Roman"/>
      <w:b/>
      <w:bCs/>
      <w:sz w:val="24"/>
      <w:szCs w:val="24"/>
      <w:lang w:eastAsia="en-GB"/>
    </w:rPr>
  </w:style>
  <w:style w:type="paragraph" w:customStyle="1" w:styleId="xl108">
    <w:name w:val="xl108"/>
    <w:basedOn w:val="Normal"/>
    <w:rsid w:val="00565F17"/>
    <w:pPr>
      <w:pBdr>
        <w:top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en-GB"/>
    </w:rPr>
  </w:style>
  <w:style w:type="paragraph" w:customStyle="1" w:styleId="xl109">
    <w:name w:val="xl109"/>
    <w:basedOn w:val="Normal"/>
    <w:rsid w:val="00565F17"/>
    <w:pPr>
      <w:spacing w:before="100" w:beforeAutospacing="1" w:after="100" w:afterAutospacing="1"/>
      <w:textAlignment w:val="center"/>
    </w:pPr>
    <w:rPr>
      <w:rFonts w:ascii="Times New Roman" w:eastAsia="Times New Roman" w:hAnsi="Times New Roman" w:cs="Times New Roman"/>
      <w:b/>
      <w:bCs/>
      <w:sz w:val="24"/>
      <w:szCs w:val="24"/>
      <w:lang w:eastAsia="en-GB"/>
    </w:rPr>
  </w:style>
  <w:style w:type="paragraph" w:customStyle="1" w:styleId="xl110">
    <w:name w:val="xl110"/>
    <w:basedOn w:val="Normal"/>
    <w:rsid w:val="00565F17"/>
    <w:pPr>
      <w:pBdr>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en-GB"/>
    </w:rPr>
  </w:style>
  <w:style w:type="paragraph" w:customStyle="1" w:styleId="xl111">
    <w:name w:val="xl111"/>
    <w:basedOn w:val="Normal"/>
    <w:rsid w:val="00565F17"/>
    <w:pPr>
      <w:pBdr>
        <w:bottom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112">
    <w:name w:val="xl112"/>
    <w:basedOn w:val="Normal"/>
    <w:rsid w:val="00565F17"/>
    <w:pPr>
      <w:pBdr>
        <w:top w:val="dotted" w:sz="4" w:space="0" w:color="auto"/>
        <w:bottom w:val="single" w:sz="4" w:space="0" w:color="auto"/>
      </w:pBdr>
      <w:spacing w:before="100" w:beforeAutospacing="1" w:after="100" w:afterAutospacing="1"/>
      <w:jc w:val="right"/>
      <w:textAlignment w:val="top"/>
    </w:pPr>
    <w:rPr>
      <w:rFonts w:ascii="Times New Roman" w:eastAsia="Times New Roman" w:hAnsi="Times New Roman" w:cs="Times New Roman"/>
      <w:b/>
      <w:bCs/>
      <w:sz w:val="24"/>
      <w:szCs w:val="24"/>
      <w:lang w:eastAsia="en-GB"/>
    </w:rPr>
  </w:style>
  <w:style w:type="paragraph" w:customStyle="1" w:styleId="xl113">
    <w:name w:val="xl113"/>
    <w:basedOn w:val="Normal"/>
    <w:rsid w:val="00565F17"/>
    <w:pPr>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styleId="TOC3">
    <w:name w:val="toc 3"/>
    <w:basedOn w:val="Normal"/>
    <w:next w:val="Normal"/>
    <w:autoRedefine/>
    <w:uiPriority w:val="39"/>
    <w:unhideWhenUsed/>
    <w:rsid w:val="00D64D63"/>
    <w:pPr>
      <w:spacing w:after="100"/>
      <w:ind w:left="440"/>
    </w:pPr>
  </w:style>
  <w:style w:type="character" w:styleId="CommentReference">
    <w:name w:val="annotation reference"/>
    <w:basedOn w:val="DefaultParagraphFont"/>
    <w:uiPriority w:val="99"/>
    <w:semiHidden/>
    <w:unhideWhenUsed/>
    <w:rsid w:val="00004D1B"/>
    <w:rPr>
      <w:sz w:val="16"/>
      <w:szCs w:val="16"/>
    </w:rPr>
  </w:style>
  <w:style w:type="paragraph" w:styleId="CommentText">
    <w:name w:val="annotation text"/>
    <w:basedOn w:val="Normal"/>
    <w:link w:val="CommentTextChar"/>
    <w:uiPriority w:val="99"/>
    <w:semiHidden/>
    <w:unhideWhenUsed/>
    <w:rsid w:val="00004D1B"/>
    <w:rPr>
      <w:sz w:val="20"/>
      <w:szCs w:val="20"/>
    </w:rPr>
  </w:style>
  <w:style w:type="character" w:customStyle="1" w:styleId="CommentTextChar">
    <w:name w:val="Comment Text Char"/>
    <w:basedOn w:val="DefaultParagraphFont"/>
    <w:link w:val="CommentText"/>
    <w:uiPriority w:val="99"/>
    <w:semiHidden/>
    <w:rsid w:val="00004D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4D1B"/>
    <w:rPr>
      <w:b/>
      <w:bCs/>
    </w:rPr>
  </w:style>
  <w:style w:type="character" w:customStyle="1" w:styleId="CommentSubjectChar">
    <w:name w:val="Comment Subject Char"/>
    <w:basedOn w:val="CommentTextChar"/>
    <w:link w:val="CommentSubject"/>
    <w:uiPriority w:val="99"/>
    <w:semiHidden/>
    <w:rsid w:val="00004D1B"/>
    <w:rPr>
      <w:rFonts w:ascii="Arial" w:hAnsi="Arial"/>
      <w:b/>
      <w:bCs/>
      <w:sz w:val="20"/>
      <w:szCs w:val="20"/>
    </w:rPr>
  </w:style>
  <w:style w:type="paragraph" w:styleId="Revision">
    <w:name w:val="Revision"/>
    <w:hidden/>
    <w:uiPriority w:val="99"/>
    <w:semiHidden/>
    <w:rsid w:val="006B4A4B"/>
    <w:pPr>
      <w:spacing w:after="0" w:line="240" w:lineRule="auto"/>
    </w:pPr>
    <w:rPr>
      <w:rFonts w:ascii="Arial" w:hAnsi="Arial"/>
    </w:rPr>
  </w:style>
  <w:style w:type="table" w:styleId="TableGrid">
    <w:name w:val="Table Grid"/>
    <w:basedOn w:val="TableNormal"/>
    <w:uiPriority w:val="59"/>
    <w:rsid w:val="00D7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7D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103">
      <w:bodyDiv w:val="1"/>
      <w:marLeft w:val="0"/>
      <w:marRight w:val="0"/>
      <w:marTop w:val="0"/>
      <w:marBottom w:val="0"/>
      <w:divBdr>
        <w:top w:val="none" w:sz="0" w:space="0" w:color="auto"/>
        <w:left w:val="none" w:sz="0" w:space="0" w:color="auto"/>
        <w:bottom w:val="none" w:sz="0" w:space="0" w:color="auto"/>
        <w:right w:val="none" w:sz="0" w:space="0" w:color="auto"/>
      </w:divBdr>
    </w:div>
    <w:div w:id="4407086">
      <w:bodyDiv w:val="1"/>
      <w:marLeft w:val="0"/>
      <w:marRight w:val="0"/>
      <w:marTop w:val="0"/>
      <w:marBottom w:val="0"/>
      <w:divBdr>
        <w:top w:val="none" w:sz="0" w:space="0" w:color="auto"/>
        <w:left w:val="none" w:sz="0" w:space="0" w:color="auto"/>
        <w:bottom w:val="none" w:sz="0" w:space="0" w:color="auto"/>
        <w:right w:val="none" w:sz="0" w:space="0" w:color="auto"/>
      </w:divBdr>
    </w:div>
    <w:div w:id="5911913">
      <w:bodyDiv w:val="1"/>
      <w:marLeft w:val="0"/>
      <w:marRight w:val="0"/>
      <w:marTop w:val="0"/>
      <w:marBottom w:val="0"/>
      <w:divBdr>
        <w:top w:val="none" w:sz="0" w:space="0" w:color="auto"/>
        <w:left w:val="none" w:sz="0" w:space="0" w:color="auto"/>
        <w:bottom w:val="none" w:sz="0" w:space="0" w:color="auto"/>
        <w:right w:val="none" w:sz="0" w:space="0" w:color="auto"/>
      </w:divBdr>
    </w:div>
    <w:div w:id="10767525">
      <w:bodyDiv w:val="1"/>
      <w:marLeft w:val="0"/>
      <w:marRight w:val="0"/>
      <w:marTop w:val="0"/>
      <w:marBottom w:val="0"/>
      <w:divBdr>
        <w:top w:val="none" w:sz="0" w:space="0" w:color="auto"/>
        <w:left w:val="none" w:sz="0" w:space="0" w:color="auto"/>
        <w:bottom w:val="none" w:sz="0" w:space="0" w:color="auto"/>
        <w:right w:val="none" w:sz="0" w:space="0" w:color="auto"/>
      </w:divBdr>
    </w:div>
    <w:div w:id="11346834">
      <w:bodyDiv w:val="1"/>
      <w:marLeft w:val="0"/>
      <w:marRight w:val="0"/>
      <w:marTop w:val="0"/>
      <w:marBottom w:val="0"/>
      <w:divBdr>
        <w:top w:val="none" w:sz="0" w:space="0" w:color="auto"/>
        <w:left w:val="none" w:sz="0" w:space="0" w:color="auto"/>
        <w:bottom w:val="none" w:sz="0" w:space="0" w:color="auto"/>
        <w:right w:val="none" w:sz="0" w:space="0" w:color="auto"/>
      </w:divBdr>
    </w:div>
    <w:div w:id="13962943">
      <w:bodyDiv w:val="1"/>
      <w:marLeft w:val="0"/>
      <w:marRight w:val="0"/>
      <w:marTop w:val="0"/>
      <w:marBottom w:val="0"/>
      <w:divBdr>
        <w:top w:val="none" w:sz="0" w:space="0" w:color="auto"/>
        <w:left w:val="none" w:sz="0" w:space="0" w:color="auto"/>
        <w:bottom w:val="none" w:sz="0" w:space="0" w:color="auto"/>
        <w:right w:val="none" w:sz="0" w:space="0" w:color="auto"/>
      </w:divBdr>
    </w:div>
    <w:div w:id="36205553">
      <w:bodyDiv w:val="1"/>
      <w:marLeft w:val="0"/>
      <w:marRight w:val="0"/>
      <w:marTop w:val="0"/>
      <w:marBottom w:val="0"/>
      <w:divBdr>
        <w:top w:val="none" w:sz="0" w:space="0" w:color="auto"/>
        <w:left w:val="none" w:sz="0" w:space="0" w:color="auto"/>
        <w:bottom w:val="none" w:sz="0" w:space="0" w:color="auto"/>
        <w:right w:val="none" w:sz="0" w:space="0" w:color="auto"/>
      </w:divBdr>
    </w:div>
    <w:div w:id="52044416">
      <w:bodyDiv w:val="1"/>
      <w:marLeft w:val="0"/>
      <w:marRight w:val="0"/>
      <w:marTop w:val="0"/>
      <w:marBottom w:val="0"/>
      <w:divBdr>
        <w:top w:val="none" w:sz="0" w:space="0" w:color="auto"/>
        <w:left w:val="none" w:sz="0" w:space="0" w:color="auto"/>
        <w:bottom w:val="none" w:sz="0" w:space="0" w:color="auto"/>
        <w:right w:val="none" w:sz="0" w:space="0" w:color="auto"/>
      </w:divBdr>
    </w:div>
    <w:div w:id="53626050">
      <w:bodyDiv w:val="1"/>
      <w:marLeft w:val="0"/>
      <w:marRight w:val="0"/>
      <w:marTop w:val="0"/>
      <w:marBottom w:val="0"/>
      <w:divBdr>
        <w:top w:val="none" w:sz="0" w:space="0" w:color="auto"/>
        <w:left w:val="none" w:sz="0" w:space="0" w:color="auto"/>
        <w:bottom w:val="none" w:sz="0" w:space="0" w:color="auto"/>
        <w:right w:val="none" w:sz="0" w:space="0" w:color="auto"/>
      </w:divBdr>
    </w:div>
    <w:div w:id="72044428">
      <w:bodyDiv w:val="1"/>
      <w:marLeft w:val="0"/>
      <w:marRight w:val="0"/>
      <w:marTop w:val="0"/>
      <w:marBottom w:val="0"/>
      <w:divBdr>
        <w:top w:val="none" w:sz="0" w:space="0" w:color="auto"/>
        <w:left w:val="none" w:sz="0" w:space="0" w:color="auto"/>
        <w:bottom w:val="none" w:sz="0" w:space="0" w:color="auto"/>
        <w:right w:val="none" w:sz="0" w:space="0" w:color="auto"/>
      </w:divBdr>
    </w:div>
    <w:div w:id="72045934">
      <w:bodyDiv w:val="1"/>
      <w:marLeft w:val="0"/>
      <w:marRight w:val="0"/>
      <w:marTop w:val="0"/>
      <w:marBottom w:val="0"/>
      <w:divBdr>
        <w:top w:val="none" w:sz="0" w:space="0" w:color="auto"/>
        <w:left w:val="none" w:sz="0" w:space="0" w:color="auto"/>
        <w:bottom w:val="none" w:sz="0" w:space="0" w:color="auto"/>
        <w:right w:val="none" w:sz="0" w:space="0" w:color="auto"/>
      </w:divBdr>
    </w:div>
    <w:div w:id="82070993">
      <w:bodyDiv w:val="1"/>
      <w:marLeft w:val="0"/>
      <w:marRight w:val="0"/>
      <w:marTop w:val="0"/>
      <w:marBottom w:val="0"/>
      <w:divBdr>
        <w:top w:val="none" w:sz="0" w:space="0" w:color="auto"/>
        <w:left w:val="none" w:sz="0" w:space="0" w:color="auto"/>
        <w:bottom w:val="none" w:sz="0" w:space="0" w:color="auto"/>
        <w:right w:val="none" w:sz="0" w:space="0" w:color="auto"/>
      </w:divBdr>
    </w:div>
    <w:div w:id="90439838">
      <w:bodyDiv w:val="1"/>
      <w:marLeft w:val="0"/>
      <w:marRight w:val="0"/>
      <w:marTop w:val="0"/>
      <w:marBottom w:val="0"/>
      <w:divBdr>
        <w:top w:val="none" w:sz="0" w:space="0" w:color="auto"/>
        <w:left w:val="none" w:sz="0" w:space="0" w:color="auto"/>
        <w:bottom w:val="none" w:sz="0" w:space="0" w:color="auto"/>
        <w:right w:val="none" w:sz="0" w:space="0" w:color="auto"/>
      </w:divBdr>
    </w:div>
    <w:div w:id="113140413">
      <w:bodyDiv w:val="1"/>
      <w:marLeft w:val="0"/>
      <w:marRight w:val="0"/>
      <w:marTop w:val="0"/>
      <w:marBottom w:val="0"/>
      <w:divBdr>
        <w:top w:val="none" w:sz="0" w:space="0" w:color="auto"/>
        <w:left w:val="none" w:sz="0" w:space="0" w:color="auto"/>
        <w:bottom w:val="none" w:sz="0" w:space="0" w:color="auto"/>
        <w:right w:val="none" w:sz="0" w:space="0" w:color="auto"/>
      </w:divBdr>
    </w:div>
    <w:div w:id="115834131">
      <w:bodyDiv w:val="1"/>
      <w:marLeft w:val="0"/>
      <w:marRight w:val="0"/>
      <w:marTop w:val="0"/>
      <w:marBottom w:val="0"/>
      <w:divBdr>
        <w:top w:val="none" w:sz="0" w:space="0" w:color="auto"/>
        <w:left w:val="none" w:sz="0" w:space="0" w:color="auto"/>
        <w:bottom w:val="none" w:sz="0" w:space="0" w:color="auto"/>
        <w:right w:val="none" w:sz="0" w:space="0" w:color="auto"/>
      </w:divBdr>
    </w:div>
    <w:div w:id="126167419">
      <w:bodyDiv w:val="1"/>
      <w:marLeft w:val="0"/>
      <w:marRight w:val="0"/>
      <w:marTop w:val="0"/>
      <w:marBottom w:val="0"/>
      <w:divBdr>
        <w:top w:val="none" w:sz="0" w:space="0" w:color="auto"/>
        <w:left w:val="none" w:sz="0" w:space="0" w:color="auto"/>
        <w:bottom w:val="none" w:sz="0" w:space="0" w:color="auto"/>
        <w:right w:val="none" w:sz="0" w:space="0" w:color="auto"/>
      </w:divBdr>
    </w:div>
    <w:div w:id="141241116">
      <w:bodyDiv w:val="1"/>
      <w:marLeft w:val="0"/>
      <w:marRight w:val="0"/>
      <w:marTop w:val="0"/>
      <w:marBottom w:val="0"/>
      <w:divBdr>
        <w:top w:val="none" w:sz="0" w:space="0" w:color="auto"/>
        <w:left w:val="none" w:sz="0" w:space="0" w:color="auto"/>
        <w:bottom w:val="none" w:sz="0" w:space="0" w:color="auto"/>
        <w:right w:val="none" w:sz="0" w:space="0" w:color="auto"/>
      </w:divBdr>
    </w:div>
    <w:div w:id="142280609">
      <w:bodyDiv w:val="1"/>
      <w:marLeft w:val="0"/>
      <w:marRight w:val="0"/>
      <w:marTop w:val="0"/>
      <w:marBottom w:val="0"/>
      <w:divBdr>
        <w:top w:val="none" w:sz="0" w:space="0" w:color="auto"/>
        <w:left w:val="none" w:sz="0" w:space="0" w:color="auto"/>
        <w:bottom w:val="none" w:sz="0" w:space="0" w:color="auto"/>
        <w:right w:val="none" w:sz="0" w:space="0" w:color="auto"/>
      </w:divBdr>
    </w:div>
    <w:div w:id="155537384">
      <w:bodyDiv w:val="1"/>
      <w:marLeft w:val="0"/>
      <w:marRight w:val="0"/>
      <w:marTop w:val="0"/>
      <w:marBottom w:val="0"/>
      <w:divBdr>
        <w:top w:val="none" w:sz="0" w:space="0" w:color="auto"/>
        <w:left w:val="none" w:sz="0" w:space="0" w:color="auto"/>
        <w:bottom w:val="none" w:sz="0" w:space="0" w:color="auto"/>
        <w:right w:val="none" w:sz="0" w:space="0" w:color="auto"/>
      </w:divBdr>
    </w:div>
    <w:div w:id="155876274">
      <w:bodyDiv w:val="1"/>
      <w:marLeft w:val="0"/>
      <w:marRight w:val="0"/>
      <w:marTop w:val="0"/>
      <w:marBottom w:val="0"/>
      <w:divBdr>
        <w:top w:val="none" w:sz="0" w:space="0" w:color="auto"/>
        <w:left w:val="none" w:sz="0" w:space="0" w:color="auto"/>
        <w:bottom w:val="none" w:sz="0" w:space="0" w:color="auto"/>
        <w:right w:val="none" w:sz="0" w:space="0" w:color="auto"/>
      </w:divBdr>
    </w:div>
    <w:div w:id="165563449">
      <w:bodyDiv w:val="1"/>
      <w:marLeft w:val="0"/>
      <w:marRight w:val="0"/>
      <w:marTop w:val="0"/>
      <w:marBottom w:val="0"/>
      <w:divBdr>
        <w:top w:val="none" w:sz="0" w:space="0" w:color="auto"/>
        <w:left w:val="none" w:sz="0" w:space="0" w:color="auto"/>
        <w:bottom w:val="none" w:sz="0" w:space="0" w:color="auto"/>
        <w:right w:val="none" w:sz="0" w:space="0" w:color="auto"/>
      </w:divBdr>
    </w:div>
    <w:div w:id="184252944">
      <w:bodyDiv w:val="1"/>
      <w:marLeft w:val="0"/>
      <w:marRight w:val="0"/>
      <w:marTop w:val="0"/>
      <w:marBottom w:val="0"/>
      <w:divBdr>
        <w:top w:val="none" w:sz="0" w:space="0" w:color="auto"/>
        <w:left w:val="none" w:sz="0" w:space="0" w:color="auto"/>
        <w:bottom w:val="none" w:sz="0" w:space="0" w:color="auto"/>
        <w:right w:val="none" w:sz="0" w:space="0" w:color="auto"/>
      </w:divBdr>
    </w:div>
    <w:div w:id="190529948">
      <w:bodyDiv w:val="1"/>
      <w:marLeft w:val="0"/>
      <w:marRight w:val="0"/>
      <w:marTop w:val="0"/>
      <w:marBottom w:val="0"/>
      <w:divBdr>
        <w:top w:val="none" w:sz="0" w:space="0" w:color="auto"/>
        <w:left w:val="none" w:sz="0" w:space="0" w:color="auto"/>
        <w:bottom w:val="none" w:sz="0" w:space="0" w:color="auto"/>
        <w:right w:val="none" w:sz="0" w:space="0" w:color="auto"/>
      </w:divBdr>
    </w:div>
    <w:div w:id="195041245">
      <w:bodyDiv w:val="1"/>
      <w:marLeft w:val="0"/>
      <w:marRight w:val="0"/>
      <w:marTop w:val="0"/>
      <w:marBottom w:val="0"/>
      <w:divBdr>
        <w:top w:val="none" w:sz="0" w:space="0" w:color="auto"/>
        <w:left w:val="none" w:sz="0" w:space="0" w:color="auto"/>
        <w:bottom w:val="none" w:sz="0" w:space="0" w:color="auto"/>
        <w:right w:val="none" w:sz="0" w:space="0" w:color="auto"/>
      </w:divBdr>
    </w:div>
    <w:div w:id="195314028">
      <w:bodyDiv w:val="1"/>
      <w:marLeft w:val="0"/>
      <w:marRight w:val="0"/>
      <w:marTop w:val="0"/>
      <w:marBottom w:val="0"/>
      <w:divBdr>
        <w:top w:val="none" w:sz="0" w:space="0" w:color="auto"/>
        <w:left w:val="none" w:sz="0" w:space="0" w:color="auto"/>
        <w:bottom w:val="none" w:sz="0" w:space="0" w:color="auto"/>
        <w:right w:val="none" w:sz="0" w:space="0" w:color="auto"/>
      </w:divBdr>
    </w:div>
    <w:div w:id="199169949">
      <w:bodyDiv w:val="1"/>
      <w:marLeft w:val="0"/>
      <w:marRight w:val="0"/>
      <w:marTop w:val="0"/>
      <w:marBottom w:val="0"/>
      <w:divBdr>
        <w:top w:val="none" w:sz="0" w:space="0" w:color="auto"/>
        <w:left w:val="none" w:sz="0" w:space="0" w:color="auto"/>
        <w:bottom w:val="none" w:sz="0" w:space="0" w:color="auto"/>
        <w:right w:val="none" w:sz="0" w:space="0" w:color="auto"/>
      </w:divBdr>
    </w:div>
    <w:div w:id="200675069">
      <w:bodyDiv w:val="1"/>
      <w:marLeft w:val="0"/>
      <w:marRight w:val="0"/>
      <w:marTop w:val="0"/>
      <w:marBottom w:val="0"/>
      <w:divBdr>
        <w:top w:val="none" w:sz="0" w:space="0" w:color="auto"/>
        <w:left w:val="none" w:sz="0" w:space="0" w:color="auto"/>
        <w:bottom w:val="none" w:sz="0" w:space="0" w:color="auto"/>
        <w:right w:val="none" w:sz="0" w:space="0" w:color="auto"/>
      </w:divBdr>
    </w:div>
    <w:div w:id="202329192">
      <w:bodyDiv w:val="1"/>
      <w:marLeft w:val="0"/>
      <w:marRight w:val="0"/>
      <w:marTop w:val="0"/>
      <w:marBottom w:val="0"/>
      <w:divBdr>
        <w:top w:val="none" w:sz="0" w:space="0" w:color="auto"/>
        <w:left w:val="none" w:sz="0" w:space="0" w:color="auto"/>
        <w:bottom w:val="none" w:sz="0" w:space="0" w:color="auto"/>
        <w:right w:val="none" w:sz="0" w:space="0" w:color="auto"/>
      </w:divBdr>
    </w:div>
    <w:div w:id="206336324">
      <w:bodyDiv w:val="1"/>
      <w:marLeft w:val="0"/>
      <w:marRight w:val="0"/>
      <w:marTop w:val="0"/>
      <w:marBottom w:val="0"/>
      <w:divBdr>
        <w:top w:val="none" w:sz="0" w:space="0" w:color="auto"/>
        <w:left w:val="none" w:sz="0" w:space="0" w:color="auto"/>
        <w:bottom w:val="none" w:sz="0" w:space="0" w:color="auto"/>
        <w:right w:val="none" w:sz="0" w:space="0" w:color="auto"/>
      </w:divBdr>
    </w:div>
    <w:div w:id="213351697">
      <w:bodyDiv w:val="1"/>
      <w:marLeft w:val="0"/>
      <w:marRight w:val="0"/>
      <w:marTop w:val="0"/>
      <w:marBottom w:val="0"/>
      <w:divBdr>
        <w:top w:val="none" w:sz="0" w:space="0" w:color="auto"/>
        <w:left w:val="none" w:sz="0" w:space="0" w:color="auto"/>
        <w:bottom w:val="none" w:sz="0" w:space="0" w:color="auto"/>
        <w:right w:val="none" w:sz="0" w:space="0" w:color="auto"/>
      </w:divBdr>
    </w:div>
    <w:div w:id="217475627">
      <w:bodyDiv w:val="1"/>
      <w:marLeft w:val="0"/>
      <w:marRight w:val="0"/>
      <w:marTop w:val="0"/>
      <w:marBottom w:val="0"/>
      <w:divBdr>
        <w:top w:val="none" w:sz="0" w:space="0" w:color="auto"/>
        <w:left w:val="none" w:sz="0" w:space="0" w:color="auto"/>
        <w:bottom w:val="none" w:sz="0" w:space="0" w:color="auto"/>
        <w:right w:val="none" w:sz="0" w:space="0" w:color="auto"/>
      </w:divBdr>
    </w:div>
    <w:div w:id="252519666">
      <w:bodyDiv w:val="1"/>
      <w:marLeft w:val="0"/>
      <w:marRight w:val="0"/>
      <w:marTop w:val="0"/>
      <w:marBottom w:val="0"/>
      <w:divBdr>
        <w:top w:val="none" w:sz="0" w:space="0" w:color="auto"/>
        <w:left w:val="none" w:sz="0" w:space="0" w:color="auto"/>
        <w:bottom w:val="none" w:sz="0" w:space="0" w:color="auto"/>
        <w:right w:val="none" w:sz="0" w:space="0" w:color="auto"/>
      </w:divBdr>
    </w:div>
    <w:div w:id="266472126">
      <w:bodyDiv w:val="1"/>
      <w:marLeft w:val="0"/>
      <w:marRight w:val="0"/>
      <w:marTop w:val="0"/>
      <w:marBottom w:val="0"/>
      <w:divBdr>
        <w:top w:val="none" w:sz="0" w:space="0" w:color="auto"/>
        <w:left w:val="none" w:sz="0" w:space="0" w:color="auto"/>
        <w:bottom w:val="none" w:sz="0" w:space="0" w:color="auto"/>
        <w:right w:val="none" w:sz="0" w:space="0" w:color="auto"/>
      </w:divBdr>
    </w:div>
    <w:div w:id="273907671">
      <w:bodyDiv w:val="1"/>
      <w:marLeft w:val="0"/>
      <w:marRight w:val="0"/>
      <w:marTop w:val="0"/>
      <w:marBottom w:val="0"/>
      <w:divBdr>
        <w:top w:val="none" w:sz="0" w:space="0" w:color="auto"/>
        <w:left w:val="none" w:sz="0" w:space="0" w:color="auto"/>
        <w:bottom w:val="none" w:sz="0" w:space="0" w:color="auto"/>
        <w:right w:val="none" w:sz="0" w:space="0" w:color="auto"/>
      </w:divBdr>
    </w:div>
    <w:div w:id="274793091">
      <w:bodyDiv w:val="1"/>
      <w:marLeft w:val="0"/>
      <w:marRight w:val="0"/>
      <w:marTop w:val="0"/>
      <w:marBottom w:val="0"/>
      <w:divBdr>
        <w:top w:val="none" w:sz="0" w:space="0" w:color="auto"/>
        <w:left w:val="none" w:sz="0" w:space="0" w:color="auto"/>
        <w:bottom w:val="none" w:sz="0" w:space="0" w:color="auto"/>
        <w:right w:val="none" w:sz="0" w:space="0" w:color="auto"/>
      </w:divBdr>
    </w:div>
    <w:div w:id="290287418">
      <w:bodyDiv w:val="1"/>
      <w:marLeft w:val="0"/>
      <w:marRight w:val="0"/>
      <w:marTop w:val="0"/>
      <w:marBottom w:val="0"/>
      <w:divBdr>
        <w:top w:val="none" w:sz="0" w:space="0" w:color="auto"/>
        <w:left w:val="none" w:sz="0" w:space="0" w:color="auto"/>
        <w:bottom w:val="none" w:sz="0" w:space="0" w:color="auto"/>
        <w:right w:val="none" w:sz="0" w:space="0" w:color="auto"/>
      </w:divBdr>
    </w:div>
    <w:div w:id="293367500">
      <w:bodyDiv w:val="1"/>
      <w:marLeft w:val="0"/>
      <w:marRight w:val="0"/>
      <w:marTop w:val="0"/>
      <w:marBottom w:val="0"/>
      <w:divBdr>
        <w:top w:val="none" w:sz="0" w:space="0" w:color="auto"/>
        <w:left w:val="none" w:sz="0" w:space="0" w:color="auto"/>
        <w:bottom w:val="none" w:sz="0" w:space="0" w:color="auto"/>
        <w:right w:val="none" w:sz="0" w:space="0" w:color="auto"/>
      </w:divBdr>
    </w:div>
    <w:div w:id="301081168">
      <w:bodyDiv w:val="1"/>
      <w:marLeft w:val="0"/>
      <w:marRight w:val="0"/>
      <w:marTop w:val="0"/>
      <w:marBottom w:val="0"/>
      <w:divBdr>
        <w:top w:val="none" w:sz="0" w:space="0" w:color="auto"/>
        <w:left w:val="none" w:sz="0" w:space="0" w:color="auto"/>
        <w:bottom w:val="none" w:sz="0" w:space="0" w:color="auto"/>
        <w:right w:val="none" w:sz="0" w:space="0" w:color="auto"/>
      </w:divBdr>
    </w:div>
    <w:div w:id="303658905">
      <w:bodyDiv w:val="1"/>
      <w:marLeft w:val="0"/>
      <w:marRight w:val="0"/>
      <w:marTop w:val="0"/>
      <w:marBottom w:val="0"/>
      <w:divBdr>
        <w:top w:val="none" w:sz="0" w:space="0" w:color="auto"/>
        <w:left w:val="none" w:sz="0" w:space="0" w:color="auto"/>
        <w:bottom w:val="none" w:sz="0" w:space="0" w:color="auto"/>
        <w:right w:val="none" w:sz="0" w:space="0" w:color="auto"/>
      </w:divBdr>
    </w:div>
    <w:div w:id="305011226">
      <w:bodyDiv w:val="1"/>
      <w:marLeft w:val="0"/>
      <w:marRight w:val="0"/>
      <w:marTop w:val="0"/>
      <w:marBottom w:val="0"/>
      <w:divBdr>
        <w:top w:val="none" w:sz="0" w:space="0" w:color="auto"/>
        <w:left w:val="none" w:sz="0" w:space="0" w:color="auto"/>
        <w:bottom w:val="none" w:sz="0" w:space="0" w:color="auto"/>
        <w:right w:val="none" w:sz="0" w:space="0" w:color="auto"/>
      </w:divBdr>
    </w:div>
    <w:div w:id="323238217">
      <w:bodyDiv w:val="1"/>
      <w:marLeft w:val="0"/>
      <w:marRight w:val="0"/>
      <w:marTop w:val="0"/>
      <w:marBottom w:val="0"/>
      <w:divBdr>
        <w:top w:val="none" w:sz="0" w:space="0" w:color="auto"/>
        <w:left w:val="none" w:sz="0" w:space="0" w:color="auto"/>
        <w:bottom w:val="none" w:sz="0" w:space="0" w:color="auto"/>
        <w:right w:val="none" w:sz="0" w:space="0" w:color="auto"/>
      </w:divBdr>
    </w:div>
    <w:div w:id="328799046">
      <w:bodyDiv w:val="1"/>
      <w:marLeft w:val="0"/>
      <w:marRight w:val="0"/>
      <w:marTop w:val="0"/>
      <w:marBottom w:val="0"/>
      <w:divBdr>
        <w:top w:val="none" w:sz="0" w:space="0" w:color="auto"/>
        <w:left w:val="none" w:sz="0" w:space="0" w:color="auto"/>
        <w:bottom w:val="none" w:sz="0" w:space="0" w:color="auto"/>
        <w:right w:val="none" w:sz="0" w:space="0" w:color="auto"/>
      </w:divBdr>
    </w:div>
    <w:div w:id="330329599">
      <w:bodyDiv w:val="1"/>
      <w:marLeft w:val="0"/>
      <w:marRight w:val="0"/>
      <w:marTop w:val="0"/>
      <w:marBottom w:val="0"/>
      <w:divBdr>
        <w:top w:val="none" w:sz="0" w:space="0" w:color="auto"/>
        <w:left w:val="none" w:sz="0" w:space="0" w:color="auto"/>
        <w:bottom w:val="none" w:sz="0" w:space="0" w:color="auto"/>
        <w:right w:val="none" w:sz="0" w:space="0" w:color="auto"/>
      </w:divBdr>
    </w:div>
    <w:div w:id="334579251">
      <w:bodyDiv w:val="1"/>
      <w:marLeft w:val="0"/>
      <w:marRight w:val="0"/>
      <w:marTop w:val="0"/>
      <w:marBottom w:val="0"/>
      <w:divBdr>
        <w:top w:val="none" w:sz="0" w:space="0" w:color="auto"/>
        <w:left w:val="none" w:sz="0" w:space="0" w:color="auto"/>
        <w:bottom w:val="none" w:sz="0" w:space="0" w:color="auto"/>
        <w:right w:val="none" w:sz="0" w:space="0" w:color="auto"/>
      </w:divBdr>
    </w:div>
    <w:div w:id="336660009">
      <w:bodyDiv w:val="1"/>
      <w:marLeft w:val="0"/>
      <w:marRight w:val="0"/>
      <w:marTop w:val="0"/>
      <w:marBottom w:val="0"/>
      <w:divBdr>
        <w:top w:val="none" w:sz="0" w:space="0" w:color="auto"/>
        <w:left w:val="none" w:sz="0" w:space="0" w:color="auto"/>
        <w:bottom w:val="none" w:sz="0" w:space="0" w:color="auto"/>
        <w:right w:val="none" w:sz="0" w:space="0" w:color="auto"/>
      </w:divBdr>
    </w:div>
    <w:div w:id="346952167">
      <w:bodyDiv w:val="1"/>
      <w:marLeft w:val="0"/>
      <w:marRight w:val="0"/>
      <w:marTop w:val="0"/>
      <w:marBottom w:val="0"/>
      <w:divBdr>
        <w:top w:val="none" w:sz="0" w:space="0" w:color="auto"/>
        <w:left w:val="none" w:sz="0" w:space="0" w:color="auto"/>
        <w:bottom w:val="none" w:sz="0" w:space="0" w:color="auto"/>
        <w:right w:val="none" w:sz="0" w:space="0" w:color="auto"/>
      </w:divBdr>
    </w:div>
    <w:div w:id="359935859">
      <w:bodyDiv w:val="1"/>
      <w:marLeft w:val="0"/>
      <w:marRight w:val="0"/>
      <w:marTop w:val="0"/>
      <w:marBottom w:val="0"/>
      <w:divBdr>
        <w:top w:val="none" w:sz="0" w:space="0" w:color="auto"/>
        <w:left w:val="none" w:sz="0" w:space="0" w:color="auto"/>
        <w:bottom w:val="none" w:sz="0" w:space="0" w:color="auto"/>
        <w:right w:val="none" w:sz="0" w:space="0" w:color="auto"/>
      </w:divBdr>
    </w:div>
    <w:div w:id="368840736">
      <w:bodyDiv w:val="1"/>
      <w:marLeft w:val="0"/>
      <w:marRight w:val="0"/>
      <w:marTop w:val="0"/>
      <w:marBottom w:val="0"/>
      <w:divBdr>
        <w:top w:val="none" w:sz="0" w:space="0" w:color="auto"/>
        <w:left w:val="none" w:sz="0" w:space="0" w:color="auto"/>
        <w:bottom w:val="none" w:sz="0" w:space="0" w:color="auto"/>
        <w:right w:val="none" w:sz="0" w:space="0" w:color="auto"/>
      </w:divBdr>
    </w:div>
    <w:div w:id="380134278">
      <w:bodyDiv w:val="1"/>
      <w:marLeft w:val="0"/>
      <w:marRight w:val="0"/>
      <w:marTop w:val="0"/>
      <w:marBottom w:val="0"/>
      <w:divBdr>
        <w:top w:val="none" w:sz="0" w:space="0" w:color="auto"/>
        <w:left w:val="none" w:sz="0" w:space="0" w:color="auto"/>
        <w:bottom w:val="none" w:sz="0" w:space="0" w:color="auto"/>
        <w:right w:val="none" w:sz="0" w:space="0" w:color="auto"/>
      </w:divBdr>
    </w:div>
    <w:div w:id="389034368">
      <w:bodyDiv w:val="1"/>
      <w:marLeft w:val="0"/>
      <w:marRight w:val="0"/>
      <w:marTop w:val="0"/>
      <w:marBottom w:val="0"/>
      <w:divBdr>
        <w:top w:val="none" w:sz="0" w:space="0" w:color="auto"/>
        <w:left w:val="none" w:sz="0" w:space="0" w:color="auto"/>
        <w:bottom w:val="none" w:sz="0" w:space="0" w:color="auto"/>
        <w:right w:val="none" w:sz="0" w:space="0" w:color="auto"/>
      </w:divBdr>
    </w:div>
    <w:div w:id="411128550">
      <w:bodyDiv w:val="1"/>
      <w:marLeft w:val="0"/>
      <w:marRight w:val="0"/>
      <w:marTop w:val="0"/>
      <w:marBottom w:val="0"/>
      <w:divBdr>
        <w:top w:val="none" w:sz="0" w:space="0" w:color="auto"/>
        <w:left w:val="none" w:sz="0" w:space="0" w:color="auto"/>
        <w:bottom w:val="none" w:sz="0" w:space="0" w:color="auto"/>
        <w:right w:val="none" w:sz="0" w:space="0" w:color="auto"/>
      </w:divBdr>
    </w:div>
    <w:div w:id="416438098">
      <w:bodyDiv w:val="1"/>
      <w:marLeft w:val="0"/>
      <w:marRight w:val="0"/>
      <w:marTop w:val="0"/>
      <w:marBottom w:val="0"/>
      <w:divBdr>
        <w:top w:val="none" w:sz="0" w:space="0" w:color="auto"/>
        <w:left w:val="none" w:sz="0" w:space="0" w:color="auto"/>
        <w:bottom w:val="none" w:sz="0" w:space="0" w:color="auto"/>
        <w:right w:val="none" w:sz="0" w:space="0" w:color="auto"/>
      </w:divBdr>
    </w:div>
    <w:div w:id="434600460">
      <w:bodyDiv w:val="1"/>
      <w:marLeft w:val="0"/>
      <w:marRight w:val="0"/>
      <w:marTop w:val="0"/>
      <w:marBottom w:val="0"/>
      <w:divBdr>
        <w:top w:val="none" w:sz="0" w:space="0" w:color="auto"/>
        <w:left w:val="none" w:sz="0" w:space="0" w:color="auto"/>
        <w:bottom w:val="none" w:sz="0" w:space="0" w:color="auto"/>
        <w:right w:val="none" w:sz="0" w:space="0" w:color="auto"/>
      </w:divBdr>
    </w:div>
    <w:div w:id="451289086">
      <w:bodyDiv w:val="1"/>
      <w:marLeft w:val="0"/>
      <w:marRight w:val="0"/>
      <w:marTop w:val="0"/>
      <w:marBottom w:val="0"/>
      <w:divBdr>
        <w:top w:val="none" w:sz="0" w:space="0" w:color="auto"/>
        <w:left w:val="none" w:sz="0" w:space="0" w:color="auto"/>
        <w:bottom w:val="none" w:sz="0" w:space="0" w:color="auto"/>
        <w:right w:val="none" w:sz="0" w:space="0" w:color="auto"/>
      </w:divBdr>
    </w:div>
    <w:div w:id="452403566">
      <w:bodyDiv w:val="1"/>
      <w:marLeft w:val="0"/>
      <w:marRight w:val="0"/>
      <w:marTop w:val="0"/>
      <w:marBottom w:val="0"/>
      <w:divBdr>
        <w:top w:val="none" w:sz="0" w:space="0" w:color="auto"/>
        <w:left w:val="none" w:sz="0" w:space="0" w:color="auto"/>
        <w:bottom w:val="none" w:sz="0" w:space="0" w:color="auto"/>
        <w:right w:val="none" w:sz="0" w:space="0" w:color="auto"/>
      </w:divBdr>
    </w:div>
    <w:div w:id="463617386">
      <w:bodyDiv w:val="1"/>
      <w:marLeft w:val="0"/>
      <w:marRight w:val="0"/>
      <w:marTop w:val="0"/>
      <w:marBottom w:val="0"/>
      <w:divBdr>
        <w:top w:val="none" w:sz="0" w:space="0" w:color="auto"/>
        <w:left w:val="none" w:sz="0" w:space="0" w:color="auto"/>
        <w:bottom w:val="none" w:sz="0" w:space="0" w:color="auto"/>
        <w:right w:val="none" w:sz="0" w:space="0" w:color="auto"/>
      </w:divBdr>
    </w:div>
    <w:div w:id="474376206">
      <w:bodyDiv w:val="1"/>
      <w:marLeft w:val="0"/>
      <w:marRight w:val="0"/>
      <w:marTop w:val="0"/>
      <w:marBottom w:val="0"/>
      <w:divBdr>
        <w:top w:val="none" w:sz="0" w:space="0" w:color="auto"/>
        <w:left w:val="none" w:sz="0" w:space="0" w:color="auto"/>
        <w:bottom w:val="none" w:sz="0" w:space="0" w:color="auto"/>
        <w:right w:val="none" w:sz="0" w:space="0" w:color="auto"/>
      </w:divBdr>
    </w:div>
    <w:div w:id="476337177">
      <w:bodyDiv w:val="1"/>
      <w:marLeft w:val="0"/>
      <w:marRight w:val="0"/>
      <w:marTop w:val="0"/>
      <w:marBottom w:val="0"/>
      <w:divBdr>
        <w:top w:val="none" w:sz="0" w:space="0" w:color="auto"/>
        <w:left w:val="none" w:sz="0" w:space="0" w:color="auto"/>
        <w:bottom w:val="none" w:sz="0" w:space="0" w:color="auto"/>
        <w:right w:val="none" w:sz="0" w:space="0" w:color="auto"/>
      </w:divBdr>
    </w:div>
    <w:div w:id="501355547">
      <w:bodyDiv w:val="1"/>
      <w:marLeft w:val="0"/>
      <w:marRight w:val="0"/>
      <w:marTop w:val="0"/>
      <w:marBottom w:val="0"/>
      <w:divBdr>
        <w:top w:val="none" w:sz="0" w:space="0" w:color="auto"/>
        <w:left w:val="none" w:sz="0" w:space="0" w:color="auto"/>
        <w:bottom w:val="none" w:sz="0" w:space="0" w:color="auto"/>
        <w:right w:val="none" w:sz="0" w:space="0" w:color="auto"/>
      </w:divBdr>
    </w:div>
    <w:div w:id="502400571">
      <w:bodyDiv w:val="1"/>
      <w:marLeft w:val="0"/>
      <w:marRight w:val="0"/>
      <w:marTop w:val="0"/>
      <w:marBottom w:val="0"/>
      <w:divBdr>
        <w:top w:val="none" w:sz="0" w:space="0" w:color="auto"/>
        <w:left w:val="none" w:sz="0" w:space="0" w:color="auto"/>
        <w:bottom w:val="none" w:sz="0" w:space="0" w:color="auto"/>
        <w:right w:val="none" w:sz="0" w:space="0" w:color="auto"/>
      </w:divBdr>
    </w:div>
    <w:div w:id="517039867">
      <w:bodyDiv w:val="1"/>
      <w:marLeft w:val="0"/>
      <w:marRight w:val="0"/>
      <w:marTop w:val="0"/>
      <w:marBottom w:val="0"/>
      <w:divBdr>
        <w:top w:val="none" w:sz="0" w:space="0" w:color="auto"/>
        <w:left w:val="none" w:sz="0" w:space="0" w:color="auto"/>
        <w:bottom w:val="none" w:sz="0" w:space="0" w:color="auto"/>
        <w:right w:val="none" w:sz="0" w:space="0" w:color="auto"/>
      </w:divBdr>
    </w:div>
    <w:div w:id="51727819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5386194">
      <w:bodyDiv w:val="1"/>
      <w:marLeft w:val="0"/>
      <w:marRight w:val="0"/>
      <w:marTop w:val="0"/>
      <w:marBottom w:val="0"/>
      <w:divBdr>
        <w:top w:val="none" w:sz="0" w:space="0" w:color="auto"/>
        <w:left w:val="none" w:sz="0" w:space="0" w:color="auto"/>
        <w:bottom w:val="none" w:sz="0" w:space="0" w:color="auto"/>
        <w:right w:val="none" w:sz="0" w:space="0" w:color="auto"/>
      </w:divBdr>
    </w:div>
    <w:div w:id="540091523">
      <w:bodyDiv w:val="1"/>
      <w:marLeft w:val="0"/>
      <w:marRight w:val="0"/>
      <w:marTop w:val="0"/>
      <w:marBottom w:val="0"/>
      <w:divBdr>
        <w:top w:val="none" w:sz="0" w:space="0" w:color="auto"/>
        <w:left w:val="none" w:sz="0" w:space="0" w:color="auto"/>
        <w:bottom w:val="none" w:sz="0" w:space="0" w:color="auto"/>
        <w:right w:val="none" w:sz="0" w:space="0" w:color="auto"/>
      </w:divBdr>
    </w:div>
    <w:div w:id="541752020">
      <w:bodyDiv w:val="1"/>
      <w:marLeft w:val="0"/>
      <w:marRight w:val="0"/>
      <w:marTop w:val="0"/>
      <w:marBottom w:val="0"/>
      <w:divBdr>
        <w:top w:val="none" w:sz="0" w:space="0" w:color="auto"/>
        <w:left w:val="none" w:sz="0" w:space="0" w:color="auto"/>
        <w:bottom w:val="none" w:sz="0" w:space="0" w:color="auto"/>
        <w:right w:val="none" w:sz="0" w:space="0" w:color="auto"/>
      </w:divBdr>
    </w:div>
    <w:div w:id="546843254">
      <w:bodyDiv w:val="1"/>
      <w:marLeft w:val="0"/>
      <w:marRight w:val="0"/>
      <w:marTop w:val="0"/>
      <w:marBottom w:val="0"/>
      <w:divBdr>
        <w:top w:val="none" w:sz="0" w:space="0" w:color="auto"/>
        <w:left w:val="none" w:sz="0" w:space="0" w:color="auto"/>
        <w:bottom w:val="none" w:sz="0" w:space="0" w:color="auto"/>
        <w:right w:val="none" w:sz="0" w:space="0" w:color="auto"/>
      </w:divBdr>
    </w:div>
    <w:div w:id="565578311">
      <w:bodyDiv w:val="1"/>
      <w:marLeft w:val="0"/>
      <w:marRight w:val="0"/>
      <w:marTop w:val="0"/>
      <w:marBottom w:val="0"/>
      <w:divBdr>
        <w:top w:val="none" w:sz="0" w:space="0" w:color="auto"/>
        <w:left w:val="none" w:sz="0" w:space="0" w:color="auto"/>
        <w:bottom w:val="none" w:sz="0" w:space="0" w:color="auto"/>
        <w:right w:val="none" w:sz="0" w:space="0" w:color="auto"/>
      </w:divBdr>
    </w:div>
    <w:div w:id="569197981">
      <w:bodyDiv w:val="1"/>
      <w:marLeft w:val="0"/>
      <w:marRight w:val="0"/>
      <w:marTop w:val="0"/>
      <w:marBottom w:val="0"/>
      <w:divBdr>
        <w:top w:val="none" w:sz="0" w:space="0" w:color="auto"/>
        <w:left w:val="none" w:sz="0" w:space="0" w:color="auto"/>
        <w:bottom w:val="none" w:sz="0" w:space="0" w:color="auto"/>
        <w:right w:val="none" w:sz="0" w:space="0" w:color="auto"/>
      </w:divBdr>
    </w:div>
    <w:div w:id="581139763">
      <w:bodyDiv w:val="1"/>
      <w:marLeft w:val="0"/>
      <w:marRight w:val="0"/>
      <w:marTop w:val="0"/>
      <w:marBottom w:val="0"/>
      <w:divBdr>
        <w:top w:val="none" w:sz="0" w:space="0" w:color="auto"/>
        <w:left w:val="none" w:sz="0" w:space="0" w:color="auto"/>
        <w:bottom w:val="none" w:sz="0" w:space="0" w:color="auto"/>
        <w:right w:val="none" w:sz="0" w:space="0" w:color="auto"/>
      </w:divBdr>
    </w:div>
    <w:div w:id="583533223">
      <w:bodyDiv w:val="1"/>
      <w:marLeft w:val="0"/>
      <w:marRight w:val="0"/>
      <w:marTop w:val="0"/>
      <w:marBottom w:val="0"/>
      <w:divBdr>
        <w:top w:val="none" w:sz="0" w:space="0" w:color="auto"/>
        <w:left w:val="none" w:sz="0" w:space="0" w:color="auto"/>
        <w:bottom w:val="none" w:sz="0" w:space="0" w:color="auto"/>
        <w:right w:val="none" w:sz="0" w:space="0" w:color="auto"/>
      </w:divBdr>
    </w:div>
    <w:div w:id="590091948">
      <w:bodyDiv w:val="1"/>
      <w:marLeft w:val="0"/>
      <w:marRight w:val="0"/>
      <w:marTop w:val="0"/>
      <w:marBottom w:val="0"/>
      <w:divBdr>
        <w:top w:val="none" w:sz="0" w:space="0" w:color="auto"/>
        <w:left w:val="none" w:sz="0" w:space="0" w:color="auto"/>
        <w:bottom w:val="none" w:sz="0" w:space="0" w:color="auto"/>
        <w:right w:val="none" w:sz="0" w:space="0" w:color="auto"/>
      </w:divBdr>
    </w:div>
    <w:div w:id="591204783">
      <w:bodyDiv w:val="1"/>
      <w:marLeft w:val="0"/>
      <w:marRight w:val="0"/>
      <w:marTop w:val="0"/>
      <w:marBottom w:val="0"/>
      <w:divBdr>
        <w:top w:val="none" w:sz="0" w:space="0" w:color="auto"/>
        <w:left w:val="none" w:sz="0" w:space="0" w:color="auto"/>
        <w:bottom w:val="none" w:sz="0" w:space="0" w:color="auto"/>
        <w:right w:val="none" w:sz="0" w:space="0" w:color="auto"/>
      </w:divBdr>
    </w:div>
    <w:div w:id="591282342">
      <w:bodyDiv w:val="1"/>
      <w:marLeft w:val="0"/>
      <w:marRight w:val="0"/>
      <w:marTop w:val="0"/>
      <w:marBottom w:val="0"/>
      <w:divBdr>
        <w:top w:val="none" w:sz="0" w:space="0" w:color="auto"/>
        <w:left w:val="none" w:sz="0" w:space="0" w:color="auto"/>
        <w:bottom w:val="none" w:sz="0" w:space="0" w:color="auto"/>
        <w:right w:val="none" w:sz="0" w:space="0" w:color="auto"/>
      </w:divBdr>
    </w:div>
    <w:div w:id="613442704">
      <w:bodyDiv w:val="1"/>
      <w:marLeft w:val="0"/>
      <w:marRight w:val="0"/>
      <w:marTop w:val="0"/>
      <w:marBottom w:val="0"/>
      <w:divBdr>
        <w:top w:val="none" w:sz="0" w:space="0" w:color="auto"/>
        <w:left w:val="none" w:sz="0" w:space="0" w:color="auto"/>
        <w:bottom w:val="none" w:sz="0" w:space="0" w:color="auto"/>
        <w:right w:val="none" w:sz="0" w:space="0" w:color="auto"/>
      </w:divBdr>
    </w:div>
    <w:div w:id="613442735">
      <w:bodyDiv w:val="1"/>
      <w:marLeft w:val="0"/>
      <w:marRight w:val="0"/>
      <w:marTop w:val="0"/>
      <w:marBottom w:val="0"/>
      <w:divBdr>
        <w:top w:val="none" w:sz="0" w:space="0" w:color="auto"/>
        <w:left w:val="none" w:sz="0" w:space="0" w:color="auto"/>
        <w:bottom w:val="none" w:sz="0" w:space="0" w:color="auto"/>
        <w:right w:val="none" w:sz="0" w:space="0" w:color="auto"/>
      </w:divBdr>
    </w:div>
    <w:div w:id="617105686">
      <w:bodyDiv w:val="1"/>
      <w:marLeft w:val="0"/>
      <w:marRight w:val="0"/>
      <w:marTop w:val="0"/>
      <w:marBottom w:val="0"/>
      <w:divBdr>
        <w:top w:val="none" w:sz="0" w:space="0" w:color="auto"/>
        <w:left w:val="none" w:sz="0" w:space="0" w:color="auto"/>
        <w:bottom w:val="none" w:sz="0" w:space="0" w:color="auto"/>
        <w:right w:val="none" w:sz="0" w:space="0" w:color="auto"/>
      </w:divBdr>
    </w:div>
    <w:div w:id="620723914">
      <w:bodyDiv w:val="1"/>
      <w:marLeft w:val="0"/>
      <w:marRight w:val="0"/>
      <w:marTop w:val="0"/>
      <w:marBottom w:val="0"/>
      <w:divBdr>
        <w:top w:val="none" w:sz="0" w:space="0" w:color="auto"/>
        <w:left w:val="none" w:sz="0" w:space="0" w:color="auto"/>
        <w:bottom w:val="none" w:sz="0" w:space="0" w:color="auto"/>
        <w:right w:val="none" w:sz="0" w:space="0" w:color="auto"/>
      </w:divBdr>
    </w:div>
    <w:div w:id="656543349">
      <w:bodyDiv w:val="1"/>
      <w:marLeft w:val="0"/>
      <w:marRight w:val="0"/>
      <w:marTop w:val="0"/>
      <w:marBottom w:val="0"/>
      <w:divBdr>
        <w:top w:val="none" w:sz="0" w:space="0" w:color="auto"/>
        <w:left w:val="none" w:sz="0" w:space="0" w:color="auto"/>
        <w:bottom w:val="none" w:sz="0" w:space="0" w:color="auto"/>
        <w:right w:val="none" w:sz="0" w:space="0" w:color="auto"/>
      </w:divBdr>
    </w:div>
    <w:div w:id="659968832">
      <w:bodyDiv w:val="1"/>
      <w:marLeft w:val="0"/>
      <w:marRight w:val="0"/>
      <w:marTop w:val="0"/>
      <w:marBottom w:val="0"/>
      <w:divBdr>
        <w:top w:val="none" w:sz="0" w:space="0" w:color="auto"/>
        <w:left w:val="none" w:sz="0" w:space="0" w:color="auto"/>
        <w:bottom w:val="none" w:sz="0" w:space="0" w:color="auto"/>
        <w:right w:val="none" w:sz="0" w:space="0" w:color="auto"/>
      </w:divBdr>
    </w:div>
    <w:div w:id="668408793">
      <w:bodyDiv w:val="1"/>
      <w:marLeft w:val="0"/>
      <w:marRight w:val="0"/>
      <w:marTop w:val="0"/>
      <w:marBottom w:val="0"/>
      <w:divBdr>
        <w:top w:val="none" w:sz="0" w:space="0" w:color="auto"/>
        <w:left w:val="none" w:sz="0" w:space="0" w:color="auto"/>
        <w:bottom w:val="none" w:sz="0" w:space="0" w:color="auto"/>
        <w:right w:val="none" w:sz="0" w:space="0" w:color="auto"/>
      </w:divBdr>
    </w:div>
    <w:div w:id="676806517">
      <w:bodyDiv w:val="1"/>
      <w:marLeft w:val="0"/>
      <w:marRight w:val="0"/>
      <w:marTop w:val="0"/>
      <w:marBottom w:val="0"/>
      <w:divBdr>
        <w:top w:val="none" w:sz="0" w:space="0" w:color="auto"/>
        <w:left w:val="none" w:sz="0" w:space="0" w:color="auto"/>
        <w:bottom w:val="none" w:sz="0" w:space="0" w:color="auto"/>
        <w:right w:val="none" w:sz="0" w:space="0" w:color="auto"/>
      </w:divBdr>
    </w:div>
    <w:div w:id="688874712">
      <w:bodyDiv w:val="1"/>
      <w:marLeft w:val="0"/>
      <w:marRight w:val="0"/>
      <w:marTop w:val="0"/>
      <w:marBottom w:val="0"/>
      <w:divBdr>
        <w:top w:val="none" w:sz="0" w:space="0" w:color="auto"/>
        <w:left w:val="none" w:sz="0" w:space="0" w:color="auto"/>
        <w:bottom w:val="none" w:sz="0" w:space="0" w:color="auto"/>
        <w:right w:val="none" w:sz="0" w:space="0" w:color="auto"/>
      </w:divBdr>
    </w:div>
    <w:div w:id="693386808">
      <w:bodyDiv w:val="1"/>
      <w:marLeft w:val="0"/>
      <w:marRight w:val="0"/>
      <w:marTop w:val="0"/>
      <w:marBottom w:val="0"/>
      <w:divBdr>
        <w:top w:val="none" w:sz="0" w:space="0" w:color="auto"/>
        <w:left w:val="none" w:sz="0" w:space="0" w:color="auto"/>
        <w:bottom w:val="none" w:sz="0" w:space="0" w:color="auto"/>
        <w:right w:val="none" w:sz="0" w:space="0" w:color="auto"/>
      </w:divBdr>
    </w:div>
    <w:div w:id="698552164">
      <w:bodyDiv w:val="1"/>
      <w:marLeft w:val="0"/>
      <w:marRight w:val="0"/>
      <w:marTop w:val="0"/>
      <w:marBottom w:val="0"/>
      <w:divBdr>
        <w:top w:val="none" w:sz="0" w:space="0" w:color="auto"/>
        <w:left w:val="none" w:sz="0" w:space="0" w:color="auto"/>
        <w:bottom w:val="none" w:sz="0" w:space="0" w:color="auto"/>
        <w:right w:val="none" w:sz="0" w:space="0" w:color="auto"/>
      </w:divBdr>
    </w:div>
    <w:div w:id="702435916">
      <w:bodyDiv w:val="1"/>
      <w:marLeft w:val="0"/>
      <w:marRight w:val="0"/>
      <w:marTop w:val="0"/>
      <w:marBottom w:val="0"/>
      <w:divBdr>
        <w:top w:val="none" w:sz="0" w:space="0" w:color="auto"/>
        <w:left w:val="none" w:sz="0" w:space="0" w:color="auto"/>
        <w:bottom w:val="none" w:sz="0" w:space="0" w:color="auto"/>
        <w:right w:val="none" w:sz="0" w:space="0" w:color="auto"/>
      </w:divBdr>
    </w:div>
    <w:div w:id="708535478">
      <w:bodyDiv w:val="1"/>
      <w:marLeft w:val="0"/>
      <w:marRight w:val="0"/>
      <w:marTop w:val="0"/>
      <w:marBottom w:val="0"/>
      <w:divBdr>
        <w:top w:val="none" w:sz="0" w:space="0" w:color="auto"/>
        <w:left w:val="none" w:sz="0" w:space="0" w:color="auto"/>
        <w:bottom w:val="none" w:sz="0" w:space="0" w:color="auto"/>
        <w:right w:val="none" w:sz="0" w:space="0" w:color="auto"/>
      </w:divBdr>
    </w:div>
    <w:div w:id="712777217">
      <w:bodyDiv w:val="1"/>
      <w:marLeft w:val="0"/>
      <w:marRight w:val="0"/>
      <w:marTop w:val="0"/>
      <w:marBottom w:val="0"/>
      <w:divBdr>
        <w:top w:val="none" w:sz="0" w:space="0" w:color="auto"/>
        <w:left w:val="none" w:sz="0" w:space="0" w:color="auto"/>
        <w:bottom w:val="none" w:sz="0" w:space="0" w:color="auto"/>
        <w:right w:val="none" w:sz="0" w:space="0" w:color="auto"/>
      </w:divBdr>
    </w:div>
    <w:div w:id="727144850">
      <w:bodyDiv w:val="1"/>
      <w:marLeft w:val="0"/>
      <w:marRight w:val="0"/>
      <w:marTop w:val="0"/>
      <w:marBottom w:val="0"/>
      <w:divBdr>
        <w:top w:val="none" w:sz="0" w:space="0" w:color="auto"/>
        <w:left w:val="none" w:sz="0" w:space="0" w:color="auto"/>
        <w:bottom w:val="none" w:sz="0" w:space="0" w:color="auto"/>
        <w:right w:val="none" w:sz="0" w:space="0" w:color="auto"/>
      </w:divBdr>
    </w:div>
    <w:div w:id="732587241">
      <w:bodyDiv w:val="1"/>
      <w:marLeft w:val="0"/>
      <w:marRight w:val="0"/>
      <w:marTop w:val="0"/>
      <w:marBottom w:val="0"/>
      <w:divBdr>
        <w:top w:val="none" w:sz="0" w:space="0" w:color="auto"/>
        <w:left w:val="none" w:sz="0" w:space="0" w:color="auto"/>
        <w:bottom w:val="none" w:sz="0" w:space="0" w:color="auto"/>
        <w:right w:val="none" w:sz="0" w:space="0" w:color="auto"/>
      </w:divBdr>
    </w:div>
    <w:div w:id="736438900">
      <w:bodyDiv w:val="1"/>
      <w:marLeft w:val="0"/>
      <w:marRight w:val="0"/>
      <w:marTop w:val="0"/>
      <w:marBottom w:val="0"/>
      <w:divBdr>
        <w:top w:val="none" w:sz="0" w:space="0" w:color="auto"/>
        <w:left w:val="none" w:sz="0" w:space="0" w:color="auto"/>
        <w:bottom w:val="none" w:sz="0" w:space="0" w:color="auto"/>
        <w:right w:val="none" w:sz="0" w:space="0" w:color="auto"/>
      </w:divBdr>
    </w:div>
    <w:div w:id="739253441">
      <w:bodyDiv w:val="1"/>
      <w:marLeft w:val="0"/>
      <w:marRight w:val="0"/>
      <w:marTop w:val="0"/>
      <w:marBottom w:val="0"/>
      <w:divBdr>
        <w:top w:val="none" w:sz="0" w:space="0" w:color="auto"/>
        <w:left w:val="none" w:sz="0" w:space="0" w:color="auto"/>
        <w:bottom w:val="none" w:sz="0" w:space="0" w:color="auto"/>
        <w:right w:val="none" w:sz="0" w:space="0" w:color="auto"/>
      </w:divBdr>
    </w:div>
    <w:div w:id="740447265">
      <w:bodyDiv w:val="1"/>
      <w:marLeft w:val="0"/>
      <w:marRight w:val="0"/>
      <w:marTop w:val="0"/>
      <w:marBottom w:val="0"/>
      <w:divBdr>
        <w:top w:val="none" w:sz="0" w:space="0" w:color="auto"/>
        <w:left w:val="none" w:sz="0" w:space="0" w:color="auto"/>
        <w:bottom w:val="none" w:sz="0" w:space="0" w:color="auto"/>
        <w:right w:val="none" w:sz="0" w:space="0" w:color="auto"/>
      </w:divBdr>
    </w:div>
    <w:div w:id="750588733">
      <w:bodyDiv w:val="1"/>
      <w:marLeft w:val="0"/>
      <w:marRight w:val="0"/>
      <w:marTop w:val="0"/>
      <w:marBottom w:val="0"/>
      <w:divBdr>
        <w:top w:val="none" w:sz="0" w:space="0" w:color="auto"/>
        <w:left w:val="none" w:sz="0" w:space="0" w:color="auto"/>
        <w:bottom w:val="none" w:sz="0" w:space="0" w:color="auto"/>
        <w:right w:val="none" w:sz="0" w:space="0" w:color="auto"/>
      </w:divBdr>
    </w:div>
    <w:div w:id="757795578">
      <w:bodyDiv w:val="1"/>
      <w:marLeft w:val="0"/>
      <w:marRight w:val="0"/>
      <w:marTop w:val="0"/>
      <w:marBottom w:val="0"/>
      <w:divBdr>
        <w:top w:val="none" w:sz="0" w:space="0" w:color="auto"/>
        <w:left w:val="none" w:sz="0" w:space="0" w:color="auto"/>
        <w:bottom w:val="none" w:sz="0" w:space="0" w:color="auto"/>
        <w:right w:val="none" w:sz="0" w:space="0" w:color="auto"/>
      </w:divBdr>
    </w:div>
    <w:div w:id="759568159">
      <w:bodyDiv w:val="1"/>
      <w:marLeft w:val="0"/>
      <w:marRight w:val="0"/>
      <w:marTop w:val="0"/>
      <w:marBottom w:val="0"/>
      <w:divBdr>
        <w:top w:val="none" w:sz="0" w:space="0" w:color="auto"/>
        <w:left w:val="none" w:sz="0" w:space="0" w:color="auto"/>
        <w:bottom w:val="none" w:sz="0" w:space="0" w:color="auto"/>
        <w:right w:val="none" w:sz="0" w:space="0" w:color="auto"/>
      </w:divBdr>
    </w:div>
    <w:div w:id="760177168">
      <w:bodyDiv w:val="1"/>
      <w:marLeft w:val="0"/>
      <w:marRight w:val="0"/>
      <w:marTop w:val="0"/>
      <w:marBottom w:val="0"/>
      <w:divBdr>
        <w:top w:val="none" w:sz="0" w:space="0" w:color="auto"/>
        <w:left w:val="none" w:sz="0" w:space="0" w:color="auto"/>
        <w:bottom w:val="none" w:sz="0" w:space="0" w:color="auto"/>
        <w:right w:val="none" w:sz="0" w:space="0" w:color="auto"/>
      </w:divBdr>
    </w:div>
    <w:div w:id="772700407">
      <w:bodyDiv w:val="1"/>
      <w:marLeft w:val="0"/>
      <w:marRight w:val="0"/>
      <w:marTop w:val="0"/>
      <w:marBottom w:val="0"/>
      <w:divBdr>
        <w:top w:val="none" w:sz="0" w:space="0" w:color="auto"/>
        <w:left w:val="none" w:sz="0" w:space="0" w:color="auto"/>
        <w:bottom w:val="none" w:sz="0" w:space="0" w:color="auto"/>
        <w:right w:val="none" w:sz="0" w:space="0" w:color="auto"/>
      </w:divBdr>
    </w:div>
    <w:div w:id="777868933">
      <w:bodyDiv w:val="1"/>
      <w:marLeft w:val="0"/>
      <w:marRight w:val="0"/>
      <w:marTop w:val="0"/>
      <w:marBottom w:val="0"/>
      <w:divBdr>
        <w:top w:val="none" w:sz="0" w:space="0" w:color="auto"/>
        <w:left w:val="none" w:sz="0" w:space="0" w:color="auto"/>
        <w:bottom w:val="none" w:sz="0" w:space="0" w:color="auto"/>
        <w:right w:val="none" w:sz="0" w:space="0" w:color="auto"/>
      </w:divBdr>
    </w:div>
    <w:div w:id="781800782">
      <w:bodyDiv w:val="1"/>
      <w:marLeft w:val="0"/>
      <w:marRight w:val="0"/>
      <w:marTop w:val="0"/>
      <w:marBottom w:val="0"/>
      <w:divBdr>
        <w:top w:val="none" w:sz="0" w:space="0" w:color="auto"/>
        <w:left w:val="none" w:sz="0" w:space="0" w:color="auto"/>
        <w:bottom w:val="none" w:sz="0" w:space="0" w:color="auto"/>
        <w:right w:val="none" w:sz="0" w:space="0" w:color="auto"/>
      </w:divBdr>
    </w:div>
    <w:div w:id="792092363">
      <w:bodyDiv w:val="1"/>
      <w:marLeft w:val="0"/>
      <w:marRight w:val="0"/>
      <w:marTop w:val="0"/>
      <w:marBottom w:val="0"/>
      <w:divBdr>
        <w:top w:val="none" w:sz="0" w:space="0" w:color="auto"/>
        <w:left w:val="none" w:sz="0" w:space="0" w:color="auto"/>
        <w:bottom w:val="none" w:sz="0" w:space="0" w:color="auto"/>
        <w:right w:val="none" w:sz="0" w:space="0" w:color="auto"/>
      </w:divBdr>
    </w:div>
    <w:div w:id="794328477">
      <w:bodyDiv w:val="1"/>
      <w:marLeft w:val="0"/>
      <w:marRight w:val="0"/>
      <w:marTop w:val="0"/>
      <w:marBottom w:val="0"/>
      <w:divBdr>
        <w:top w:val="none" w:sz="0" w:space="0" w:color="auto"/>
        <w:left w:val="none" w:sz="0" w:space="0" w:color="auto"/>
        <w:bottom w:val="none" w:sz="0" w:space="0" w:color="auto"/>
        <w:right w:val="none" w:sz="0" w:space="0" w:color="auto"/>
      </w:divBdr>
    </w:div>
    <w:div w:id="800659382">
      <w:bodyDiv w:val="1"/>
      <w:marLeft w:val="0"/>
      <w:marRight w:val="0"/>
      <w:marTop w:val="0"/>
      <w:marBottom w:val="0"/>
      <w:divBdr>
        <w:top w:val="none" w:sz="0" w:space="0" w:color="auto"/>
        <w:left w:val="none" w:sz="0" w:space="0" w:color="auto"/>
        <w:bottom w:val="none" w:sz="0" w:space="0" w:color="auto"/>
        <w:right w:val="none" w:sz="0" w:space="0" w:color="auto"/>
      </w:divBdr>
    </w:div>
    <w:div w:id="825129836">
      <w:bodyDiv w:val="1"/>
      <w:marLeft w:val="0"/>
      <w:marRight w:val="0"/>
      <w:marTop w:val="0"/>
      <w:marBottom w:val="0"/>
      <w:divBdr>
        <w:top w:val="none" w:sz="0" w:space="0" w:color="auto"/>
        <w:left w:val="none" w:sz="0" w:space="0" w:color="auto"/>
        <w:bottom w:val="none" w:sz="0" w:space="0" w:color="auto"/>
        <w:right w:val="none" w:sz="0" w:space="0" w:color="auto"/>
      </w:divBdr>
    </w:div>
    <w:div w:id="831413895">
      <w:bodyDiv w:val="1"/>
      <w:marLeft w:val="0"/>
      <w:marRight w:val="0"/>
      <w:marTop w:val="0"/>
      <w:marBottom w:val="0"/>
      <w:divBdr>
        <w:top w:val="none" w:sz="0" w:space="0" w:color="auto"/>
        <w:left w:val="none" w:sz="0" w:space="0" w:color="auto"/>
        <w:bottom w:val="none" w:sz="0" w:space="0" w:color="auto"/>
        <w:right w:val="none" w:sz="0" w:space="0" w:color="auto"/>
      </w:divBdr>
    </w:div>
    <w:div w:id="835342153">
      <w:bodyDiv w:val="1"/>
      <w:marLeft w:val="0"/>
      <w:marRight w:val="0"/>
      <w:marTop w:val="0"/>
      <w:marBottom w:val="0"/>
      <w:divBdr>
        <w:top w:val="none" w:sz="0" w:space="0" w:color="auto"/>
        <w:left w:val="none" w:sz="0" w:space="0" w:color="auto"/>
        <w:bottom w:val="none" w:sz="0" w:space="0" w:color="auto"/>
        <w:right w:val="none" w:sz="0" w:space="0" w:color="auto"/>
      </w:divBdr>
    </w:div>
    <w:div w:id="851606215">
      <w:bodyDiv w:val="1"/>
      <w:marLeft w:val="0"/>
      <w:marRight w:val="0"/>
      <w:marTop w:val="0"/>
      <w:marBottom w:val="0"/>
      <w:divBdr>
        <w:top w:val="none" w:sz="0" w:space="0" w:color="auto"/>
        <w:left w:val="none" w:sz="0" w:space="0" w:color="auto"/>
        <w:bottom w:val="none" w:sz="0" w:space="0" w:color="auto"/>
        <w:right w:val="none" w:sz="0" w:space="0" w:color="auto"/>
      </w:divBdr>
    </w:div>
    <w:div w:id="860708625">
      <w:bodyDiv w:val="1"/>
      <w:marLeft w:val="0"/>
      <w:marRight w:val="0"/>
      <w:marTop w:val="0"/>
      <w:marBottom w:val="0"/>
      <w:divBdr>
        <w:top w:val="none" w:sz="0" w:space="0" w:color="auto"/>
        <w:left w:val="none" w:sz="0" w:space="0" w:color="auto"/>
        <w:bottom w:val="none" w:sz="0" w:space="0" w:color="auto"/>
        <w:right w:val="none" w:sz="0" w:space="0" w:color="auto"/>
      </w:divBdr>
    </w:div>
    <w:div w:id="864102809">
      <w:bodyDiv w:val="1"/>
      <w:marLeft w:val="0"/>
      <w:marRight w:val="0"/>
      <w:marTop w:val="0"/>
      <w:marBottom w:val="0"/>
      <w:divBdr>
        <w:top w:val="none" w:sz="0" w:space="0" w:color="auto"/>
        <w:left w:val="none" w:sz="0" w:space="0" w:color="auto"/>
        <w:bottom w:val="none" w:sz="0" w:space="0" w:color="auto"/>
        <w:right w:val="none" w:sz="0" w:space="0" w:color="auto"/>
      </w:divBdr>
    </w:div>
    <w:div w:id="877085791">
      <w:bodyDiv w:val="1"/>
      <w:marLeft w:val="0"/>
      <w:marRight w:val="0"/>
      <w:marTop w:val="0"/>
      <w:marBottom w:val="0"/>
      <w:divBdr>
        <w:top w:val="none" w:sz="0" w:space="0" w:color="auto"/>
        <w:left w:val="none" w:sz="0" w:space="0" w:color="auto"/>
        <w:bottom w:val="none" w:sz="0" w:space="0" w:color="auto"/>
        <w:right w:val="none" w:sz="0" w:space="0" w:color="auto"/>
      </w:divBdr>
    </w:div>
    <w:div w:id="879055998">
      <w:bodyDiv w:val="1"/>
      <w:marLeft w:val="0"/>
      <w:marRight w:val="0"/>
      <w:marTop w:val="0"/>
      <w:marBottom w:val="0"/>
      <w:divBdr>
        <w:top w:val="none" w:sz="0" w:space="0" w:color="auto"/>
        <w:left w:val="none" w:sz="0" w:space="0" w:color="auto"/>
        <w:bottom w:val="none" w:sz="0" w:space="0" w:color="auto"/>
        <w:right w:val="none" w:sz="0" w:space="0" w:color="auto"/>
      </w:divBdr>
    </w:div>
    <w:div w:id="879321504">
      <w:bodyDiv w:val="1"/>
      <w:marLeft w:val="0"/>
      <w:marRight w:val="0"/>
      <w:marTop w:val="0"/>
      <w:marBottom w:val="0"/>
      <w:divBdr>
        <w:top w:val="none" w:sz="0" w:space="0" w:color="auto"/>
        <w:left w:val="none" w:sz="0" w:space="0" w:color="auto"/>
        <w:bottom w:val="none" w:sz="0" w:space="0" w:color="auto"/>
        <w:right w:val="none" w:sz="0" w:space="0" w:color="auto"/>
      </w:divBdr>
    </w:div>
    <w:div w:id="889221802">
      <w:bodyDiv w:val="1"/>
      <w:marLeft w:val="0"/>
      <w:marRight w:val="0"/>
      <w:marTop w:val="0"/>
      <w:marBottom w:val="0"/>
      <w:divBdr>
        <w:top w:val="none" w:sz="0" w:space="0" w:color="auto"/>
        <w:left w:val="none" w:sz="0" w:space="0" w:color="auto"/>
        <w:bottom w:val="none" w:sz="0" w:space="0" w:color="auto"/>
        <w:right w:val="none" w:sz="0" w:space="0" w:color="auto"/>
      </w:divBdr>
    </w:div>
    <w:div w:id="892471770">
      <w:bodyDiv w:val="1"/>
      <w:marLeft w:val="0"/>
      <w:marRight w:val="0"/>
      <w:marTop w:val="0"/>
      <w:marBottom w:val="0"/>
      <w:divBdr>
        <w:top w:val="none" w:sz="0" w:space="0" w:color="auto"/>
        <w:left w:val="none" w:sz="0" w:space="0" w:color="auto"/>
        <w:bottom w:val="none" w:sz="0" w:space="0" w:color="auto"/>
        <w:right w:val="none" w:sz="0" w:space="0" w:color="auto"/>
      </w:divBdr>
    </w:div>
    <w:div w:id="908269025">
      <w:bodyDiv w:val="1"/>
      <w:marLeft w:val="0"/>
      <w:marRight w:val="0"/>
      <w:marTop w:val="0"/>
      <w:marBottom w:val="0"/>
      <w:divBdr>
        <w:top w:val="none" w:sz="0" w:space="0" w:color="auto"/>
        <w:left w:val="none" w:sz="0" w:space="0" w:color="auto"/>
        <w:bottom w:val="none" w:sz="0" w:space="0" w:color="auto"/>
        <w:right w:val="none" w:sz="0" w:space="0" w:color="auto"/>
      </w:divBdr>
    </w:div>
    <w:div w:id="915869854">
      <w:bodyDiv w:val="1"/>
      <w:marLeft w:val="0"/>
      <w:marRight w:val="0"/>
      <w:marTop w:val="0"/>
      <w:marBottom w:val="0"/>
      <w:divBdr>
        <w:top w:val="none" w:sz="0" w:space="0" w:color="auto"/>
        <w:left w:val="none" w:sz="0" w:space="0" w:color="auto"/>
        <w:bottom w:val="none" w:sz="0" w:space="0" w:color="auto"/>
        <w:right w:val="none" w:sz="0" w:space="0" w:color="auto"/>
      </w:divBdr>
    </w:div>
    <w:div w:id="921330679">
      <w:bodyDiv w:val="1"/>
      <w:marLeft w:val="0"/>
      <w:marRight w:val="0"/>
      <w:marTop w:val="0"/>
      <w:marBottom w:val="0"/>
      <w:divBdr>
        <w:top w:val="none" w:sz="0" w:space="0" w:color="auto"/>
        <w:left w:val="none" w:sz="0" w:space="0" w:color="auto"/>
        <w:bottom w:val="none" w:sz="0" w:space="0" w:color="auto"/>
        <w:right w:val="none" w:sz="0" w:space="0" w:color="auto"/>
      </w:divBdr>
    </w:div>
    <w:div w:id="927351179">
      <w:bodyDiv w:val="1"/>
      <w:marLeft w:val="0"/>
      <w:marRight w:val="0"/>
      <w:marTop w:val="0"/>
      <w:marBottom w:val="0"/>
      <w:divBdr>
        <w:top w:val="none" w:sz="0" w:space="0" w:color="auto"/>
        <w:left w:val="none" w:sz="0" w:space="0" w:color="auto"/>
        <w:bottom w:val="none" w:sz="0" w:space="0" w:color="auto"/>
        <w:right w:val="none" w:sz="0" w:space="0" w:color="auto"/>
      </w:divBdr>
    </w:div>
    <w:div w:id="932857091">
      <w:bodyDiv w:val="1"/>
      <w:marLeft w:val="0"/>
      <w:marRight w:val="0"/>
      <w:marTop w:val="0"/>
      <w:marBottom w:val="0"/>
      <w:divBdr>
        <w:top w:val="none" w:sz="0" w:space="0" w:color="auto"/>
        <w:left w:val="none" w:sz="0" w:space="0" w:color="auto"/>
        <w:bottom w:val="none" w:sz="0" w:space="0" w:color="auto"/>
        <w:right w:val="none" w:sz="0" w:space="0" w:color="auto"/>
      </w:divBdr>
    </w:div>
    <w:div w:id="949510796">
      <w:bodyDiv w:val="1"/>
      <w:marLeft w:val="0"/>
      <w:marRight w:val="0"/>
      <w:marTop w:val="0"/>
      <w:marBottom w:val="0"/>
      <w:divBdr>
        <w:top w:val="none" w:sz="0" w:space="0" w:color="auto"/>
        <w:left w:val="none" w:sz="0" w:space="0" w:color="auto"/>
        <w:bottom w:val="none" w:sz="0" w:space="0" w:color="auto"/>
        <w:right w:val="none" w:sz="0" w:space="0" w:color="auto"/>
      </w:divBdr>
    </w:div>
    <w:div w:id="950741522">
      <w:bodyDiv w:val="1"/>
      <w:marLeft w:val="0"/>
      <w:marRight w:val="0"/>
      <w:marTop w:val="0"/>
      <w:marBottom w:val="0"/>
      <w:divBdr>
        <w:top w:val="none" w:sz="0" w:space="0" w:color="auto"/>
        <w:left w:val="none" w:sz="0" w:space="0" w:color="auto"/>
        <w:bottom w:val="none" w:sz="0" w:space="0" w:color="auto"/>
        <w:right w:val="none" w:sz="0" w:space="0" w:color="auto"/>
      </w:divBdr>
    </w:div>
    <w:div w:id="953944227">
      <w:bodyDiv w:val="1"/>
      <w:marLeft w:val="0"/>
      <w:marRight w:val="0"/>
      <w:marTop w:val="0"/>
      <w:marBottom w:val="0"/>
      <w:divBdr>
        <w:top w:val="none" w:sz="0" w:space="0" w:color="auto"/>
        <w:left w:val="none" w:sz="0" w:space="0" w:color="auto"/>
        <w:bottom w:val="none" w:sz="0" w:space="0" w:color="auto"/>
        <w:right w:val="none" w:sz="0" w:space="0" w:color="auto"/>
      </w:divBdr>
    </w:div>
    <w:div w:id="954139404">
      <w:bodyDiv w:val="1"/>
      <w:marLeft w:val="0"/>
      <w:marRight w:val="0"/>
      <w:marTop w:val="0"/>
      <w:marBottom w:val="0"/>
      <w:divBdr>
        <w:top w:val="none" w:sz="0" w:space="0" w:color="auto"/>
        <w:left w:val="none" w:sz="0" w:space="0" w:color="auto"/>
        <w:bottom w:val="none" w:sz="0" w:space="0" w:color="auto"/>
        <w:right w:val="none" w:sz="0" w:space="0" w:color="auto"/>
      </w:divBdr>
    </w:div>
    <w:div w:id="958606633">
      <w:bodyDiv w:val="1"/>
      <w:marLeft w:val="0"/>
      <w:marRight w:val="0"/>
      <w:marTop w:val="0"/>
      <w:marBottom w:val="0"/>
      <w:divBdr>
        <w:top w:val="none" w:sz="0" w:space="0" w:color="auto"/>
        <w:left w:val="none" w:sz="0" w:space="0" w:color="auto"/>
        <w:bottom w:val="none" w:sz="0" w:space="0" w:color="auto"/>
        <w:right w:val="none" w:sz="0" w:space="0" w:color="auto"/>
      </w:divBdr>
    </w:div>
    <w:div w:id="959608723">
      <w:bodyDiv w:val="1"/>
      <w:marLeft w:val="0"/>
      <w:marRight w:val="0"/>
      <w:marTop w:val="0"/>
      <w:marBottom w:val="0"/>
      <w:divBdr>
        <w:top w:val="none" w:sz="0" w:space="0" w:color="auto"/>
        <w:left w:val="none" w:sz="0" w:space="0" w:color="auto"/>
        <w:bottom w:val="none" w:sz="0" w:space="0" w:color="auto"/>
        <w:right w:val="none" w:sz="0" w:space="0" w:color="auto"/>
      </w:divBdr>
    </w:div>
    <w:div w:id="962224744">
      <w:bodyDiv w:val="1"/>
      <w:marLeft w:val="0"/>
      <w:marRight w:val="0"/>
      <w:marTop w:val="0"/>
      <w:marBottom w:val="0"/>
      <w:divBdr>
        <w:top w:val="none" w:sz="0" w:space="0" w:color="auto"/>
        <w:left w:val="none" w:sz="0" w:space="0" w:color="auto"/>
        <w:bottom w:val="none" w:sz="0" w:space="0" w:color="auto"/>
        <w:right w:val="none" w:sz="0" w:space="0" w:color="auto"/>
      </w:divBdr>
    </w:div>
    <w:div w:id="963778983">
      <w:bodyDiv w:val="1"/>
      <w:marLeft w:val="0"/>
      <w:marRight w:val="0"/>
      <w:marTop w:val="0"/>
      <w:marBottom w:val="0"/>
      <w:divBdr>
        <w:top w:val="none" w:sz="0" w:space="0" w:color="auto"/>
        <w:left w:val="none" w:sz="0" w:space="0" w:color="auto"/>
        <w:bottom w:val="none" w:sz="0" w:space="0" w:color="auto"/>
        <w:right w:val="none" w:sz="0" w:space="0" w:color="auto"/>
      </w:divBdr>
    </w:div>
    <w:div w:id="1004429489">
      <w:bodyDiv w:val="1"/>
      <w:marLeft w:val="0"/>
      <w:marRight w:val="0"/>
      <w:marTop w:val="0"/>
      <w:marBottom w:val="0"/>
      <w:divBdr>
        <w:top w:val="none" w:sz="0" w:space="0" w:color="auto"/>
        <w:left w:val="none" w:sz="0" w:space="0" w:color="auto"/>
        <w:bottom w:val="none" w:sz="0" w:space="0" w:color="auto"/>
        <w:right w:val="none" w:sz="0" w:space="0" w:color="auto"/>
      </w:divBdr>
    </w:div>
    <w:div w:id="1016661348">
      <w:bodyDiv w:val="1"/>
      <w:marLeft w:val="0"/>
      <w:marRight w:val="0"/>
      <w:marTop w:val="0"/>
      <w:marBottom w:val="0"/>
      <w:divBdr>
        <w:top w:val="none" w:sz="0" w:space="0" w:color="auto"/>
        <w:left w:val="none" w:sz="0" w:space="0" w:color="auto"/>
        <w:bottom w:val="none" w:sz="0" w:space="0" w:color="auto"/>
        <w:right w:val="none" w:sz="0" w:space="0" w:color="auto"/>
      </w:divBdr>
    </w:div>
    <w:div w:id="1021201898">
      <w:bodyDiv w:val="1"/>
      <w:marLeft w:val="0"/>
      <w:marRight w:val="0"/>
      <w:marTop w:val="0"/>
      <w:marBottom w:val="0"/>
      <w:divBdr>
        <w:top w:val="none" w:sz="0" w:space="0" w:color="auto"/>
        <w:left w:val="none" w:sz="0" w:space="0" w:color="auto"/>
        <w:bottom w:val="none" w:sz="0" w:space="0" w:color="auto"/>
        <w:right w:val="none" w:sz="0" w:space="0" w:color="auto"/>
      </w:divBdr>
    </w:div>
    <w:div w:id="1023435824">
      <w:bodyDiv w:val="1"/>
      <w:marLeft w:val="0"/>
      <w:marRight w:val="0"/>
      <w:marTop w:val="0"/>
      <w:marBottom w:val="0"/>
      <w:divBdr>
        <w:top w:val="none" w:sz="0" w:space="0" w:color="auto"/>
        <w:left w:val="none" w:sz="0" w:space="0" w:color="auto"/>
        <w:bottom w:val="none" w:sz="0" w:space="0" w:color="auto"/>
        <w:right w:val="none" w:sz="0" w:space="0" w:color="auto"/>
      </w:divBdr>
    </w:div>
    <w:div w:id="1027801888">
      <w:bodyDiv w:val="1"/>
      <w:marLeft w:val="0"/>
      <w:marRight w:val="0"/>
      <w:marTop w:val="0"/>
      <w:marBottom w:val="0"/>
      <w:divBdr>
        <w:top w:val="none" w:sz="0" w:space="0" w:color="auto"/>
        <w:left w:val="none" w:sz="0" w:space="0" w:color="auto"/>
        <w:bottom w:val="none" w:sz="0" w:space="0" w:color="auto"/>
        <w:right w:val="none" w:sz="0" w:space="0" w:color="auto"/>
      </w:divBdr>
    </w:div>
    <w:div w:id="1030956890">
      <w:bodyDiv w:val="1"/>
      <w:marLeft w:val="0"/>
      <w:marRight w:val="0"/>
      <w:marTop w:val="0"/>
      <w:marBottom w:val="0"/>
      <w:divBdr>
        <w:top w:val="none" w:sz="0" w:space="0" w:color="auto"/>
        <w:left w:val="none" w:sz="0" w:space="0" w:color="auto"/>
        <w:bottom w:val="none" w:sz="0" w:space="0" w:color="auto"/>
        <w:right w:val="none" w:sz="0" w:space="0" w:color="auto"/>
      </w:divBdr>
    </w:div>
    <w:div w:id="1035810914">
      <w:bodyDiv w:val="1"/>
      <w:marLeft w:val="0"/>
      <w:marRight w:val="0"/>
      <w:marTop w:val="0"/>
      <w:marBottom w:val="0"/>
      <w:divBdr>
        <w:top w:val="none" w:sz="0" w:space="0" w:color="auto"/>
        <w:left w:val="none" w:sz="0" w:space="0" w:color="auto"/>
        <w:bottom w:val="none" w:sz="0" w:space="0" w:color="auto"/>
        <w:right w:val="none" w:sz="0" w:space="0" w:color="auto"/>
      </w:divBdr>
    </w:div>
    <w:div w:id="1040933354">
      <w:bodyDiv w:val="1"/>
      <w:marLeft w:val="0"/>
      <w:marRight w:val="0"/>
      <w:marTop w:val="0"/>
      <w:marBottom w:val="0"/>
      <w:divBdr>
        <w:top w:val="none" w:sz="0" w:space="0" w:color="auto"/>
        <w:left w:val="none" w:sz="0" w:space="0" w:color="auto"/>
        <w:bottom w:val="none" w:sz="0" w:space="0" w:color="auto"/>
        <w:right w:val="none" w:sz="0" w:space="0" w:color="auto"/>
      </w:divBdr>
    </w:div>
    <w:div w:id="1042246804">
      <w:bodyDiv w:val="1"/>
      <w:marLeft w:val="0"/>
      <w:marRight w:val="0"/>
      <w:marTop w:val="0"/>
      <w:marBottom w:val="0"/>
      <w:divBdr>
        <w:top w:val="none" w:sz="0" w:space="0" w:color="auto"/>
        <w:left w:val="none" w:sz="0" w:space="0" w:color="auto"/>
        <w:bottom w:val="none" w:sz="0" w:space="0" w:color="auto"/>
        <w:right w:val="none" w:sz="0" w:space="0" w:color="auto"/>
      </w:divBdr>
    </w:div>
    <w:div w:id="1043167091">
      <w:bodyDiv w:val="1"/>
      <w:marLeft w:val="0"/>
      <w:marRight w:val="0"/>
      <w:marTop w:val="0"/>
      <w:marBottom w:val="0"/>
      <w:divBdr>
        <w:top w:val="none" w:sz="0" w:space="0" w:color="auto"/>
        <w:left w:val="none" w:sz="0" w:space="0" w:color="auto"/>
        <w:bottom w:val="none" w:sz="0" w:space="0" w:color="auto"/>
        <w:right w:val="none" w:sz="0" w:space="0" w:color="auto"/>
      </w:divBdr>
    </w:div>
    <w:div w:id="1051924489">
      <w:bodyDiv w:val="1"/>
      <w:marLeft w:val="0"/>
      <w:marRight w:val="0"/>
      <w:marTop w:val="0"/>
      <w:marBottom w:val="0"/>
      <w:divBdr>
        <w:top w:val="none" w:sz="0" w:space="0" w:color="auto"/>
        <w:left w:val="none" w:sz="0" w:space="0" w:color="auto"/>
        <w:bottom w:val="none" w:sz="0" w:space="0" w:color="auto"/>
        <w:right w:val="none" w:sz="0" w:space="0" w:color="auto"/>
      </w:divBdr>
    </w:div>
    <w:div w:id="1055274669">
      <w:bodyDiv w:val="1"/>
      <w:marLeft w:val="0"/>
      <w:marRight w:val="0"/>
      <w:marTop w:val="0"/>
      <w:marBottom w:val="0"/>
      <w:divBdr>
        <w:top w:val="none" w:sz="0" w:space="0" w:color="auto"/>
        <w:left w:val="none" w:sz="0" w:space="0" w:color="auto"/>
        <w:bottom w:val="none" w:sz="0" w:space="0" w:color="auto"/>
        <w:right w:val="none" w:sz="0" w:space="0" w:color="auto"/>
      </w:divBdr>
    </w:div>
    <w:div w:id="1058548218">
      <w:bodyDiv w:val="1"/>
      <w:marLeft w:val="0"/>
      <w:marRight w:val="0"/>
      <w:marTop w:val="0"/>
      <w:marBottom w:val="0"/>
      <w:divBdr>
        <w:top w:val="none" w:sz="0" w:space="0" w:color="auto"/>
        <w:left w:val="none" w:sz="0" w:space="0" w:color="auto"/>
        <w:bottom w:val="none" w:sz="0" w:space="0" w:color="auto"/>
        <w:right w:val="none" w:sz="0" w:space="0" w:color="auto"/>
      </w:divBdr>
    </w:div>
    <w:div w:id="1067916840">
      <w:bodyDiv w:val="1"/>
      <w:marLeft w:val="0"/>
      <w:marRight w:val="0"/>
      <w:marTop w:val="0"/>
      <w:marBottom w:val="0"/>
      <w:divBdr>
        <w:top w:val="none" w:sz="0" w:space="0" w:color="auto"/>
        <w:left w:val="none" w:sz="0" w:space="0" w:color="auto"/>
        <w:bottom w:val="none" w:sz="0" w:space="0" w:color="auto"/>
        <w:right w:val="none" w:sz="0" w:space="0" w:color="auto"/>
      </w:divBdr>
    </w:div>
    <w:div w:id="1069769705">
      <w:bodyDiv w:val="1"/>
      <w:marLeft w:val="0"/>
      <w:marRight w:val="0"/>
      <w:marTop w:val="0"/>
      <w:marBottom w:val="0"/>
      <w:divBdr>
        <w:top w:val="none" w:sz="0" w:space="0" w:color="auto"/>
        <w:left w:val="none" w:sz="0" w:space="0" w:color="auto"/>
        <w:bottom w:val="none" w:sz="0" w:space="0" w:color="auto"/>
        <w:right w:val="none" w:sz="0" w:space="0" w:color="auto"/>
      </w:divBdr>
    </w:div>
    <w:div w:id="1073624750">
      <w:bodyDiv w:val="1"/>
      <w:marLeft w:val="0"/>
      <w:marRight w:val="0"/>
      <w:marTop w:val="0"/>
      <w:marBottom w:val="0"/>
      <w:divBdr>
        <w:top w:val="none" w:sz="0" w:space="0" w:color="auto"/>
        <w:left w:val="none" w:sz="0" w:space="0" w:color="auto"/>
        <w:bottom w:val="none" w:sz="0" w:space="0" w:color="auto"/>
        <w:right w:val="none" w:sz="0" w:space="0" w:color="auto"/>
      </w:divBdr>
    </w:div>
    <w:div w:id="1089306089">
      <w:bodyDiv w:val="1"/>
      <w:marLeft w:val="0"/>
      <w:marRight w:val="0"/>
      <w:marTop w:val="0"/>
      <w:marBottom w:val="0"/>
      <w:divBdr>
        <w:top w:val="none" w:sz="0" w:space="0" w:color="auto"/>
        <w:left w:val="none" w:sz="0" w:space="0" w:color="auto"/>
        <w:bottom w:val="none" w:sz="0" w:space="0" w:color="auto"/>
        <w:right w:val="none" w:sz="0" w:space="0" w:color="auto"/>
      </w:divBdr>
    </w:div>
    <w:div w:id="1089500578">
      <w:bodyDiv w:val="1"/>
      <w:marLeft w:val="0"/>
      <w:marRight w:val="0"/>
      <w:marTop w:val="0"/>
      <w:marBottom w:val="0"/>
      <w:divBdr>
        <w:top w:val="none" w:sz="0" w:space="0" w:color="auto"/>
        <w:left w:val="none" w:sz="0" w:space="0" w:color="auto"/>
        <w:bottom w:val="none" w:sz="0" w:space="0" w:color="auto"/>
        <w:right w:val="none" w:sz="0" w:space="0" w:color="auto"/>
      </w:divBdr>
    </w:div>
    <w:div w:id="1093555609">
      <w:bodyDiv w:val="1"/>
      <w:marLeft w:val="0"/>
      <w:marRight w:val="0"/>
      <w:marTop w:val="0"/>
      <w:marBottom w:val="0"/>
      <w:divBdr>
        <w:top w:val="none" w:sz="0" w:space="0" w:color="auto"/>
        <w:left w:val="none" w:sz="0" w:space="0" w:color="auto"/>
        <w:bottom w:val="none" w:sz="0" w:space="0" w:color="auto"/>
        <w:right w:val="none" w:sz="0" w:space="0" w:color="auto"/>
      </w:divBdr>
    </w:div>
    <w:div w:id="1099444654">
      <w:bodyDiv w:val="1"/>
      <w:marLeft w:val="0"/>
      <w:marRight w:val="0"/>
      <w:marTop w:val="0"/>
      <w:marBottom w:val="0"/>
      <w:divBdr>
        <w:top w:val="none" w:sz="0" w:space="0" w:color="auto"/>
        <w:left w:val="none" w:sz="0" w:space="0" w:color="auto"/>
        <w:bottom w:val="none" w:sz="0" w:space="0" w:color="auto"/>
        <w:right w:val="none" w:sz="0" w:space="0" w:color="auto"/>
      </w:divBdr>
    </w:div>
    <w:div w:id="1103646371">
      <w:bodyDiv w:val="1"/>
      <w:marLeft w:val="0"/>
      <w:marRight w:val="0"/>
      <w:marTop w:val="0"/>
      <w:marBottom w:val="0"/>
      <w:divBdr>
        <w:top w:val="none" w:sz="0" w:space="0" w:color="auto"/>
        <w:left w:val="none" w:sz="0" w:space="0" w:color="auto"/>
        <w:bottom w:val="none" w:sz="0" w:space="0" w:color="auto"/>
        <w:right w:val="none" w:sz="0" w:space="0" w:color="auto"/>
      </w:divBdr>
    </w:div>
    <w:div w:id="1108814392">
      <w:bodyDiv w:val="1"/>
      <w:marLeft w:val="0"/>
      <w:marRight w:val="0"/>
      <w:marTop w:val="0"/>
      <w:marBottom w:val="0"/>
      <w:divBdr>
        <w:top w:val="none" w:sz="0" w:space="0" w:color="auto"/>
        <w:left w:val="none" w:sz="0" w:space="0" w:color="auto"/>
        <w:bottom w:val="none" w:sz="0" w:space="0" w:color="auto"/>
        <w:right w:val="none" w:sz="0" w:space="0" w:color="auto"/>
      </w:divBdr>
    </w:div>
    <w:div w:id="1111050186">
      <w:bodyDiv w:val="1"/>
      <w:marLeft w:val="0"/>
      <w:marRight w:val="0"/>
      <w:marTop w:val="0"/>
      <w:marBottom w:val="0"/>
      <w:divBdr>
        <w:top w:val="none" w:sz="0" w:space="0" w:color="auto"/>
        <w:left w:val="none" w:sz="0" w:space="0" w:color="auto"/>
        <w:bottom w:val="none" w:sz="0" w:space="0" w:color="auto"/>
        <w:right w:val="none" w:sz="0" w:space="0" w:color="auto"/>
      </w:divBdr>
    </w:div>
    <w:div w:id="1111438552">
      <w:bodyDiv w:val="1"/>
      <w:marLeft w:val="0"/>
      <w:marRight w:val="0"/>
      <w:marTop w:val="0"/>
      <w:marBottom w:val="0"/>
      <w:divBdr>
        <w:top w:val="none" w:sz="0" w:space="0" w:color="auto"/>
        <w:left w:val="none" w:sz="0" w:space="0" w:color="auto"/>
        <w:bottom w:val="none" w:sz="0" w:space="0" w:color="auto"/>
        <w:right w:val="none" w:sz="0" w:space="0" w:color="auto"/>
      </w:divBdr>
    </w:div>
    <w:div w:id="1122455739">
      <w:bodyDiv w:val="1"/>
      <w:marLeft w:val="0"/>
      <w:marRight w:val="0"/>
      <w:marTop w:val="0"/>
      <w:marBottom w:val="0"/>
      <w:divBdr>
        <w:top w:val="none" w:sz="0" w:space="0" w:color="auto"/>
        <w:left w:val="none" w:sz="0" w:space="0" w:color="auto"/>
        <w:bottom w:val="none" w:sz="0" w:space="0" w:color="auto"/>
        <w:right w:val="none" w:sz="0" w:space="0" w:color="auto"/>
      </w:divBdr>
    </w:div>
    <w:div w:id="1130636601">
      <w:bodyDiv w:val="1"/>
      <w:marLeft w:val="0"/>
      <w:marRight w:val="0"/>
      <w:marTop w:val="0"/>
      <w:marBottom w:val="0"/>
      <w:divBdr>
        <w:top w:val="none" w:sz="0" w:space="0" w:color="auto"/>
        <w:left w:val="none" w:sz="0" w:space="0" w:color="auto"/>
        <w:bottom w:val="none" w:sz="0" w:space="0" w:color="auto"/>
        <w:right w:val="none" w:sz="0" w:space="0" w:color="auto"/>
      </w:divBdr>
    </w:div>
    <w:div w:id="1136874403">
      <w:bodyDiv w:val="1"/>
      <w:marLeft w:val="0"/>
      <w:marRight w:val="0"/>
      <w:marTop w:val="0"/>
      <w:marBottom w:val="0"/>
      <w:divBdr>
        <w:top w:val="none" w:sz="0" w:space="0" w:color="auto"/>
        <w:left w:val="none" w:sz="0" w:space="0" w:color="auto"/>
        <w:bottom w:val="none" w:sz="0" w:space="0" w:color="auto"/>
        <w:right w:val="none" w:sz="0" w:space="0" w:color="auto"/>
      </w:divBdr>
    </w:div>
    <w:div w:id="1159149603">
      <w:bodyDiv w:val="1"/>
      <w:marLeft w:val="0"/>
      <w:marRight w:val="0"/>
      <w:marTop w:val="0"/>
      <w:marBottom w:val="0"/>
      <w:divBdr>
        <w:top w:val="none" w:sz="0" w:space="0" w:color="auto"/>
        <w:left w:val="none" w:sz="0" w:space="0" w:color="auto"/>
        <w:bottom w:val="none" w:sz="0" w:space="0" w:color="auto"/>
        <w:right w:val="none" w:sz="0" w:space="0" w:color="auto"/>
      </w:divBdr>
    </w:div>
    <w:div w:id="1163426531">
      <w:bodyDiv w:val="1"/>
      <w:marLeft w:val="0"/>
      <w:marRight w:val="0"/>
      <w:marTop w:val="0"/>
      <w:marBottom w:val="0"/>
      <w:divBdr>
        <w:top w:val="none" w:sz="0" w:space="0" w:color="auto"/>
        <w:left w:val="none" w:sz="0" w:space="0" w:color="auto"/>
        <w:bottom w:val="none" w:sz="0" w:space="0" w:color="auto"/>
        <w:right w:val="none" w:sz="0" w:space="0" w:color="auto"/>
      </w:divBdr>
    </w:div>
    <w:div w:id="1169905943">
      <w:bodyDiv w:val="1"/>
      <w:marLeft w:val="0"/>
      <w:marRight w:val="0"/>
      <w:marTop w:val="0"/>
      <w:marBottom w:val="0"/>
      <w:divBdr>
        <w:top w:val="none" w:sz="0" w:space="0" w:color="auto"/>
        <w:left w:val="none" w:sz="0" w:space="0" w:color="auto"/>
        <w:bottom w:val="none" w:sz="0" w:space="0" w:color="auto"/>
        <w:right w:val="none" w:sz="0" w:space="0" w:color="auto"/>
      </w:divBdr>
    </w:div>
    <w:div w:id="1174803227">
      <w:bodyDiv w:val="1"/>
      <w:marLeft w:val="0"/>
      <w:marRight w:val="0"/>
      <w:marTop w:val="0"/>
      <w:marBottom w:val="0"/>
      <w:divBdr>
        <w:top w:val="none" w:sz="0" w:space="0" w:color="auto"/>
        <w:left w:val="none" w:sz="0" w:space="0" w:color="auto"/>
        <w:bottom w:val="none" w:sz="0" w:space="0" w:color="auto"/>
        <w:right w:val="none" w:sz="0" w:space="0" w:color="auto"/>
      </w:divBdr>
    </w:div>
    <w:div w:id="1176309926">
      <w:bodyDiv w:val="1"/>
      <w:marLeft w:val="0"/>
      <w:marRight w:val="0"/>
      <w:marTop w:val="0"/>
      <w:marBottom w:val="0"/>
      <w:divBdr>
        <w:top w:val="none" w:sz="0" w:space="0" w:color="auto"/>
        <w:left w:val="none" w:sz="0" w:space="0" w:color="auto"/>
        <w:bottom w:val="none" w:sz="0" w:space="0" w:color="auto"/>
        <w:right w:val="none" w:sz="0" w:space="0" w:color="auto"/>
      </w:divBdr>
    </w:div>
    <w:div w:id="1193347638">
      <w:bodyDiv w:val="1"/>
      <w:marLeft w:val="0"/>
      <w:marRight w:val="0"/>
      <w:marTop w:val="0"/>
      <w:marBottom w:val="0"/>
      <w:divBdr>
        <w:top w:val="none" w:sz="0" w:space="0" w:color="auto"/>
        <w:left w:val="none" w:sz="0" w:space="0" w:color="auto"/>
        <w:bottom w:val="none" w:sz="0" w:space="0" w:color="auto"/>
        <w:right w:val="none" w:sz="0" w:space="0" w:color="auto"/>
      </w:divBdr>
    </w:div>
    <w:div w:id="1197699898">
      <w:bodyDiv w:val="1"/>
      <w:marLeft w:val="0"/>
      <w:marRight w:val="0"/>
      <w:marTop w:val="0"/>
      <w:marBottom w:val="0"/>
      <w:divBdr>
        <w:top w:val="none" w:sz="0" w:space="0" w:color="auto"/>
        <w:left w:val="none" w:sz="0" w:space="0" w:color="auto"/>
        <w:bottom w:val="none" w:sz="0" w:space="0" w:color="auto"/>
        <w:right w:val="none" w:sz="0" w:space="0" w:color="auto"/>
      </w:divBdr>
    </w:div>
    <w:div w:id="1206991494">
      <w:bodyDiv w:val="1"/>
      <w:marLeft w:val="0"/>
      <w:marRight w:val="0"/>
      <w:marTop w:val="0"/>
      <w:marBottom w:val="0"/>
      <w:divBdr>
        <w:top w:val="none" w:sz="0" w:space="0" w:color="auto"/>
        <w:left w:val="none" w:sz="0" w:space="0" w:color="auto"/>
        <w:bottom w:val="none" w:sz="0" w:space="0" w:color="auto"/>
        <w:right w:val="none" w:sz="0" w:space="0" w:color="auto"/>
      </w:divBdr>
    </w:div>
    <w:div w:id="1209417704">
      <w:bodyDiv w:val="1"/>
      <w:marLeft w:val="0"/>
      <w:marRight w:val="0"/>
      <w:marTop w:val="0"/>
      <w:marBottom w:val="0"/>
      <w:divBdr>
        <w:top w:val="none" w:sz="0" w:space="0" w:color="auto"/>
        <w:left w:val="none" w:sz="0" w:space="0" w:color="auto"/>
        <w:bottom w:val="none" w:sz="0" w:space="0" w:color="auto"/>
        <w:right w:val="none" w:sz="0" w:space="0" w:color="auto"/>
      </w:divBdr>
    </w:div>
    <w:div w:id="1216090505">
      <w:bodyDiv w:val="1"/>
      <w:marLeft w:val="0"/>
      <w:marRight w:val="0"/>
      <w:marTop w:val="0"/>
      <w:marBottom w:val="0"/>
      <w:divBdr>
        <w:top w:val="none" w:sz="0" w:space="0" w:color="auto"/>
        <w:left w:val="none" w:sz="0" w:space="0" w:color="auto"/>
        <w:bottom w:val="none" w:sz="0" w:space="0" w:color="auto"/>
        <w:right w:val="none" w:sz="0" w:space="0" w:color="auto"/>
      </w:divBdr>
    </w:div>
    <w:div w:id="1226337120">
      <w:bodyDiv w:val="1"/>
      <w:marLeft w:val="0"/>
      <w:marRight w:val="0"/>
      <w:marTop w:val="0"/>
      <w:marBottom w:val="0"/>
      <w:divBdr>
        <w:top w:val="none" w:sz="0" w:space="0" w:color="auto"/>
        <w:left w:val="none" w:sz="0" w:space="0" w:color="auto"/>
        <w:bottom w:val="none" w:sz="0" w:space="0" w:color="auto"/>
        <w:right w:val="none" w:sz="0" w:space="0" w:color="auto"/>
      </w:divBdr>
    </w:div>
    <w:div w:id="1226641087">
      <w:bodyDiv w:val="1"/>
      <w:marLeft w:val="0"/>
      <w:marRight w:val="0"/>
      <w:marTop w:val="0"/>
      <w:marBottom w:val="0"/>
      <w:divBdr>
        <w:top w:val="none" w:sz="0" w:space="0" w:color="auto"/>
        <w:left w:val="none" w:sz="0" w:space="0" w:color="auto"/>
        <w:bottom w:val="none" w:sz="0" w:space="0" w:color="auto"/>
        <w:right w:val="none" w:sz="0" w:space="0" w:color="auto"/>
      </w:divBdr>
    </w:div>
    <w:div w:id="1247348794">
      <w:bodyDiv w:val="1"/>
      <w:marLeft w:val="0"/>
      <w:marRight w:val="0"/>
      <w:marTop w:val="0"/>
      <w:marBottom w:val="0"/>
      <w:divBdr>
        <w:top w:val="none" w:sz="0" w:space="0" w:color="auto"/>
        <w:left w:val="none" w:sz="0" w:space="0" w:color="auto"/>
        <w:bottom w:val="none" w:sz="0" w:space="0" w:color="auto"/>
        <w:right w:val="none" w:sz="0" w:space="0" w:color="auto"/>
      </w:divBdr>
    </w:div>
    <w:div w:id="1253123720">
      <w:bodyDiv w:val="1"/>
      <w:marLeft w:val="0"/>
      <w:marRight w:val="0"/>
      <w:marTop w:val="0"/>
      <w:marBottom w:val="0"/>
      <w:divBdr>
        <w:top w:val="none" w:sz="0" w:space="0" w:color="auto"/>
        <w:left w:val="none" w:sz="0" w:space="0" w:color="auto"/>
        <w:bottom w:val="none" w:sz="0" w:space="0" w:color="auto"/>
        <w:right w:val="none" w:sz="0" w:space="0" w:color="auto"/>
      </w:divBdr>
    </w:div>
    <w:div w:id="1259749273">
      <w:bodyDiv w:val="1"/>
      <w:marLeft w:val="0"/>
      <w:marRight w:val="0"/>
      <w:marTop w:val="0"/>
      <w:marBottom w:val="0"/>
      <w:divBdr>
        <w:top w:val="none" w:sz="0" w:space="0" w:color="auto"/>
        <w:left w:val="none" w:sz="0" w:space="0" w:color="auto"/>
        <w:bottom w:val="none" w:sz="0" w:space="0" w:color="auto"/>
        <w:right w:val="none" w:sz="0" w:space="0" w:color="auto"/>
      </w:divBdr>
    </w:div>
    <w:div w:id="1266840725">
      <w:bodyDiv w:val="1"/>
      <w:marLeft w:val="0"/>
      <w:marRight w:val="0"/>
      <w:marTop w:val="0"/>
      <w:marBottom w:val="0"/>
      <w:divBdr>
        <w:top w:val="none" w:sz="0" w:space="0" w:color="auto"/>
        <w:left w:val="none" w:sz="0" w:space="0" w:color="auto"/>
        <w:bottom w:val="none" w:sz="0" w:space="0" w:color="auto"/>
        <w:right w:val="none" w:sz="0" w:space="0" w:color="auto"/>
      </w:divBdr>
    </w:div>
    <w:div w:id="1272202068">
      <w:bodyDiv w:val="1"/>
      <w:marLeft w:val="0"/>
      <w:marRight w:val="0"/>
      <w:marTop w:val="0"/>
      <w:marBottom w:val="0"/>
      <w:divBdr>
        <w:top w:val="none" w:sz="0" w:space="0" w:color="auto"/>
        <w:left w:val="none" w:sz="0" w:space="0" w:color="auto"/>
        <w:bottom w:val="none" w:sz="0" w:space="0" w:color="auto"/>
        <w:right w:val="none" w:sz="0" w:space="0" w:color="auto"/>
      </w:divBdr>
    </w:div>
    <w:div w:id="1277299481">
      <w:bodyDiv w:val="1"/>
      <w:marLeft w:val="0"/>
      <w:marRight w:val="0"/>
      <w:marTop w:val="0"/>
      <w:marBottom w:val="0"/>
      <w:divBdr>
        <w:top w:val="none" w:sz="0" w:space="0" w:color="auto"/>
        <w:left w:val="none" w:sz="0" w:space="0" w:color="auto"/>
        <w:bottom w:val="none" w:sz="0" w:space="0" w:color="auto"/>
        <w:right w:val="none" w:sz="0" w:space="0" w:color="auto"/>
      </w:divBdr>
    </w:div>
    <w:div w:id="1295527033">
      <w:bodyDiv w:val="1"/>
      <w:marLeft w:val="0"/>
      <w:marRight w:val="0"/>
      <w:marTop w:val="0"/>
      <w:marBottom w:val="0"/>
      <w:divBdr>
        <w:top w:val="none" w:sz="0" w:space="0" w:color="auto"/>
        <w:left w:val="none" w:sz="0" w:space="0" w:color="auto"/>
        <w:bottom w:val="none" w:sz="0" w:space="0" w:color="auto"/>
        <w:right w:val="none" w:sz="0" w:space="0" w:color="auto"/>
      </w:divBdr>
    </w:div>
    <w:div w:id="1297370411">
      <w:bodyDiv w:val="1"/>
      <w:marLeft w:val="0"/>
      <w:marRight w:val="0"/>
      <w:marTop w:val="0"/>
      <w:marBottom w:val="0"/>
      <w:divBdr>
        <w:top w:val="none" w:sz="0" w:space="0" w:color="auto"/>
        <w:left w:val="none" w:sz="0" w:space="0" w:color="auto"/>
        <w:bottom w:val="none" w:sz="0" w:space="0" w:color="auto"/>
        <w:right w:val="none" w:sz="0" w:space="0" w:color="auto"/>
      </w:divBdr>
    </w:div>
    <w:div w:id="1304697315">
      <w:bodyDiv w:val="1"/>
      <w:marLeft w:val="0"/>
      <w:marRight w:val="0"/>
      <w:marTop w:val="0"/>
      <w:marBottom w:val="0"/>
      <w:divBdr>
        <w:top w:val="none" w:sz="0" w:space="0" w:color="auto"/>
        <w:left w:val="none" w:sz="0" w:space="0" w:color="auto"/>
        <w:bottom w:val="none" w:sz="0" w:space="0" w:color="auto"/>
        <w:right w:val="none" w:sz="0" w:space="0" w:color="auto"/>
      </w:divBdr>
    </w:div>
    <w:div w:id="1307317077">
      <w:bodyDiv w:val="1"/>
      <w:marLeft w:val="0"/>
      <w:marRight w:val="0"/>
      <w:marTop w:val="0"/>
      <w:marBottom w:val="0"/>
      <w:divBdr>
        <w:top w:val="none" w:sz="0" w:space="0" w:color="auto"/>
        <w:left w:val="none" w:sz="0" w:space="0" w:color="auto"/>
        <w:bottom w:val="none" w:sz="0" w:space="0" w:color="auto"/>
        <w:right w:val="none" w:sz="0" w:space="0" w:color="auto"/>
      </w:divBdr>
    </w:div>
    <w:div w:id="1312324824">
      <w:bodyDiv w:val="1"/>
      <w:marLeft w:val="0"/>
      <w:marRight w:val="0"/>
      <w:marTop w:val="0"/>
      <w:marBottom w:val="0"/>
      <w:divBdr>
        <w:top w:val="none" w:sz="0" w:space="0" w:color="auto"/>
        <w:left w:val="none" w:sz="0" w:space="0" w:color="auto"/>
        <w:bottom w:val="none" w:sz="0" w:space="0" w:color="auto"/>
        <w:right w:val="none" w:sz="0" w:space="0" w:color="auto"/>
      </w:divBdr>
    </w:div>
    <w:div w:id="1312980300">
      <w:bodyDiv w:val="1"/>
      <w:marLeft w:val="0"/>
      <w:marRight w:val="0"/>
      <w:marTop w:val="0"/>
      <w:marBottom w:val="0"/>
      <w:divBdr>
        <w:top w:val="none" w:sz="0" w:space="0" w:color="auto"/>
        <w:left w:val="none" w:sz="0" w:space="0" w:color="auto"/>
        <w:bottom w:val="none" w:sz="0" w:space="0" w:color="auto"/>
        <w:right w:val="none" w:sz="0" w:space="0" w:color="auto"/>
      </w:divBdr>
    </w:div>
    <w:div w:id="1317339860">
      <w:bodyDiv w:val="1"/>
      <w:marLeft w:val="0"/>
      <w:marRight w:val="0"/>
      <w:marTop w:val="0"/>
      <w:marBottom w:val="0"/>
      <w:divBdr>
        <w:top w:val="none" w:sz="0" w:space="0" w:color="auto"/>
        <w:left w:val="none" w:sz="0" w:space="0" w:color="auto"/>
        <w:bottom w:val="none" w:sz="0" w:space="0" w:color="auto"/>
        <w:right w:val="none" w:sz="0" w:space="0" w:color="auto"/>
      </w:divBdr>
    </w:div>
    <w:div w:id="1319534388">
      <w:bodyDiv w:val="1"/>
      <w:marLeft w:val="0"/>
      <w:marRight w:val="0"/>
      <w:marTop w:val="0"/>
      <w:marBottom w:val="0"/>
      <w:divBdr>
        <w:top w:val="none" w:sz="0" w:space="0" w:color="auto"/>
        <w:left w:val="none" w:sz="0" w:space="0" w:color="auto"/>
        <w:bottom w:val="none" w:sz="0" w:space="0" w:color="auto"/>
        <w:right w:val="none" w:sz="0" w:space="0" w:color="auto"/>
      </w:divBdr>
    </w:div>
    <w:div w:id="1321078834">
      <w:bodyDiv w:val="1"/>
      <w:marLeft w:val="0"/>
      <w:marRight w:val="0"/>
      <w:marTop w:val="0"/>
      <w:marBottom w:val="0"/>
      <w:divBdr>
        <w:top w:val="none" w:sz="0" w:space="0" w:color="auto"/>
        <w:left w:val="none" w:sz="0" w:space="0" w:color="auto"/>
        <w:bottom w:val="none" w:sz="0" w:space="0" w:color="auto"/>
        <w:right w:val="none" w:sz="0" w:space="0" w:color="auto"/>
      </w:divBdr>
    </w:div>
    <w:div w:id="1333220319">
      <w:bodyDiv w:val="1"/>
      <w:marLeft w:val="0"/>
      <w:marRight w:val="0"/>
      <w:marTop w:val="0"/>
      <w:marBottom w:val="0"/>
      <w:divBdr>
        <w:top w:val="none" w:sz="0" w:space="0" w:color="auto"/>
        <w:left w:val="none" w:sz="0" w:space="0" w:color="auto"/>
        <w:bottom w:val="none" w:sz="0" w:space="0" w:color="auto"/>
        <w:right w:val="none" w:sz="0" w:space="0" w:color="auto"/>
      </w:divBdr>
    </w:div>
    <w:div w:id="1347321528">
      <w:bodyDiv w:val="1"/>
      <w:marLeft w:val="0"/>
      <w:marRight w:val="0"/>
      <w:marTop w:val="0"/>
      <w:marBottom w:val="0"/>
      <w:divBdr>
        <w:top w:val="none" w:sz="0" w:space="0" w:color="auto"/>
        <w:left w:val="none" w:sz="0" w:space="0" w:color="auto"/>
        <w:bottom w:val="none" w:sz="0" w:space="0" w:color="auto"/>
        <w:right w:val="none" w:sz="0" w:space="0" w:color="auto"/>
      </w:divBdr>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354529902">
      <w:bodyDiv w:val="1"/>
      <w:marLeft w:val="0"/>
      <w:marRight w:val="0"/>
      <w:marTop w:val="0"/>
      <w:marBottom w:val="0"/>
      <w:divBdr>
        <w:top w:val="none" w:sz="0" w:space="0" w:color="auto"/>
        <w:left w:val="none" w:sz="0" w:space="0" w:color="auto"/>
        <w:bottom w:val="none" w:sz="0" w:space="0" w:color="auto"/>
        <w:right w:val="none" w:sz="0" w:space="0" w:color="auto"/>
      </w:divBdr>
    </w:div>
    <w:div w:id="1357538346">
      <w:bodyDiv w:val="1"/>
      <w:marLeft w:val="0"/>
      <w:marRight w:val="0"/>
      <w:marTop w:val="0"/>
      <w:marBottom w:val="0"/>
      <w:divBdr>
        <w:top w:val="none" w:sz="0" w:space="0" w:color="auto"/>
        <w:left w:val="none" w:sz="0" w:space="0" w:color="auto"/>
        <w:bottom w:val="none" w:sz="0" w:space="0" w:color="auto"/>
        <w:right w:val="none" w:sz="0" w:space="0" w:color="auto"/>
      </w:divBdr>
    </w:div>
    <w:div w:id="1373382355">
      <w:bodyDiv w:val="1"/>
      <w:marLeft w:val="0"/>
      <w:marRight w:val="0"/>
      <w:marTop w:val="0"/>
      <w:marBottom w:val="0"/>
      <w:divBdr>
        <w:top w:val="none" w:sz="0" w:space="0" w:color="auto"/>
        <w:left w:val="none" w:sz="0" w:space="0" w:color="auto"/>
        <w:bottom w:val="none" w:sz="0" w:space="0" w:color="auto"/>
        <w:right w:val="none" w:sz="0" w:space="0" w:color="auto"/>
      </w:divBdr>
    </w:div>
    <w:div w:id="1379668038">
      <w:bodyDiv w:val="1"/>
      <w:marLeft w:val="0"/>
      <w:marRight w:val="0"/>
      <w:marTop w:val="0"/>
      <w:marBottom w:val="0"/>
      <w:divBdr>
        <w:top w:val="none" w:sz="0" w:space="0" w:color="auto"/>
        <w:left w:val="none" w:sz="0" w:space="0" w:color="auto"/>
        <w:bottom w:val="none" w:sz="0" w:space="0" w:color="auto"/>
        <w:right w:val="none" w:sz="0" w:space="0" w:color="auto"/>
      </w:divBdr>
    </w:div>
    <w:div w:id="1382169449">
      <w:bodyDiv w:val="1"/>
      <w:marLeft w:val="0"/>
      <w:marRight w:val="0"/>
      <w:marTop w:val="0"/>
      <w:marBottom w:val="0"/>
      <w:divBdr>
        <w:top w:val="none" w:sz="0" w:space="0" w:color="auto"/>
        <w:left w:val="none" w:sz="0" w:space="0" w:color="auto"/>
        <w:bottom w:val="none" w:sz="0" w:space="0" w:color="auto"/>
        <w:right w:val="none" w:sz="0" w:space="0" w:color="auto"/>
      </w:divBdr>
    </w:div>
    <w:div w:id="1396850710">
      <w:bodyDiv w:val="1"/>
      <w:marLeft w:val="0"/>
      <w:marRight w:val="0"/>
      <w:marTop w:val="0"/>
      <w:marBottom w:val="0"/>
      <w:divBdr>
        <w:top w:val="none" w:sz="0" w:space="0" w:color="auto"/>
        <w:left w:val="none" w:sz="0" w:space="0" w:color="auto"/>
        <w:bottom w:val="none" w:sz="0" w:space="0" w:color="auto"/>
        <w:right w:val="none" w:sz="0" w:space="0" w:color="auto"/>
      </w:divBdr>
    </w:div>
    <w:div w:id="1398817359">
      <w:bodyDiv w:val="1"/>
      <w:marLeft w:val="0"/>
      <w:marRight w:val="0"/>
      <w:marTop w:val="0"/>
      <w:marBottom w:val="0"/>
      <w:divBdr>
        <w:top w:val="none" w:sz="0" w:space="0" w:color="auto"/>
        <w:left w:val="none" w:sz="0" w:space="0" w:color="auto"/>
        <w:bottom w:val="none" w:sz="0" w:space="0" w:color="auto"/>
        <w:right w:val="none" w:sz="0" w:space="0" w:color="auto"/>
      </w:divBdr>
    </w:div>
    <w:div w:id="1411921792">
      <w:bodyDiv w:val="1"/>
      <w:marLeft w:val="0"/>
      <w:marRight w:val="0"/>
      <w:marTop w:val="0"/>
      <w:marBottom w:val="0"/>
      <w:divBdr>
        <w:top w:val="none" w:sz="0" w:space="0" w:color="auto"/>
        <w:left w:val="none" w:sz="0" w:space="0" w:color="auto"/>
        <w:bottom w:val="none" w:sz="0" w:space="0" w:color="auto"/>
        <w:right w:val="none" w:sz="0" w:space="0" w:color="auto"/>
      </w:divBdr>
    </w:div>
    <w:div w:id="1423378684">
      <w:bodyDiv w:val="1"/>
      <w:marLeft w:val="0"/>
      <w:marRight w:val="0"/>
      <w:marTop w:val="0"/>
      <w:marBottom w:val="0"/>
      <w:divBdr>
        <w:top w:val="none" w:sz="0" w:space="0" w:color="auto"/>
        <w:left w:val="none" w:sz="0" w:space="0" w:color="auto"/>
        <w:bottom w:val="none" w:sz="0" w:space="0" w:color="auto"/>
        <w:right w:val="none" w:sz="0" w:space="0" w:color="auto"/>
      </w:divBdr>
    </w:div>
    <w:div w:id="1427190156">
      <w:bodyDiv w:val="1"/>
      <w:marLeft w:val="0"/>
      <w:marRight w:val="0"/>
      <w:marTop w:val="0"/>
      <w:marBottom w:val="0"/>
      <w:divBdr>
        <w:top w:val="none" w:sz="0" w:space="0" w:color="auto"/>
        <w:left w:val="none" w:sz="0" w:space="0" w:color="auto"/>
        <w:bottom w:val="none" w:sz="0" w:space="0" w:color="auto"/>
        <w:right w:val="none" w:sz="0" w:space="0" w:color="auto"/>
      </w:divBdr>
    </w:div>
    <w:div w:id="1447499934">
      <w:bodyDiv w:val="1"/>
      <w:marLeft w:val="0"/>
      <w:marRight w:val="0"/>
      <w:marTop w:val="0"/>
      <w:marBottom w:val="0"/>
      <w:divBdr>
        <w:top w:val="none" w:sz="0" w:space="0" w:color="auto"/>
        <w:left w:val="none" w:sz="0" w:space="0" w:color="auto"/>
        <w:bottom w:val="none" w:sz="0" w:space="0" w:color="auto"/>
        <w:right w:val="none" w:sz="0" w:space="0" w:color="auto"/>
      </w:divBdr>
    </w:div>
    <w:div w:id="1457093873">
      <w:bodyDiv w:val="1"/>
      <w:marLeft w:val="0"/>
      <w:marRight w:val="0"/>
      <w:marTop w:val="0"/>
      <w:marBottom w:val="0"/>
      <w:divBdr>
        <w:top w:val="none" w:sz="0" w:space="0" w:color="auto"/>
        <w:left w:val="none" w:sz="0" w:space="0" w:color="auto"/>
        <w:bottom w:val="none" w:sz="0" w:space="0" w:color="auto"/>
        <w:right w:val="none" w:sz="0" w:space="0" w:color="auto"/>
      </w:divBdr>
    </w:div>
    <w:div w:id="1482773670">
      <w:bodyDiv w:val="1"/>
      <w:marLeft w:val="0"/>
      <w:marRight w:val="0"/>
      <w:marTop w:val="0"/>
      <w:marBottom w:val="0"/>
      <w:divBdr>
        <w:top w:val="none" w:sz="0" w:space="0" w:color="auto"/>
        <w:left w:val="none" w:sz="0" w:space="0" w:color="auto"/>
        <w:bottom w:val="none" w:sz="0" w:space="0" w:color="auto"/>
        <w:right w:val="none" w:sz="0" w:space="0" w:color="auto"/>
      </w:divBdr>
    </w:div>
    <w:div w:id="1487625469">
      <w:bodyDiv w:val="1"/>
      <w:marLeft w:val="0"/>
      <w:marRight w:val="0"/>
      <w:marTop w:val="0"/>
      <w:marBottom w:val="0"/>
      <w:divBdr>
        <w:top w:val="none" w:sz="0" w:space="0" w:color="auto"/>
        <w:left w:val="none" w:sz="0" w:space="0" w:color="auto"/>
        <w:bottom w:val="none" w:sz="0" w:space="0" w:color="auto"/>
        <w:right w:val="none" w:sz="0" w:space="0" w:color="auto"/>
      </w:divBdr>
    </w:div>
    <w:div w:id="1494636905">
      <w:bodyDiv w:val="1"/>
      <w:marLeft w:val="0"/>
      <w:marRight w:val="0"/>
      <w:marTop w:val="0"/>
      <w:marBottom w:val="0"/>
      <w:divBdr>
        <w:top w:val="none" w:sz="0" w:space="0" w:color="auto"/>
        <w:left w:val="none" w:sz="0" w:space="0" w:color="auto"/>
        <w:bottom w:val="none" w:sz="0" w:space="0" w:color="auto"/>
        <w:right w:val="none" w:sz="0" w:space="0" w:color="auto"/>
      </w:divBdr>
    </w:div>
    <w:div w:id="1499611916">
      <w:bodyDiv w:val="1"/>
      <w:marLeft w:val="0"/>
      <w:marRight w:val="0"/>
      <w:marTop w:val="0"/>
      <w:marBottom w:val="0"/>
      <w:divBdr>
        <w:top w:val="none" w:sz="0" w:space="0" w:color="auto"/>
        <w:left w:val="none" w:sz="0" w:space="0" w:color="auto"/>
        <w:bottom w:val="none" w:sz="0" w:space="0" w:color="auto"/>
        <w:right w:val="none" w:sz="0" w:space="0" w:color="auto"/>
      </w:divBdr>
    </w:div>
    <w:div w:id="1503471694">
      <w:bodyDiv w:val="1"/>
      <w:marLeft w:val="0"/>
      <w:marRight w:val="0"/>
      <w:marTop w:val="0"/>
      <w:marBottom w:val="0"/>
      <w:divBdr>
        <w:top w:val="none" w:sz="0" w:space="0" w:color="auto"/>
        <w:left w:val="none" w:sz="0" w:space="0" w:color="auto"/>
        <w:bottom w:val="none" w:sz="0" w:space="0" w:color="auto"/>
        <w:right w:val="none" w:sz="0" w:space="0" w:color="auto"/>
      </w:divBdr>
    </w:div>
    <w:div w:id="1507136078">
      <w:bodyDiv w:val="1"/>
      <w:marLeft w:val="0"/>
      <w:marRight w:val="0"/>
      <w:marTop w:val="0"/>
      <w:marBottom w:val="0"/>
      <w:divBdr>
        <w:top w:val="none" w:sz="0" w:space="0" w:color="auto"/>
        <w:left w:val="none" w:sz="0" w:space="0" w:color="auto"/>
        <w:bottom w:val="none" w:sz="0" w:space="0" w:color="auto"/>
        <w:right w:val="none" w:sz="0" w:space="0" w:color="auto"/>
      </w:divBdr>
    </w:div>
    <w:div w:id="1508060107">
      <w:bodyDiv w:val="1"/>
      <w:marLeft w:val="0"/>
      <w:marRight w:val="0"/>
      <w:marTop w:val="0"/>
      <w:marBottom w:val="0"/>
      <w:divBdr>
        <w:top w:val="none" w:sz="0" w:space="0" w:color="auto"/>
        <w:left w:val="none" w:sz="0" w:space="0" w:color="auto"/>
        <w:bottom w:val="none" w:sz="0" w:space="0" w:color="auto"/>
        <w:right w:val="none" w:sz="0" w:space="0" w:color="auto"/>
      </w:divBdr>
    </w:div>
    <w:div w:id="1518037100">
      <w:bodyDiv w:val="1"/>
      <w:marLeft w:val="0"/>
      <w:marRight w:val="0"/>
      <w:marTop w:val="0"/>
      <w:marBottom w:val="0"/>
      <w:divBdr>
        <w:top w:val="none" w:sz="0" w:space="0" w:color="auto"/>
        <w:left w:val="none" w:sz="0" w:space="0" w:color="auto"/>
        <w:bottom w:val="none" w:sz="0" w:space="0" w:color="auto"/>
        <w:right w:val="none" w:sz="0" w:space="0" w:color="auto"/>
      </w:divBdr>
    </w:div>
    <w:div w:id="1526559172">
      <w:bodyDiv w:val="1"/>
      <w:marLeft w:val="0"/>
      <w:marRight w:val="0"/>
      <w:marTop w:val="0"/>
      <w:marBottom w:val="0"/>
      <w:divBdr>
        <w:top w:val="none" w:sz="0" w:space="0" w:color="auto"/>
        <w:left w:val="none" w:sz="0" w:space="0" w:color="auto"/>
        <w:bottom w:val="none" w:sz="0" w:space="0" w:color="auto"/>
        <w:right w:val="none" w:sz="0" w:space="0" w:color="auto"/>
      </w:divBdr>
    </w:div>
    <w:div w:id="1532064393">
      <w:bodyDiv w:val="1"/>
      <w:marLeft w:val="0"/>
      <w:marRight w:val="0"/>
      <w:marTop w:val="0"/>
      <w:marBottom w:val="0"/>
      <w:divBdr>
        <w:top w:val="none" w:sz="0" w:space="0" w:color="auto"/>
        <w:left w:val="none" w:sz="0" w:space="0" w:color="auto"/>
        <w:bottom w:val="none" w:sz="0" w:space="0" w:color="auto"/>
        <w:right w:val="none" w:sz="0" w:space="0" w:color="auto"/>
      </w:divBdr>
    </w:div>
    <w:div w:id="1555890836">
      <w:bodyDiv w:val="1"/>
      <w:marLeft w:val="0"/>
      <w:marRight w:val="0"/>
      <w:marTop w:val="0"/>
      <w:marBottom w:val="0"/>
      <w:divBdr>
        <w:top w:val="none" w:sz="0" w:space="0" w:color="auto"/>
        <w:left w:val="none" w:sz="0" w:space="0" w:color="auto"/>
        <w:bottom w:val="none" w:sz="0" w:space="0" w:color="auto"/>
        <w:right w:val="none" w:sz="0" w:space="0" w:color="auto"/>
      </w:divBdr>
    </w:div>
    <w:div w:id="1595087465">
      <w:bodyDiv w:val="1"/>
      <w:marLeft w:val="0"/>
      <w:marRight w:val="0"/>
      <w:marTop w:val="0"/>
      <w:marBottom w:val="0"/>
      <w:divBdr>
        <w:top w:val="none" w:sz="0" w:space="0" w:color="auto"/>
        <w:left w:val="none" w:sz="0" w:space="0" w:color="auto"/>
        <w:bottom w:val="none" w:sz="0" w:space="0" w:color="auto"/>
        <w:right w:val="none" w:sz="0" w:space="0" w:color="auto"/>
      </w:divBdr>
    </w:div>
    <w:div w:id="1605066235">
      <w:bodyDiv w:val="1"/>
      <w:marLeft w:val="0"/>
      <w:marRight w:val="0"/>
      <w:marTop w:val="0"/>
      <w:marBottom w:val="0"/>
      <w:divBdr>
        <w:top w:val="none" w:sz="0" w:space="0" w:color="auto"/>
        <w:left w:val="none" w:sz="0" w:space="0" w:color="auto"/>
        <w:bottom w:val="none" w:sz="0" w:space="0" w:color="auto"/>
        <w:right w:val="none" w:sz="0" w:space="0" w:color="auto"/>
      </w:divBdr>
    </w:div>
    <w:div w:id="1624768814">
      <w:bodyDiv w:val="1"/>
      <w:marLeft w:val="0"/>
      <w:marRight w:val="0"/>
      <w:marTop w:val="0"/>
      <w:marBottom w:val="0"/>
      <w:divBdr>
        <w:top w:val="none" w:sz="0" w:space="0" w:color="auto"/>
        <w:left w:val="none" w:sz="0" w:space="0" w:color="auto"/>
        <w:bottom w:val="none" w:sz="0" w:space="0" w:color="auto"/>
        <w:right w:val="none" w:sz="0" w:space="0" w:color="auto"/>
      </w:divBdr>
    </w:div>
    <w:div w:id="1649629822">
      <w:bodyDiv w:val="1"/>
      <w:marLeft w:val="0"/>
      <w:marRight w:val="0"/>
      <w:marTop w:val="0"/>
      <w:marBottom w:val="0"/>
      <w:divBdr>
        <w:top w:val="none" w:sz="0" w:space="0" w:color="auto"/>
        <w:left w:val="none" w:sz="0" w:space="0" w:color="auto"/>
        <w:bottom w:val="none" w:sz="0" w:space="0" w:color="auto"/>
        <w:right w:val="none" w:sz="0" w:space="0" w:color="auto"/>
      </w:divBdr>
    </w:div>
    <w:div w:id="1650591089">
      <w:bodyDiv w:val="1"/>
      <w:marLeft w:val="0"/>
      <w:marRight w:val="0"/>
      <w:marTop w:val="0"/>
      <w:marBottom w:val="0"/>
      <w:divBdr>
        <w:top w:val="none" w:sz="0" w:space="0" w:color="auto"/>
        <w:left w:val="none" w:sz="0" w:space="0" w:color="auto"/>
        <w:bottom w:val="none" w:sz="0" w:space="0" w:color="auto"/>
        <w:right w:val="none" w:sz="0" w:space="0" w:color="auto"/>
      </w:divBdr>
    </w:div>
    <w:div w:id="1651640084">
      <w:bodyDiv w:val="1"/>
      <w:marLeft w:val="0"/>
      <w:marRight w:val="0"/>
      <w:marTop w:val="0"/>
      <w:marBottom w:val="0"/>
      <w:divBdr>
        <w:top w:val="none" w:sz="0" w:space="0" w:color="auto"/>
        <w:left w:val="none" w:sz="0" w:space="0" w:color="auto"/>
        <w:bottom w:val="none" w:sz="0" w:space="0" w:color="auto"/>
        <w:right w:val="none" w:sz="0" w:space="0" w:color="auto"/>
      </w:divBdr>
    </w:div>
    <w:div w:id="1671788252">
      <w:bodyDiv w:val="1"/>
      <w:marLeft w:val="0"/>
      <w:marRight w:val="0"/>
      <w:marTop w:val="0"/>
      <w:marBottom w:val="0"/>
      <w:divBdr>
        <w:top w:val="none" w:sz="0" w:space="0" w:color="auto"/>
        <w:left w:val="none" w:sz="0" w:space="0" w:color="auto"/>
        <w:bottom w:val="none" w:sz="0" w:space="0" w:color="auto"/>
        <w:right w:val="none" w:sz="0" w:space="0" w:color="auto"/>
      </w:divBdr>
    </w:div>
    <w:div w:id="1672758988">
      <w:bodyDiv w:val="1"/>
      <w:marLeft w:val="0"/>
      <w:marRight w:val="0"/>
      <w:marTop w:val="0"/>
      <w:marBottom w:val="0"/>
      <w:divBdr>
        <w:top w:val="none" w:sz="0" w:space="0" w:color="auto"/>
        <w:left w:val="none" w:sz="0" w:space="0" w:color="auto"/>
        <w:bottom w:val="none" w:sz="0" w:space="0" w:color="auto"/>
        <w:right w:val="none" w:sz="0" w:space="0" w:color="auto"/>
      </w:divBdr>
    </w:div>
    <w:div w:id="1673675744">
      <w:bodyDiv w:val="1"/>
      <w:marLeft w:val="0"/>
      <w:marRight w:val="0"/>
      <w:marTop w:val="0"/>
      <w:marBottom w:val="0"/>
      <w:divBdr>
        <w:top w:val="none" w:sz="0" w:space="0" w:color="auto"/>
        <w:left w:val="none" w:sz="0" w:space="0" w:color="auto"/>
        <w:bottom w:val="none" w:sz="0" w:space="0" w:color="auto"/>
        <w:right w:val="none" w:sz="0" w:space="0" w:color="auto"/>
      </w:divBdr>
    </w:div>
    <w:div w:id="1680889189">
      <w:bodyDiv w:val="1"/>
      <w:marLeft w:val="0"/>
      <w:marRight w:val="0"/>
      <w:marTop w:val="0"/>
      <w:marBottom w:val="0"/>
      <w:divBdr>
        <w:top w:val="none" w:sz="0" w:space="0" w:color="auto"/>
        <w:left w:val="none" w:sz="0" w:space="0" w:color="auto"/>
        <w:bottom w:val="none" w:sz="0" w:space="0" w:color="auto"/>
        <w:right w:val="none" w:sz="0" w:space="0" w:color="auto"/>
      </w:divBdr>
    </w:div>
    <w:div w:id="1684669611">
      <w:bodyDiv w:val="1"/>
      <w:marLeft w:val="0"/>
      <w:marRight w:val="0"/>
      <w:marTop w:val="0"/>
      <w:marBottom w:val="0"/>
      <w:divBdr>
        <w:top w:val="none" w:sz="0" w:space="0" w:color="auto"/>
        <w:left w:val="none" w:sz="0" w:space="0" w:color="auto"/>
        <w:bottom w:val="none" w:sz="0" w:space="0" w:color="auto"/>
        <w:right w:val="none" w:sz="0" w:space="0" w:color="auto"/>
      </w:divBdr>
    </w:div>
    <w:div w:id="1695570559">
      <w:bodyDiv w:val="1"/>
      <w:marLeft w:val="0"/>
      <w:marRight w:val="0"/>
      <w:marTop w:val="0"/>
      <w:marBottom w:val="0"/>
      <w:divBdr>
        <w:top w:val="none" w:sz="0" w:space="0" w:color="auto"/>
        <w:left w:val="none" w:sz="0" w:space="0" w:color="auto"/>
        <w:bottom w:val="none" w:sz="0" w:space="0" w:color="auto"/>
        <w:right w:val="none" w:sz="0" w:space="0" w:color="auto"/>
      </w:divBdr>
    </w:div>
    <w:div w:id="1699968262">
      <w:bodyDiv w:val="1"/>
      <w:marLeft w:val="0"/>
      <w:marRight w:val="0"/>
      <w:marTop w:val="0"/>
      <w:marBottom w:val="0"/>
      <w:divBdr>
        <w:top w:val="none" w:sz="0" w:space="0" w:color="auto"/>
        <w:left w:val="none" w:sz="0" w:space="0" w:color="auto"/>
        <w:bottom w:val="none" w:sz="0" w:space="0" w:color="auto"/>
        <w:right w:val="none" w:sz="0" w:space="0" w:color="auto"/>
      </w:divBdr>
    </w:div>
    <w:div w:id="1701315719">
      <w:bodyDiv w:val="1"/>
      <w:marLeft w:val="0"/>
      <w:marRight w:val="0"/>
      <w:marTop w:val="0"/>
      <w:marBottom w:val="0"/>
      <w:divBdr>
        <w:top w:val="none" w:sz="0" w:space="0" w:color="auto"/>
        <w:left w:val="none" w:sz="0" w:space="0" w:color="auto"/>
        <w:bottom w:val="none" w:sz="0" w:space="0" w:color="auto"/>
        <w:right w:val="none" w:sz="0" w:space="0" w:color="auto"/>
      </w:divBdr>
    </w:div>
    <w:div w:id="1712219774">
      <w:bodyDiv w:val="1"/>
      <w:marLeft w:val="0"/>
      <w:marRight w:val="0"/>
      <w:marTop w:val="0"/>
      <w:marBottom w:val="0"/>
      <w:divBdr>
        <w:top w:val="none" w:sz="0" w:space="0" w:color="auto"/>
        <w:left w:val="none" w:sz="0" w:space="0" w:color="auto"/>
        <w:bottom w:val="none" w:sz="0" w:space="0" w:color="auto"/>
        <w:right w:val="none" w:sz="0" w:space="0" w:color="auto"/>
      </w:divBdr>
    </w:div>
    <w:div w:id="1715617754">
      <w:bodyDiv w:val="1"/>
      <w:marLeft w:val="0"/>
      <w:marRight w:val="0"/>
      <w:marTop w:val="0"/>
      <w:marBottom w:val="0"/>
      <w:divBdr>
        <w:top w:val="none" w:sz="0" w:space="0" w:color="auto"/>
        <w:left w:val="none" w:sz="0" w:space="0" w:color="auto"/>
        <w:bottom w:val="none" w:sz="0" w:space="0" w:color="auto"/>
        <w:right w:val="none" w:sz="0" w:space="0" w:color="auto"/>
      </w:divBdr>
    </w:div>
    <w:div w:id="1733624729">
      <w:bodyDiv w:val="1"/>
      <w:marLeft w:val="0"/>
      <w:marRight w:val="0"/>
      <w:marTop w:val="0"/>
      <w:marBottom w:val="0"/>
      <w:divBdr>
        <w:top w:val="none" w:sz="0" w:space="0" w:color="auto"/>
        <w:left w:val="none" w:sz="0" w:space="0" w:color="auto"/>
        <w:bottom w:val="none" w:sz="0" w:space="0" w:color="auto"/>
        <w:right w:val="none" w:sz="0" w:space="0" w:color="auto"/>
      </w:divBdr>
    </w:div>
    <w:div w:id="1747414709">
      <w:bodyDiv w:val="1"/>
      <w:marLeft w:val="0"/>
      <w:marRight w:val="0"/>
      <w:marTop w:val="0"/>
      <w:marBottom w:val="0"/>
      <w:divBdr>
        <w:top w:val="none" w:sz="0" w:space="0" w:color="auto"/>
        <w:left w:val="none" w:sz="0" w:space="0" w:color="auto"/>
        <w:bottom w:val="none" w:sz="0" w:space="0" w:color="auto"/>
        <w:right w:val="none" w:sz="0" w:space="0" w:color="auto"/>
      </w:divBdr>
    </w:div>
    <w:div w:id="1750424634">
      <w:bodyDiv w:val="1"/>
      <w:marLeft w:val="0"/>
      <w:marRight w:val="0"/>
      <w:marTop w:val="0"/>
      <w:marBottom w:val="0"/>
      <w:divBdr>
        <w:top w:val="none" w:sz="0" w:space="0" w:color="auto"/>
        <w:left w:val="none" w:sz="0" w:space="0" w:color="auto"/>
        <w:bottom w:val="none" w:sz="0" w:space="0" w:color="auto"/>
        <w:right w:val="none" w:sz="0" w:space="0" w:color="auto"/>
      </w:divBdr>
    </w:div>
    <w:div w:id="1755934141">
      <w:bodyDiv w:val="1"/>
      <w:marLeft w:val="0"/>
      <w:marRight w:val="0"/>
      <w:marTop w:val="0"/>
      <w:marBottom w:val="0"/>
      <w:divBdr>
        <w:top w:val="none" w:sz="0" w:space="0" w:color="auto"/>
        <w:left w:val="none" w:sz="0" w:space="0" w:color="auto"/>
        <w:bottom w:val="none" w:sz="0" w:space="0" w:color="auto"/>
        <w:right w:val="none" w:sz="0" w:space="0" w:color="auto"/>
      </w:divBdr>
    </w:div>
    <w:div w:id="1777364785">
      <w:bodyDiv w:val="1"/>
      <w:marLeft w:val="0"/>
      <w:marRight w:val="0"/>
      <w:marTop w:val="0"/>
      <w:marBottom w:val="0"/>
      <w:divBdr>
        <w:top w:val="none" w:sz="0" w:space="0" w:color="auto"/>
        <w:left w:val="none" w:sz="0" w:space="0" w:color="auto"/>
        <w:bottom w:val="none" w:sz="0" w:space="0" w:color="auto"/>
        <w:right w:val="none" w:sz="0" w:space="0" w:color="auto"/>
      </w:divBdr>
    </w:div>
    <w:div w:id="1777870387">
      <w:bodyDiv w:val="1"/>
      <w:marLeft w:val="0"/>
      <w:marRight w:val="0"/>
      <w:marTop w:val="0"/>
      <w:marBottom w:val="0"/>
      <w:divBdr>
        <w:top w:val="none" w:sz="0" w:space="0" w:color="auto"/>
        <w:left w:val="none" w:sz="0" w:space="0" w:color="auto"/>
        <w:bottom w:val="none" w:sz="0" w:space="0" w:color="auto"/>
        <w:right w:val="none" w:sz="0" w:space="0" w:color="auto"/>
      </w:divBdr>
    </w:div>
    <w:div w:id="1782528599">
      <w:bodyDiv w:val="1"/>
      <w:marLeft w:val="0"/>
      <w:marRight w:val="0"/>
      <w:marTop w:val="0"/>
      <w:marBottom w:val="0"/>
      <w:divBdr>
        <w:top w:val="none" w:sz="0" w:space="0" w:color="auto"/>
        <w:left w:val="none" w:sz="0" w:space="0" w:color="auto"/>
        <w:bottom w:val="none" w:sz="0" w:space="0" w:color="auto"/>
        <w:right w:val="none" w:sz="0" w:space="0" w:color="auto"/>
      </w:divBdr>
    </w:div>
    <w:div w:id="1783568626">
      <w:bodyDiv w:val="1"/>
      <w:marLeft w:val="0"/>
      <w:marRight w:val="0"/>
      <w:marTop w:val="0"/>
      <w:marBottom w:val="0"/>
      <w:divBdr>
        <w:top w:val="none" w:sz="0" w:space="0" w:color="auto"/>
        <w:left w:val="none" w:sz="0" w:space="0" w:color="auto"/>
        <w:bottom w:val="none" w:sz="0" w:space="0" w:color="auto"/>
        <w:right w:val="none" w:sz="0" w:space="0" w:color="auto"/>
      </w:divBdr>
    </w:div>
    <w:div w:id="1789008956">
      <w:bodyDiv w:val="1"/>
      <w:marLeft w:val="0"/>
      <w:marRight w:val="0"/>
      <w:marTop w:val="0"/>
      <w:marBottom w:val="0"/>
      <w:divBdr>
        <w:top w:val="none" w:sz="0" w:space="0" w:color="auto"/>
        <w:left w:val="none" w:sz="0" w:space="0" w:color="auto"/>
        <w:bottom w:val="none" w:sz="0" w:space="0" w:color="auto"/>
        <w:right w:val="none" w:sz="0" w:space="0" w:color="auto"/>
      </w:divBdr>
    </w:div>
    <w:div w:id="1794589977">
      <w:bodyDiv w:val="1"/>
      <w:marLeft w:val="0"/>
      <w:marRight w:val="0"/>
      <w:marTop w:val="0"/>
      <w:marBottom w:val="0"/>
      <w:divBdr>
        <w:top w:val="none" w:sz="0" w:space="0" w:color="auto"/>
        <w:left w:val="none" w:sz="0" w:space="0" w:color="auto"/>
        <w:bottom w:val="none" w:sz="0" w:space="0" w:color="auto"/>
        <w:right w:val="none" w:sz="0" w:space="0" w:color="auto"/>
      </w:divBdr>
    </w:div>
    <w:div w:id="1802380849">
      <w:bodyDiv w:val="1"/>
      <w:marLeft w:val="0"/>
      <w:marRight w:val="0"/>
      <w:marTop w:val="0"/>
      <w:marBottom w:val="0"/>
      <w:divBdr>
        <w:top w:val="none" w:sz="0" w:space="0" w:color="auto"/>
        <w:left w:val="none" w:sz="0" w:space="0" w:color="auto"/>
        <w:bottom w:val="none" w:sz="0" w:space="0" w:color="auto"/>
        <w:right w:val="none" w:sz="0" w:space="0" w:color="auto"/>
      </w:divBdr>
    </w:div>
    <w:div w:id="1816871059">
      <w:bodyDiv w:val="1"/>
      <w:marLeft w:val="0"/>
      <w:marRight w:val="0"/>
      <w:marTop w:val="0"/>
      <w:marBottom w:val="0"/>
      <w:divBdr>
        <w:top w:val="none" w:sz="0" w:space="0" w:color="auto"/>
        <w:left w:val="none" w:sz="0" w:space="0" w:color="auto"/>
        <w:bottom w:val="none" w:sz="0" w:space="0" w:color="auto"/>
        <w:right w:val="none" w:sz="0" w:space="0" w:color="auto"/>
      </w:divBdr>
    </w:div>
    <w:div w:id="1818956886">
      <w:bodyDiv w:val="1"/>
      <w:marLeft w:val="0"/>
      <w:marRight w:val="0"/>
      <w:marTop w:val="0"/>
      <w:marBottom w:val="0"/>
      <w:divBdr>
        <w:top w:val="none" w:sz="0" w:space="0" w:color="auto"/>
        <w:left w:val="none" w:sz="0" w:space="0" w:color="auto"/>
        <w:bottom w:val="none" w:sz="0" w:space="0" w:color="auto"/>
        <w:right w:val="none" w:sz="0" w:space="0" w:color="auto"/>
      </w:divBdr>
    </w:div>
    <w:div w:id="1820075360">
      <w:bodyDiv w:val="1"/>
      <w:marLeft w:val="0"/>
      <w:marRight w:val="0"/>
      <w:marTop w:val="0"/>
      <w:marBottom w:val="0"/>
      <w:divBdr>
        <w:top w:val="none" w:sz="0" w:space="0" w:color="auto"/>
        <w:left w:val="none" w:sz="0" w:space="0" w:color="auto"/>
        <w:bottom w:val="none" w:sz="0" w:space="0" w:color="auto"/>
        <w:right w:val="none" w:sz="0" w:space="0" w:color="auto"/>
      </w:divBdr>
    </w:div>
    <w:div w:id="1822306488">
      <w:bodyDiv w:val="1"/>
      <w:marLeft w:val="0"/>
      <w:marRight w:val="0"/>
      <w:marTop w:val="0"/>
      <w:marBottom w:val="0"/>
      <w:divBdr>
        <w:top w:val="none" w:sz="0" w:space="0" w:color="auto"/>
        <w:left w:val="none" w:sz="0" w:space="0" w:color="auto"/>
        <w:bottom w:val="none" w:sz="0" w:space="0" w:color="auto"/>
        <w:right w:val="none" w:sz="0" w:space="0" w:color="auto"/>
      </w:divBdr>
    </w:div>
    <w:div w:id="1837379340">
      <w:bodyDiv w:val="1"/>
      <w:marLeft w:val="0"/>
      <w:marRight w:val="0"/>
      <w:marTop w:val="0"/>
      <w:marBottom w:val="0"/>
      <w:divBdr>
        <w:top w:val="none" w:sz="0" w:space="0" w:color="auto"/>
        <w:left w:val="none" w:sz="0" w:space="0" w:color="auto"/>
        <w:bottom w:val="none" w:sz="0" w:space="0" w:color="auto"/>
        <w:right w:val="none" w:sz="0" w:space="0" w:color="auto"/>
      </w:divBdr>
    </w:div>
    <w:div w:id="1839730853">
      <w:bodyDiv w:val="1"/>
      <w:marLeft w:val="0"/>
      <w:marRight w:val="0"/>
      <w:marTop w:val="0"/>
      <w:marBottom w:val="0"/>
      <w:divBdr>
        <w:top w:val="none" w:sz="0" w:space="0" w:color="auto"/>
        <w:left w:val="none" w:sz="0" w:space="0" w:color="auto"/>
        <w:bottom w:val="none" w:sz="0" w:space="0" w:color="auto"/>
        <w:right w:val="none" w:sz="0" w:space="0" w:color="auto"/>
      </w:divBdr>
    </w:div>
    <w:div w:id="1844320008">
      <w:bodyDiv w:val="1"/>
      <w:marLeft w:val="0"/>
      <w:marRight w:val="0"/>
      <w:marTop w:val="0"/>
      <w:marBottom w:val="0"/>
      <w:divBdr>
        <w:top w:val="none" w:sz="0" w:space="0" w:color="auto"/>
        <w:left w:val="none" w:sz="0" w:space="0" w:color="auto"/>
        <w:bottom w:val="none" w:sz="0" w:space="0" w:color="auto"/>
        <w:right w:val="none" w:sz="0" w:space="0" w:color="auto"/>
      </w:divBdr>
    </w:div>
    <w:div w:id="1846704897">
      <w:bodyDiv w:val="1"/>
      <w:marLeft w:val="0"/>
      <w:marRight w:val="0"/>
      <w:marTop w:val="0"/>
      <w:marBottom w:val="0"/>
      <w:divBdr>
        <w:top w:val="none" w:sz="0" w:space="0" w:color="auto"/>
        <w:left w:val="none" w:sz="0" w:space="0" w:color="auto"/>
        <w:bottom w:val="none" w:sz="0" w:space="0" w:color="auto"/>
        <w:right w:val="none" w:sz="0" w:space="0" w:color="auto"/>
      </w:divBdr>
    </w:div>
    <w:div w:id="1858883646">
      <w:bodyDiv w:val="1"/>
      <w:marLeft w:val="0"/>
      <w:marRight w:val="0"/>
      <w:marTop w:val="0"/>
      <w:marBottom w:val="0"/>
      <w:divBdr>
        <w:top w:val="none" w:sz="0" w:space="0" w:color="auto"/>
        <w:left w:val="none" w:sz="0" w:space="0" w:color="auto"/>
        <w:bottom w:val="none" w:sz="0" w:space="0" w:color="auto"/>
        <w:right w:val="none" w:sz="0" w:space="0" w:color="auto"/>
      </w:divBdr>
    </w:div>
    <w:div w:id="1861553869">
      <w:bodyDiv w:val="1"/>
      <w:marLeft w:val="0"/>
      <w:marRight w:val="0"/>
      <w:marTop w:val="0"/>
      <w:marBottom w:val="0"/>
      <w:divBdr>
        <w:top w:val="none" w:sz="0" w:space="0" w:color="auto"/>
        <w:left w:val="none" w:sz="0" w:space="0" w:color="auto"/>
        <w:bottom w:val="none" w:sz="0" w:space="0" w:color="auto"/>
        <w:right w:val="none" w:sz="0" w:space="0" w:color="auto"/>
      </w:divBdr>
    </w:div>
    <w:div w:id="1862744321">
      <w:bodyDiv w:val="1"/>
      <w:marLeft w:val="0"/>
      <w:marRight w:val="0"/>
      <w:marTop w:val="0"/>
      <w:marBottom w:val="0"/>
      <w:divBdr>
        <w:top w:val="none" w:sz="0" w:space="0" w:color="auto"/>
        <w:left w:val="none" w:sz="0" w:space="0" w:color="auto"/>
        <w:bottom w:val="none" w:sz="0" w:space="0" w:color="auto"/>
        <w:right w:val="none" w:sz="0" w:space="0" w:color="auto"/>
      </w:divBdr>
    </w:div>
    <w:div w:id="1867908418">
      <w:bodyDiv w:val="1"/>
      <w:marLeft w:val="0"/>
      <w:marRight w:val="0"/>
      <w:marTop w:val="0"/>
      <w:marBottom w:val="0"/>
      <w:divBdr>
        <w:top w:val="none" w:sz="0" w:space="0" w:color="auto"/>
        <w:left w:val="none" w:sz="0" w:space="0" w:color="auto"/>
        <w:bottom w:val="none" w:sz="0" w:space="0" w:color="auto"/>
        <w:right w:val="none" w:sz="0" w:space="0" w:color="auto"/>
      </w:divBdr>
    </w:div>
    <w:div w:id="1867913458">
      <w:bodyDiv w:val="1"/>
      <w:marLeft w:val="0"/>
      <w:marRight w:val="0"/>
      <w:marTop w:val="0"/>
      <w:marBottom w:val="0"/>
      <w:divBdr>
        <w:top w:val="none" w:sz="0" w:space="0" w:color="auto"/>
        <w:left w:val="none" w:sz="0" w:space="0" w:color="auto"/>
        <w:bottom w:val="none" w:sz="0" w:space="0" w:color="auto"/>
        <w:right w:val="none" w:sz="0" w:space="0" w:color="auto"/>
      </w:divBdr>
    </w:div>
    <w:div w:id="1872108368">
      <w:bodyDiv w:val="1"/>
      <w:marLeft w:val="0"/>
      <w:marRight w:val="0"/>
      <w:marTop w:val="0"/>
      <w:marBottom w:val="0"/>
      <w:divBdr>
        <w:top w:val="none" w:sz="0" w:space="0" w:color="auto"/>
        <w:left w:val="none" w:sz="0" w:space="0" w:color="auto"/>
        <w:bottom w:val="none" w:sz="0" w:space="0" w:color="auto"/>
        <w:right w:val="none" w:sz="0" w:space="0" w:color="auto"/>
      </w:divBdr>
    </w:div>
    <w:div w:id="1875847152">
      <w:bodyDiv w:val="1"/>
      <w:marLeft w:val="0"/>
      <w:marRight w:val="0"/>
      <w:marTop w:val="0"/>
      <w:marBottom w:val="0"/>
      <w:divBdr>
        <w:top w:val="none" w:sz="0" w:space="0" w:color="auto"/>
        <w:left w:val="none" w:sz="0" w:space="0" w:color="auto"/>
        <w:bottom w:val="none" w:sz="0" w:space="0" w:color="auto"/>
        <w:right w:val="none" w:sz="0" w:space="0" w:color="auto"/>
      </w:divBdr>
    </w:div>
    <w:div w:id="1876384696">
      <w:bodyDiv w:val="1"/>
      <w:marLeft w:val="0"/>
      <w:marRight w:val="0"/>
      <w:marTop w:val="0"/>
      <w:marBottom w:val="0"/>
      <w:divBdr>
        <w:top w:val="none" w:sz="0" w:space="0" w:color="auto"/>
        <w:left w:val="none" w:sz="0" w:space="0" w:color="auto"/>
        <w:bottom w:val="none" w:sz="0" w:space="0" w:color="auto"/>
        <w:right w:val="none" w:sz="0" w:space="0" w:color="auto"/>
      </w:divBdr>
    </w:div>
    <w:div w:id="1886914971">
      <w:bodyDiv w:val="1"/>
      <w:marLeft w:val="0"/>
      <w:marRight w:val="0"/>
      <w:marTop w:val="0"/>
      <w:marBottom w:val="0"/>
      <w:divBdr>
        <w:top w:val="none" w:sz="0" w:space="0" w:color="auto"/>
        <w:left w:val="none" w:sz="0" w:space="0" w:color="auto"/>
        <w:bottom w:val="none" w:sz="0" w:space="0" w:color="auto"/>
        <w:right w:val="none" w:sz="0" w:space="0" w:color="auto"/>
      </w:divBdr>
    </w:div>
    <w:div w:id="1921863877">
      <w:bodyDiv w:val="1"/>
      <w:marLeft w:val="0"/>
      <w:marRight w:val="0"/>
      <w:marTop w:val="0"/>
      <w:marBottom w:val="0"/>
      <w:divBdr>
        <w:top w:val="none" w:sz="0" w:space="0" w:color="auto"/>
        <w:left w:val="none" w:sz="0" w:space="0" w:color="auto"/>
        <w:bottom w:val="none" w:sz="0" w:space="0" w:color="auto"/>
        <w:right w:val="none" w:sz="0" w:space="0" w:color="auto"/>
      </w:divBdr>
    </w:div>
    <w:div w:id="1937397064">
      <w:bodyDiv w:val="1"/>
      <w:marLeft w:val="0"/>
      <w:marRight w:val="0"/>
      <w:marTop w:val="0"/>
      <w:marBottom w:val="0"/>
      <w:divBdr>
        <w:top w:val="none" w:sz="0" w:space="0" w:color="auto"/>
        <w:left w:val="none" w:sz="0" w:space="0" w:color="auto"/>
        <w:bottom w:val="none" w:sz="0" w:space="0" w:color="auto"/>
        <w:right w:val="none" w:sz="0" w:space="0" w:color="auto"/>
      </w:divBdr>
    </w:div>
    <w:div w:id="1939604245">
      <w:bodyDiv w:val="1"/>
      <w:marLeft w:val="0"/>
      <w:marRight w:val="0"/>
      <w:marTop w:val="0"/>
      <w:marBottom w:val="0"/>
      <w:divBdr>
        <w:top w:val="none" w:sz="0" w:space="0" w:color="auto"/>
        <w:left w:val="none" w:sz="0" w:space="0" w:color="auto"/>
        <w:bottom w:val="none" w:sz="0" w:space="0" w:color="auto"/>
        <w:right w:val="none" w:sz="0" w:space="0" w:color="auto"/>
      </w:divBdr>
    </w:div>
    <w:div w:id="1961717925">
      <w:bodyDiv w:val="1"/>
      <w:marLeft w:val="0"/>
      <w:marRight w:val="0"/>
      <w:marTop w:val="0"/>
      <w:marBottom w:val="0"/>
      <w:divBdr>
        <w:top w:val="none" w:sz="0" w:space="0" w:color="auto"/>
        <w:left w:val="none" w:sz="0" w:space="0" w:color="auto"/>
        <w:bottom w:val="none" w:sz="0" w:space="0" w:color="auto"/>
        <w:right w:val="none" w:sz="0" w:space="0" w:color="auto"/>
      </w:divBdr>
    </w:div>
    <w:div w:id="1965504448">
      <w:bodyDiv w:val="1"/>
      <w:marLeft w:val="0"/>
      <w:marRight w:val="0"/>
      <w:marTop w:val="0"/>
      <w:marBottom w:val="0"/>
      <w:divBdr>
        <w:top w:val="none" w:sz="0" w:space="0" w:color="auto"/>
        <w:left w:val="none" w:sz="0" w:space="0" w:color="auto"/>
        <w:bottom w:val="none" w:sz="0" w:space="0" w:color="auto"/>
        <w:right w:val="none" w:sz="0" w:space="0" w:color="auto"/>
      </w:divBdr>
    </w:div>
    <w:div w:id="1967344243">
      <w:bodyDiv w:val="1"/>
      <w:marLeft w:val="0"/>
      <w:marRight w:val="0"/>
      <w:marTop w:val="0"/>
      <w:marBottom w:val="0"/>
      <w:divBdr>
        <w:top w:val="none" w:sz="0" w:space="0" w:color="auto"/>
        <w:left w:val="none" w:sz="0" w:space="0" w:color="auto"/>
        <w:bottom w:val="none" w:sz="0" w:space="0" w:color="auto"/>
        <w:right w:val="none" w:sz="0" w:space="0" w:color="auto"/>
      </w:divBdr>
    </w:div>
    <w:div w:id="1995600447">
      <w:bodyDiv w:val="1"/>
      <w:marLeft w:val="0"/>
      <w:marRight w:val="0"/>
      <w:marTop w:val="0"/>
      <w:marBottom w:val="0"/>
      <w:divBdr>
        <w:top w:val="none" w:sz="0" w:space="0" w:color="auto"/>
        <w:left w:val="none" w:sz="0" w:space="0" w:color="auto"/>
        <w:bottom w:val="none" w:sz="0" w:space="0" w:color="auto"/>
        <w:right w:val="none" w:sz="0" w:space="0" w:color="auto"/>
      </w:divBdr>
    </w:div>
    <w:div w:id="2002612415">
      <w:bodyDiv w:val="1"/>
      <w:marLeft w:val="0"/>
      <w:marRight w:val="0"/>
      <w:marTop w:val="0"/>
      <w:marBottom w:val="0"/>
      <w:divBdr>
        <w:top w:val="none" w:sz="0" w:space="0" w:color="auto"/>
        <w:left w:val="none" w:sz="0" w:space="0" w:color="auto"/>
        <w:bottom w:val="none" w:sz="0" w:space="0" w:color="auto"/>
        <w:right w:val="none" w:sz="0" w:space="0" w:color="auto"/>
      </w:divBdr>
    </w:div>
    <w:div w:id="2035304454">
      <w:bodyDiv w:val="1"/>
      <w:marLeft w:val="0"/>
      <w:marRight w:val="0"/>
      <w:marTop w:val="0"/>
      <w:marBottom w:val="0"/>
      <w:divBdr>
        <w:top w:val="none" w:sz="0" w:space="0" w:color="auto"/>
        <w:left w:val="none" w:sz="0" w:space="0" w:color="auto"/>
        <w:bottom w:val="none" w:sz="0" w:space="0" w:color="auto"/>
        <w:right w:val="none" w:sz="0" w:space="0" w:color="auto"/>
      </w:divBdr>
    </w:div>
    <w:div w:id="2044406260">
      <w:bodyDiv w:val="1"/>
      <w:marLeft w:val="0"/>
      <w:marRight w:val="0"/>
      <w:marTop w:val="0"/>
      <w:marBottom w:val="0"/>
      <w:divBdr>
        <w:top w:val="none" w:sz="0" w:space="0" w:color="auto"/>
        <w:left w:val="none" w:sz="0" w:space="0" w:color="auto"/>
        <w:bottom w:val="none" w:sz="0" w:space="0" w:color="auto"/>
        <w:right w:val="none" w:sz="0" w:space="0" w:color="auto"/>
      </w:divBdr>
    </w:div>
    <w:div w:id="2045908713">
      <w:bodyDiv w:val="1"/>
      <w:marLeft w:val="0"/>
      <w:marRight w:val="0"/>
      <w:marTop w:val="0"/>
      <w:marBottom w:val="0"/>
      <w:divBdr>
        <w:top w:val="none" w:sz="0" w:space="0" w:color="auto"/>
        <w:left w:val="none" w:sz="0" w:space="0" w:color="auto"/>
        <w:bottom w:val="none" w:sz="0" w:space="0" w:color="auto"/>
        <w:right w:val="none" w:sz="0" w:space="0" w:color="auto"/>
      </w:divBdr>
    </w:div>
    <w:div w:id="2052459572">
      <w:bodyDiv w:val="1"/>
      <w:marLeft w:val="0"/>
      <w:marRight w:val="0"/>
      <w:marTop w:val="0"/>
      <w:marBottom w:val="0"/>
      <w:divBdr>
        <w:top w:val="none" w:sz="0" w:space="0" w:color="auto"/>
        <w:left w:val="none" w:sz="0" w:space="0" w:color="auto"/>
        <w:bottom w:val="none" w:sz="0" w:space="0" w:color="auto"/>
        <w:right w:val="none" w:sz="0" w:space="0" w:color="auto"/>
      </w:divBdr>
    </w:div>
    <w:div w:id="2058898157">
      <w:bodyDiv w:val="1"/>
      <w:marLeft w:val="0"/>
      <w:marRight w:val="0"/>
      <w:marTop w:val="0"/>
      <w:marBottom w:val="0"/>
      <w:divBdr>
        <w:top w:val="none" w:sz="0" w:space="0" w:color="auto"/>
        <w:left w:val="none" w:sz="0" w:space="0" w:color="auto"/>
        <w:bottom w:val="none" w:sz="0" w:space="0" w:color="auto"/>
        <w:right w:val="none" w:sz="0" w:space="0" w:color="auto"/>
      </w:divBdr>
    </w:div>
    <w:div w:id="2059160508">
      <w:bodyDiv w:val="1"/>
      <w:marLeft w:val="0"/>
      <w:marRight w:val="0"/>
      <w:marTop w:val="0"/>
      <w:marBottom w:val="0"/>
      <w:divBdr>
        <w:top w:val="none" w:sz="0" w:space="0" w:color="auto"/>
        <w:left w:val="none" w:sz="0" w:space="0" w:color="auto"/>
        <w:bottom w:val="none" w:sz="0" w:space="0" w:color="auto"/>
        <w:right w:val="none" w:sz="0" w:space="0" w:color="auto"/>
      </w:divBdr>
    </w:div>
    <w:div w:id="2063630048">
      <w:bodyDiv w:val="1"/>
      <w:marLeft w:val="0"/>
      <w:marRight w:val="0"/>
      <w:marTop w:val="0"/>
      <w:marBottom w:val="0"/>
      <w:divBdr>
        <w:top w:val="none" w:sz="0" w:space="0" w:color="auto"/>
        <w:left w:val="none" w:sz="0" w:space="0" w:color="auto"/>
        <w:bottom w:val="none" w:sz="0" w:space="0" w:color="auto"/>
        <w:right w:val="none" w:sz="0" w:space="0" w:color="auto"/>
      </w:divBdr>
    </w:div>
    <w:div w:id="2068381909">
      <w:bodyDiv w:val="1"/>
      <w:marLeft w:val="0"/>
      <w:marRight w:val="0"/>
      <w:marTop w:val="0"/>
      <w:marBottom w:val="0"/>
      <w:divBdr>
        <w:top w:val="none" w:sz="0" w:space="0" w:color="auto"/>
        <w:left w:val="none" w:sz="0" w:space="0" w:color="auto"/>
        <w:bottom w:val="none" w:sz="0" w:space="0" w:color="auto"/>
        <w:right w:val="none" w:sz="0" w:space="0" w:color="auto"/>
      </w:divBdr>
    </w:div>
    <w:div w:id="2083868882">
      <w:bodyDiv w:val="1"/>
      <w:marLeft w:val="0"/>
      <w:marRight w:val="0"/>
      <w:marTop w:val="0"/>
      <w:marBottom w:val="0"/>
      <w:divBdr>
        <w:top w:val="none" w:sz="0" w:space="0" w:color="auto"/>
        <w:left w:val="none" w:sz="0" w:space="0" w:color="auto"/>
        <w:bottom w:val="none" w:sz="0" w:space="0" w:color="auto"/>
        <w:right w:val="none" w:sz="0" w:space="0" w:color="auto"/>
      </w:divBdr>
    </w:div>
    <w:div w:id="2088309657">
      <w:bodyDiv w:val="1"/>
      <w:marLeft w:val="0"/>
      <w:marRight w:val="0"/>
      <w:marTop w:val="0"/>
      <w:marBottom w:val="0"/>
      <w:divBdr>
        <w:top w:val="none" w:sz="0" w:space="0" w:color="auto"/>
        <w:left w:val="none" w:sz="0" w:space="0" w:color="auto"/>
        <w:bottom w:val="none" w:sz="0" w:space="0" w:color="auto"/>
        <w:right w:val="none" w:sz="0" w:space="0" w:color="auto"/>
      </w:divBdr>
    </w:div>
    <w:div w:id="2093886853">
      <w:bodyDiv w:val="1"/>
      <w:marLeft w:val="0"/>
      <w:marRight w:val="0"/>
      <w:marTop w:val="0"/>
      <w:marBottom w:val="0"/>
      <w:divBdr>
        <w:top w:val="none" w:sz="0" w:space="0" w:color="auto"/>
        <w:left w:val="none" w:sz="0" w:space="0" w:color="auto"/>
        <w:bottom w:val="none" w:sz="0" w:space="0" w:color="auto"/>
        <w:right w:val="none" w:sz="0" w:space="0" w:color="auto"/>
      </w:divBdr>
    </w:div>
    <w:div w:id="2099326021">
      <w:bodyDiv w:val="1"/>
      <w:marLeft w:val="0"/>
      <w:marRight w:val="0"/>
      <w:marTop w:val="0"/>
      <w:marBottom w:val="0"/>
      <w:divBdr>
        <w:top w:val="none" w:sz="0" w:space="0" w:color="auto"/>
        <w:left w:val="none" w:sz="0" w:space="0" w:color="auto"/>
        <w:bottom w:val="none" w:sz="0" w:space="0" w:color="auto"/>
        <w:right w:val="none" w:sz="0" w:space="0" w:color="auto"/>
      </w:divBdr>
    </w:div>
    <w:div w:id="2105493587">
      <w:bodyDiv w:val="1"/>
      <w:marLeft w:val="0"/>
      <w:marRight w:val="0"/>
      <w:marTop w:val="0"/>
      <w:marBottom w:val="0"/>
      <w:divBdr>
        <w:top w:val="none" w:sz="0" w:space="0" w:color="auto"/>
        <w:left w:val="none" w:sz="0" w:space="0" w:color="auto"/>
        <w:bottom w:val="none" w:sz="0" w:space="0" w:color="auto"/>
        <w:right w:val="none" w:sz="0" w:space="0" w:color="auto"/>
      </w:divBdr>
    </w:div>
    <w:div w:id="2109156284">
      <w:bodyDiv w:val="1"/>
      <w:marLeft w:val="0"/>
      <w:marRight w:val="0"/>
      <w:marTop w:val="0"/>
      <w:marBottom w:val="0"/>
      <w:divBdr>
        <w:top w:val="none" w:sz="0" w:space="0" w:color="auto"/>
        <w:left w:val="none" w:sz="0" w:space="0" w:color="auto"/>
        <w:bottom w:val="none" w:sz="0" w:space="0" w:color="auto"/>
        <w:right w:val="none" w:sz="0" w:space="0" w:color="auto"/>
      </w:divBdr>
    </w:div>
    <w:div w:id="2121341130">
      <w:bodyDiv w:val="1"/>
      <w:marLeft w:val="0"/>
      <w:marRight w:val="0"/>
      <w:marTop w:val="0"/>
      <w:marBottom w:val="0"/>
      <w:divBdr>
        <w:top w:val="none" w:sz="0" w:space="0" w:color="auto"/>
        <w:left w:val="none" w:sz="0" w:space="0" w:color="auto"/>
        <w:bottom w:val="none" w:sz="0" w:space="0" w:color="auto"/>
        <w:right w:val="none" w:sz="0" w:space="0" w:color="auto"/>
      </w:divBdr>
    </w:div>
    <w:div w:id="2124685621">
      <w:bodyDiv w:val="1"/>
      <w:marLeft w:val="0"/>
      <w:marRight w:val="0"/>
      <w:marTop w:val="0"/>
      <w:marBottom w:val="0"/>
      <w:divBdr>
        <w:top w:val="none" w:sz="0" w:space="0" w:color="auto"/>
        <w:left w:val="none" w:sz="0" w:space="0" w:color="auto"/>
        <w:bottom w:val="none" w:sz="0" w:space="0" w:color="auto"/>
        <w:right w:val="none" w:sz="0" w:space="0" w:color="auto"/>
      </w:divBdr>
    </w:div>
    <w:div w:id="2128892185">
      <w:bodyDiv w:val="1"/>
      <w:marLeft w:val="0"/>
      <w:marRight w:val="0"/>
      <w:marTop w:val="0"/>
      <w:marBottom w:val="0"/>
      <w:divBdr>
        <w:top w:val="none" w:sz="0" w:space="0" w:color="auto"/>
        <w:left w:val="none" w:sz="0" w:space="0" w:color="auto"/>
        <w:bottom w:val="none" w:sz="0" w:space="0" w:color="auto"/>
        <w:right w:val="none" w:sz="0" w:space="0" w:color="auto"/>
      </w:divBdr>
    </w:div>
    <w:div w:id="2138258855">
      <w:bodyDiv w:val="1"/>
      <w:marLeft w:val="0"/>
      <w:marRight w:val="0"/>
      <w:marTop w:val="0"/>
      <w:marBottom w:val="0"/>
      <w:divBdr>
        <w:top w:val="none" w:sz="0" w:space="0" w:color="auto"/>
        <w:left w:val="none" w:sz="0" w:space="0" w:color="auto"/>
        <w:bottom w:val="none" w:sz="0" w:space="0" w:color="auto"/>
        <w:right w:val="none" w:sz="0" w:space="0" w:color="auto"/>
      </w:divBdr>
    </w:div>
    <w:div w:id="21433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orkingfamilies.org.uk/campaigns/happy-to-talk-flexible-working/"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www.ecu.ac.uk/equality-charters/athena-swan/about-athena-swa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s://gender-pay-gap.service.gov.uk/public/assets/pdf/Evidence-based_actions_for_employers.pdf" TargetMode="External"/><Relationship Id="rId28"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www.workingfamilies.org.uk/wp-content/uploads/2016/01/Happy-to-Talk-Flexible-Working-strapline-Jan-16-with-all-logos.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arkeri\Documents\2019%20data\workforce\gpg\Collect%20main%20findings%201819.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darkeri\Documents\2019%20data\workforce\gpg\benchmarking%20data%201819\UK%20Gender%20Pay%20Gap%20Data%20-%202018%20to%202019.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darkeri\Documents\2019%20data\workforce\gpg\benchmarking%20data%201819\UK%20Gender%20Pay%20Gap%20Data%20-%202018%20to%20201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arkeri\Documents\2019%20data\workforce\gpg\Collect%20main%20findings%201819.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darkeri\Documents\2019%20data\workforce\gpg\Collect%20main%20findings%201819.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darkeri\Documents\2019%20data\workforce\gpg\Collect%20main%20findings%201819.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darkeri\Documents\2019%20data\workforce\gpg\Collect%20main%20findings%2018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rkeri\Documents\2019%20data\workforce\gpg\Collect%20main%20findings%201819.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darkeri\Documents\2019%20data\workforce\gpg\benchmarking%20data%201819\UK%20Gender%20Pay%20Gap%20Data%20-%202018%20to%202019.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darkeri\Documents\2019%20data\workforce\gpg\benchmarking%20data%201819\UK%20Gender%20Pay%20Gap%20Data%20-%202018%20to%202019.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darkeri\Documents\2019%20data\workforce\gpg\benchmarking%20data%201819\UK%20Gender%20Pay%20Gap%20Data%20-%202018%20to%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446766269600918"/>
          <c:y val="2.4837697116995867E-2"/>
          <c:w val="0.55528568544316581"/>
          <c:h val="0.82105497770256464"/>
        </c:manualLayout>
      </c:layout>
      <c:barChart>
        <c:barDir val="bar"/>
        <c:grouping val="percentStacked"/>
        <c:varyColors val="0"/>
        <c:ser>
          <c:idx val="0"/>
          <c:order val="0"/>
          <c:tx>
            <c:strRef>
              <c:f>'genderXpayband PTFT'!$T$33</c:f>
              <c:strCache>
                <c:ptCount val="1"/>
                <c:pt idx="0">
                  <c:v>Female: FT</c:v>
                </c:pt>
              </c:strCache>
            </c:strRef>
          </c:tx>
          <c:spPr>
            <a:solidFill>
              <a:srgbClr val="FF6600"/>
            </a:solidFill>
          </c:spPr>
          <c:invertIfNegative val="0"/>
          <c:cat>
            <c:strRef>
              <c:f>'genderXpayband PTFT'!$U$32:$AQ$32</c:f>
              <c:strCache>
                <c:ptCount val="23"/>
                <c:pt idx="0">
                  <c:v>Workforce Overall, n = 5746</c:v>
                </c:pt>
                <c:pt idx="2">
                  <c:v>Band 2 and under, n = 336</c:v>
                </c:pt>
                <c:pt idx="3">
                  <c:v>Band 3, n = 319</c:v>
                </c:pt>
                <c:pt idx="4">
                  <c:v>Band 4, n = 267</c:v>
                </c:pt>
                <c:pt idx="5">
                  <c:v>Band 5, n = 147</c:v>
                </c:pt>
                <c:pt idx="6">
                  <c:v>Band 6, n = 106</c:v>
                </c:pt>
                <c:pt idx="7">
                  <c:v>Band 7, n = 120</c:v>
                </c:pt>
                <c:pt idx="8">
                  <c:v>Band 8a, n = 65</c:v>
                </c:pt>
                <c:pt idx="9">
                  <c:v>Band 8b, n = 41</c:v>
                </c:pt>
                <c:pt idx="10">
                  <c:v>Band 8c to VSM, n = 39</c:v>
                </c:pt>
                <c:pt idx="12">
                  <c:v>Band 2 and under, n = 818</c:v>
                </c:pt>
                <c:pt idx="13">
                  <c:v>Band 3, n = 485</c:v>
                </c:pt>
                <c:pt idx="14">
                  <c:v>Band 4, n = 224</c:v>
                </c:pt>
                <c:pt idx="15">
                  <c:v>Band 5, n = 843</c:v>
                </c:pt>
                <c:pt idx="16">
                  <c:v>Band 6, n = 1128</c:v>
                </c:pt>
                <c:pt idx="17">
                  <c:v>Band 7, n = 404</c:v>
                </c:pt>
                <c:pt idx="18">
                  <c:v>Band 8a, n = 138</c:v>
                </c:pt>
                <c:pt idx="19">
                  <c:v>Band 8b to 8d, n = 78</c:v>
                </c:pt>
                <c:pt idx="21">
                  <c:v>Not consultant, n = 78</c:v>
                </c:pt>
                <c:pt idx="22">
                  <c:v>Consultant, n = 110</c:v>
                </c:pt>
              </c:strCache>
            </c:strRef>
          </c:cat>
          <c:val>
            <c:numRef>
              <c:f>'genderXpayband PTFT'!$U$33:$AQ$33</c:f>
              <c:numCache>
                <c:formatCode>General</c:formatCode>
                <c:ptCount val="23"/>
                <c:pt idx="0">
                  <c:v>2227</c:v>
                </c:pt>
                <c:pt idx="2">
                  <c:v>106</c:v>
                </c:pt>
                <c:pt idx="3">
                  <c:v>146</c:v>
                </c:pt>
                <c:pt idx="4">
                  <c:v>101</c:v>
                </c:pt>
                <c:pt idx="5">
                  <c:v>75</c:v>
                </c:pt>
                <c:pt idx="6">
                  <c:v>46</c:v>
                </c:pt>
                <c:pt idx="7">
                  <c:v>37</c:v>
                </c:pt>
                <c:pt idx="8">
                  <c:v>27</c:v>
                </c:pt>
                <c:pt idx="9">
                  <c:v>21</c:v>
                </c:pt>
                <c:pt idx="10">
                  <c:v>22</c:v>
                </c:pt>
                <c:pt idx="12">
                  <c:v>233</c:v>
                </c:pt>
                <c:pt idx="13">
                  <c:v>210</c:v>
                </c:pt>
                <c:pt idx="14">
                  <c:v>95</c:v>
                </c:pt>
                <c:pt idx="15">
                  <c:v>331</c:v>
                </c:pt>
                <c:pt idx="16">
                  <c:v>459</c:v>
                </c:pt>
                <c:pt idx="17">
                  <c:v>182</c:v>
                </c:pt>
                <c:pt idx="18">
                  <c:v>55</c:v>
                </c:pt>
                <c:pt idx="19">
                  <c:v>26</c:v>
                </c:pt>
                <c:pt idx="21">
                  <c:v>23</c:v>
                </c:pt>
                <c:pt idx="22">
                  <c:v>32</c:v>
                </c:pt>
              </c:numCache>
            </c:numRef>
          </c:val>
        </c:ser>
        <c:ser>
          <c:idx val="1"/>
          <c:order val="1"/>
          <c:tx>
            <c:strRef>
              <c:f>'genderXpayband PTFT'!$T$34</c:f>
              <c:strCache>
                <c:ptCount val="1"/>
                <c:pt idx="0">
                  <c:v>Female: PT</c:v>
                </c:pt>
              </c:strCache>
            </c:strRef>
          </c:tx>
          <c:spPr>
            <a:solidFill>
              <a:schemeClr val="accent6"/>
            </a:solidFill>
          </c:spPr>
          <c:invertIfNegative val="0"/>
          <c:cat>
            <c:strRef>
              <c:f>'genderXpayband PTFT'!$U$32:$AQ$32</c:f>
              <c:strCache>
                <c:ptCount val="23"/>
                <c:pt idx="0">
                  <c:v>Workforce Overall, n = 5746</c:v>
                </c:pt>
                <c:pt idx="2">
                  <c:v>Band 2 and under, n = 336</c:v>
                </c:pt>
                <c:pt idx="3">
                  <c:v>Band 3, n = 319</c:v>
                </c:pt>
                <c:pt idx="4">
                  <c:v>Band 4, n = 267</c:v>
                </c:pt>
                <c:pt idx="5">
                  <c:v>Band 5, n = 147</c:v>
                </c:pt>
                <c:pt idx="6">
                  <c:v>Band 6, n = 106</c:v>
                </c:pt>
                <c:pt idx="7">
                  <c:v>Band 7, n = 120</c:v>
                </c:pt>
                <c:pt idx="8">
                  <c:v>Band 8a, n = 65</c:v>
                </c:pt>
                <c:pt idx="9">
                  <c:v>Band 8b, n = 41</c:v>
                </c:pt>
                <c:pt idx="10">
                  <c:v>Band 8c to VSM, n = 39</c:v>
                </c:pt>
                <c:pt idx="12">
                  <c:v>Band 2 and under, n = 818</c:v>
                </c:pt>
                <c:pt idx="13">
                  <c:v>Band 3, n = 485</c:v>
                </c:pt>
                <c:pt idx="14">
                  <c:v>Band 4, n = 224</c:v>
                </c:pt>
                <c:pt idx="15">
                  <c:v>Band 5, n = 843</c:v>
                </c:pt>
                <c:pt idx="16">
                  <c:v>Band 6, n = 1128</c:v>
                </c:pt>
                <c:pt idx="17">
                  <c:v>Band 7, n = 404</c:v>
                </c:pt>
                <c:pt idx="18">
                  <c:v>Band 8a, n = 138</c:v>
                </c:pt>
                <c:pt idx="19">
                  <c:v>Band 8b to 8d, n = 78</c:v>
                </c:pt>
                <c:pt idx="21">
                  <c:v>Not consultant, n = 78</c:v>
                </c:pt>
                <c:pt idx="22">
                  <c:v>Consultant, n = 110</c:v>
                </c:pt>
              </c:strCache>
            </c:strRef>
          </c:cat>
          <c:val>
            <c:numRef>
              <c:f>'genderXpayband PTFT'!$U$34:$AQ$34</c:f>
              <c:numCache>
                <c:formatCode>General</c:formatCode>
                <c:ptCount val="23"/>
                <c:pt idx="0">
                  <c:v>2498</c:v>
                </c:pt>
                <c:pt idx="2">
                  <c:v>174</c:v>
                </c:pt>
                <c:pt idx="3">
                  <c:v>130</c:v>
                </c:pt>
                <c:pt idx="4">
                  <c:v>120</c:v>
                </c:pt>
                <c:pt idx="5">
                  <c:v>26</c:v>
                </c:pt>
                <c:pt idx="6">
                  <c:v>24</c:v>
                </c:pt>
                <c:pt idx="7">
                  <c:v>27</c:v>
                </c:pt>
                <c:pt idx="8">
                  <c:v>10</c:v>
                </c:pt>
                <c:pt idx="9">
                  <c:v>7</c:v>
                </c:pt>
                <c:pt idx="10">
                  <c:v>4</c:v>
                </c:pt>
                <c:pt idx="12">
                  <c:v>430</c:v>
                </c:pt>
                <c:pt idx="13">
                  <c:v>215</c:v>
                </c:pt>
                <c:pt idx="14">
                  <c:v>106</c:v>
                </c:pt>
                <c:pt idx="15">
                  <c:v>414</c:v>
                </c:pt>
                <c:pt idx="16">
                  <c:v>510</c:v>
                </c:pt>
                <c:pt idx="17">
                  <c:v>160</c:v>
                </c:pt>
                <c:pt idx="18">
                  <c:v>60</c:v>
                </c:pt>
                <c:pt idx="19">
                  <c:v>36</c:v>
                </c:pt>
                <c:pt idx="21">
                  <c:v>22</c:v>
                </c:pt>
                <c:pt idx="22">
                  <c:v>23</c:v>
                </c:pt>
              </c:numCache>
            </c:numRef>
          </c:val>
        </c:ser>
        <c:ser>
          <c:idx val="2"/>
          <c:order val="2"/>
          <c:tx>
            <c:strRef>
              <c:f>'genderXpayband PTFT'!$T$35</c:f>
              <c:strCache>
                <c:ptCount val="1"/>
                <c:pt idx="0">
                  <c:v>Male: FT</c:v>
                </c:pt>
              </c:strCache>
            </c:strRef>
          </c:tx>
          <c:spPr>
            <a:solidFill>
              <a:srgbClr val="00B0F0"/>
            </a:solidFill>
          </c:spPr>
          <c:invertIfNegative val="0"/>
          <c:cat>
            <c:strRef>
              <c:f>'genderXpayband PTFT'!$U$32:$AQ$32</c:f>
              <c:strCache>
                <c:ptCount val="23"/>
                <c:pt idx="0">
                  <c:v>Workforce Overall, n = 5746</c:v>
                </c:pt>
                <c:pt idx="2">
                  <c:v>Band 2 and under, n = 336</c:v>
                </c:pt>
                <c:pt idx="3">
                  <c:v>Band 3, n = 319</c:v>
                </c:pt>
                <c:pt idx="4">
                  <c:v>Band 4, n = 267</c:v>
                </c:pt>
                <c:pt idx="5">
                  <c:v>Band 5, n = 147</c:v>
                </c:pt>
                <c:pt idx="6">
                  <c:v>Band 6, n = 106</c:v>
                </c:pt>
                <c:pt idx="7">
                  <c:v>Band 7, n = 120</c:v>
                </c:pt>
                <c:pt idx="8">
                  <c:v>Band 8a, n = 65</c:v>
                </c:pt>
                <c:pt idx="9">
                  <c:v>Band 8b, n = 41</c:v>
                </c:pt>
                <c:pt idx="10">
                  <c:v>Band 8c to VSM, n = 39</c:v>
                </c:pt>
                <c:pt idx="12">
                  <c:v>Band 2 and under, n = 818</c:v>
                </c:pt>
                <c:pt idx="13">
                  <c:v>Band 3, n = 485</c:v>
                </c:pt>
                <c:pt idx="14">
                  <c:v>Band 4, n = 224</c:v>
                </c:pt>
                <c:pt idx="15">
                  <c:v>Band 5, n = 843</c:v>
                </c:pt>
                <c:pt idx="16">
                  <c:v>Band 6, n = 1128</c:v>
                </c:pt>
                <c:pt idx="17">
                  <c:v>Band 7, n = 404</c:v>
                </c:pt>
                <c:pt idx="18">
                  <c:v>Band 8a, n = 138</c:v>
                </c:pt>
                <c:pt idx="19">
                  <c:v>Band 8b to 8d, n = 78</c:v>
                </c:pt>
                <c:pt idx="21">
                  <c:v>Not consultant, n = 78</c:v>
                </c:pt>
                <c:pt idx="22">
                  <c:v>Consultant, n = 110</c:v>
                </c:pt>
              </c:strCache>
            </c:strRef>
          </c:cat>
          <c:val>
            <c:numRef>
              <c:f>'genderXpayband PTFT'!$U$35:$AQ$35</c:f>
              <c:numCache>
                <c:formatCode>General</c:formatCode>
                <c:ptCount val="23"/>
                <c:pt idx="0">
                  <c:v>752</c:v>
                </c:pt>
                <c:pt idx="2">
                  <c:v>26</c:v>
                </c:pt>
                <c:pt idx="3">
                  <c:v>36</c:v>
                </c:pt>
                <c:pt idx="4">
                  <c:v>28</c:v>
                </c:pt>
                <c:pt idx="5">
                  <c:v>44</c:v>
                </c:pt>
                <c:pt idx="6">
                  <c:v>33</c:v>
                </c:pt>
                <c:pt idx="7">
                  <c:v>48</c:v>
                </c:pt>
                <c:pt idx="8">
                  <c:v>23</c:v>
                </c:pt>
                <c:pt idx="9">
                  <c:v>9</c:v>
                </c:pt>
                <c:pt idx="10">
                  <c:v>11</c:v>
                </c:pt>
                <c:pt idx="12">
                  <c:v>69</c:v>
                </c:pt>
                <c:pt idx="13">
                  <c:v>44</c:v>
                </c:pt>
                <c:pt idx="14">
                  <c:v>21</c:v>
                </c:pt>
                <c:pt idx="15">
                  <c:v>72</c:v>
                </c:pt>
                <c:pt idx="16">
                  <c:v>127</c:v>
                </c:pt>
                <c:pt idx="17">
                  <c:v>50</c:v>
                </c:pt>
                <c:pt idx="18">
                  <c:v>20</c:v>
                </c:pt>
                <c:pt idx="19">
                  <c:v>13</c:v>
                </c:pt>
                <c:pt idx="21">
                  <c:v>29</c:v>
                </c:pt>
                <c:pt idx="22">
                  <c:v>49</c:v>
                </c:pt>
              </c:numCache>
            </c:numRef>
          </c:val>
        </c:ser>
        <c:ser>
          <c:idx val="3"/>
          <c:order val="3"/>
          <c:tx>
            <c:strRef>
              <c:f>'genderXpayband PTFT'!$T$36</c:f>
              <c:strCache>
                <c:ptCount val="1"/>
                <c:pt idx="0">
                  <c:v>Male: PT</c:v>
                </c:pt>
              </c:strCache>
            </c:strRef>
          </c:tx>
          <c:spPr>
            <a:solidFill>
              <a:schemeClr val="accent5">
                <a:lumMod val="40000"/>
                <a:lumOff val="60000"/>
              </a:schemeClr>
            </a:solidFill>
          </c:spPr>
          <c:invertIfNegative val="0"/>
          <c:cat>
            <c:strRef>
              <c:f>'genderXpayband PTFT'!$U$32:$AQ$32</c:f>
              <c:strCache>
                <c:ptCount val="23"/>
                <c:pt idx="0">
                  <c:v>Workforce Overall, n = 5746</c:v>
                </c:pt>
                <c:pt idx="2">
                  <c:v>Band 2 and under, n = 336</c:v>
                </c:pt>
                <c:pt idx="3">
                  <c:v>Band 3, n = 319</c:v>
                </c:pt>
                <c:pt idx="4">
                  <c:v>Band 4, n = 267</c:v>
                </c:pt>
                <c:pt idx="5">
                  <c:v>Band 5, n = 147</c:v>
                </c:pt>
                <c:pt idx="6">
                  <c:v>Band 6, n = 106</c:v>
                </c:pt>
                <c:pt idx="7">
                  <c:v>Band 7, n = 120</c:v>
                </c:pt>
                <c:pt idx="8">
                  <c:v>Band 8a, n = 65</c:v>
                </c:pt>
                <c:pt idx="9">
                  <c:v>Band 8b, n = 41</c:v>
                </c:pt>
                <c:pt idx="10">
                  <c:v>Band 8c to VSM, n = 39</c:v>
                </c:pt>
                <c:pt idx="12">
                  <c:v>Band 2 and under, n = 818</c:v>
                </c:pt>
                <c:pt idx="13">
                  <c:v>Band 3, n = 485</c:v>
                </c:pt>
                <c:pt idx="14">
                  <c:v>Band 4, n = 224</c:v>
                </c:pt>
                <c:pt idx="15">
                  <c:v>Band 5, n = 843</c:v>
                </c:pt>
                <c:pt idx="16">
                  <c:v>Band 6, n = 1128</c:v>
                </c:pt>
                <c:pt idx="17">
                  <c:v>Band 7, n = 404</c:v>
                </c:pt>
                <c:pt idx="18">
                  <c:v>Band 8a, n = 138</c:v>
                </c:pt>
                <c:pt idx="19">
                  <c:v>Band 8b to 8d, n = 78</c:v>
                </c:pt>
                <c:pt idx="21">
                  <c:v>Not consultant, n = 78</c:v>
                </c:pt>
                <c:pt idx="22">
                  <c:v>Consultant, n = 110</c:v>
                </c:pt>
              </c:strCache>
            </c:strRef>
          </c:cat>
          <c:val>
            <c:numRef>
              <c:f>'genderXpayband PTFT'!$U$36:$AQ$36</c:f>
              <c:numCache>
                <c:formatCode>General</c:formatCode>
                <c:ptCount val="23"/>
                <c:pt idx="0">
                  <c:v>269</c:v>
                </c:pt>
                <c:pt idx="2">
                  <c:v>30</c:v>
                </c:pt>
                <c:pt idx="3">
                  <c:v>7</c:v>
                </c:pt>
                <c:pt idx="4">
                  <c:v>18</c:v>
                </c:pt>
                <c:pt idx="5">
                  <c:v>2</c:v>
                </c:pt>
                <c:pt idx="6">
                  <c:v>3</c:v>
                </c:pt>
                <c:pt idx="7">
                  <c:v>8</c:v>
                </c:pt>
                <c:pt idx="8">
                  <c:v>5</c:v>
                </c:pt>
                <c:pt idx="9">
                  <c:v>4</c:v>
                </c:pt>
                <c:pt idx="10">
                  <c:v>2</c:v>
                </c:pt>
                <c:pt idx="12">
                  <c:v>86</c:v>
                </c:pt>
                <c:pt idx="13">
                  <c:v>16</c:v>
                </c:pt>
                <c:pt idx="14">
                  <c:v>2</c:v>
                </c:pt>
                <c:pt idx="15">
                  <c:v>26</c:v>
                </c:pt>
                <c:pt idx="16">
                  <c:v>32</c:v>
                </c:pt>
                <c:pt idx="17">
                  <c:v>12</c:v>
                </c:pt>
                <c:pt idx="18">
                  <c:v>3</c:v>
                </c:pt>
                <c:pt idx="19">
                  <c:v>3</c:v>
                </c:pt>
                <c:pt idx="21">
                  <c:v>4</c:v>
                </c:pt>
                <c:pt idx="22">
                  <c:v>6</c:v>
                </c:pt>
              </c:numCache>
            </c:numRef>
          </c:val>
        </c:ser>
        <c:dLbls>
          <c:showLegendKey val="0"/>
          <c:showVal val="0"/>
          <c:showCatName val="0"/>
          <c:showSerName val="0"/>
          <c:showPercent val="0"/>
          <c:showBubbleSize val="0"/>
        </c:dLbls>
        <c:gapWidth val="25"/>
        <c:overlap val="100"/>
        <c:axId val="226356224"/>
        <c:axId val="222438144"/>
      </c:barChart>
      <c:catAx>
        <c:axId val="226356224"/>
        <c:scaling>
          <c:orientation val="maxMin"/>
        </c:scaling>
        <c:delete val="0"/>
        <c:axPos val="l"/>
        <c:majorTickMark val="out"/>
        <c:minorTickMark val="none"/>
        <c:tickLblPos val="nextTo"/>
        <c:crossAx val="222438144"/>
        <c:crosses val="autoZero"/>
        <c:auto val="1"/>
        <c:lblAlgn val="ctr"/>
        <c:lblOffset val="100"/>
        <c:noMultiLvlLbl val="0"/>
      </c:catAx>
      <c:valAx>
        <c:axId val="222438144"/>
        <c:scaling>
          <c:orientation val="minMax"/>
        </c:scaling>
        <c:delete val="0"/>
        <c:axPos val="b"/>
        <c:majorGridlines/>
        <c:title>
          <c:tx>
            <c:rich>
              <a:bodyPr/>
              <a:lstStyle/>
              <a:p>
                <a:pPr>
                  <a:defRPr/>
                </a:pPr>
                <a:r>
                  <a:rPr lang="en-GB"/>
                  <a:t>Percentage of full-pay relevant</a:t>
                </a:r>
                <a:r>
                  <a:rPr lang="en-GB" baseline="0"/>
                  <a:t> employees</a:t>
                </a:r>
                <a:endParaRPr lang="en-GB"/>
              </a:p>
            </c:rich>
          </c:tx>
          <c:overlay val="0"/>
        </c:title>
        <c:numFmt formatCode="0%" sourceLinked="1"/>
        <c:majorTickMark val="out"/>
        <c:minorTickMark val="none"/>
        <c:tickLblPos val="nextTo"/>
        <c:crossAx val="226356224"/>
        <c:crosses val="max"/>
        <c:crossBetween val="between"/>
      </c:valAx>
    </c:plotArea>
    <c:legend>
      <c:legendPos val="r"/>
      <c:layout>
        <c:manualLayout>
          <c:xMode val="edge"/>
          <c:yMode val="edge"/>
          <c:x val="0"/>
          <c:y val="0.95535416606640844"/>
          <c:w val="1"/>
          <c:h val="4.3681940548815933E-2"/>
        </c:manualLayout>
      </c:layout>
      <c:overlay val="0"/>
    </c:legend>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64280402004885195"/>
          <c:y val="6.8627709783217347E-2"/>
          <c:w val="0.35719597995114799"/>
          <c:h val="0.89707251797761289"/>
        </c:manualLayout>
      </c:layout>
      <c:lineChart>
        <c:grouping val="standard"/>
        <c:varyColors val="0"/>
        <c:ser>
          <c:idx val="0"/>
          <c:order val="0"/>
          <c:spPr>
            <a:ln w="28575">
              <a:noFill/>
            </a:ln>
          </c:spPr>
          <c:marker>
            <c:symbol val="none"/>
          </c:marker>
          <c:cat>
            <c:strRef>
              <c:f>'boxAndwhisker mdnDiffBonusPay'!$B$2</c:f>
              <c:strCache>
                <c:ptCount val="1"/>
                <c:pt idx="0">
                  <c:v>NHS Trusts</c:v>
                </c:pt>
              </c:strCache>
            </c:strRef>
          </c:cat>
          <c:val>
            <c:numRef>
              <c:f>'boxAndwhisker mdnDiffBonusPay'!$B$3</c:f>
              <c:numCache>
                <c:formatCode>0.00</c:formatCode>
                <c:ptCount val="1"/>
                <c:pt idx="0">
                  <c:v>0.17</c:v>
                </c:pt>
              </c:numCache>
            </c:numRef>
          </c:val>
          <c:smooth val="0"/>
        </c:ser>
        <c:ser>
          <c:idx val="1"/>
          <c:order val="1"/>
          <c:spPr>
            <a:ln w="28575">
              <a:noFill/>
            </a:ln>
          </c:spPr>
          <c:marker>
            <c:symbol val="dash"/>
            <c:size val="15"/>
            <c:spPr>
              <a:solidFill>
                <a:sysClr val="windowText" lastClr="000000"/>
              </a:solidFill>
              <a:ln>
                <a:solidFill>
                  <a:srgbClr val="000000"/>
                </a:solidFill>
                <a:prstDash val="solid"/>
              </a:ln>
            </c:spPr>
          </c:marker>
          <c:cat>
            <c:strRef>
              <c:f>'boxAndwhisker mdnDiffBonusPay'!$B$2</c:f>
              <c:strCache>
                <c:ptCount val="1"/>
                <c:pt idx="0">
                  <c:v>NHS Trusts</c:v>
                </c:pt>
              </c:strCache>
            </c:strRef>
          </c:cat>
          <c:val>
            <c:numRef>
              <c:f>'boxAndwhisker mdnDiffBonusPay'!$B$4</c:f>
              <c:numCache>
                <c:formatCode>0.00</c:formatCode>
                <c:ptCount val="1"/>
                <c:pt idx="0">
                  <c:v>-4.6100000000000003</c:v>
                </c:pt>
              </c:numCache>
            </c:numRef>
          </c:val>
          <c:smooth val="0"/>
        </c:ser>
        <c:ser>
          <c:idx val="5"/>
          <c:order val="2"/>
          <c:tx>
            <c:v>LPT</c:v>
          </c:tx>
          <c:spPr>
            <a:ln w="28575">
              <a:noFill/>
            </a:ln>
          </c:spPr>
          <c:marker>
            <c:symbol val="circle"/>
            <c:size val="5"/>
            <c:spPr>
              <a:solidFill>
                <a:srgbClr val="FF00FF"/>
              </a:solidFill>
              <a:ln>
                <a:noFill/>
              </a:ln>
            </c:spPr>
          </c:marker>
          <c:cat>
            <c:strRef>
              <c:f>'boxAndwhisker mdnDiffBonusPay'!$B$2</c:f>
              <c:strCache>
                <c:ptCount val="1"/>
                <c:pt idx="0">
                  <c:v>NHS Trusts</c:v>
                </c:pt>
              </c:strCache>
            </c:strRef>
          </c:cat>
          <c:val>
            <c:numRef>
              <c:f>'boxAndwhisker mdnDiffBonusPay'!$B$8</c:f>
              <c:numCache>
                <c:formatCode>0.00</c:formatCode>
                <c:ptCount val="1"/>
                <c:pt idx="0">
                  <c:v>0.70799999999999996</c:v>
                </c:pt>
              </c:numCache>
            </c:numRef>
          </c:val>
          <c:smooth val="0"/>
        </c:ser>
        <c:ser>
          <c:idx val="2"/>
          <c:order val="3"/>
          <c:spPr>
            <a:ln w="28575">
              <a:noFill/>
            </a:ln>
          </c:spPr>
          <c:marker>
            <c:symbol val="dash"/>
            <c:size val="15"/>
            <c:spPr>
              <a:solidFill>
                <a:schemeClr val="tx1"/>
              </a:solidFill>
              <a:ln>
                <a:solidFill>
                  <a:srgbClr val="000000"/>
                </a:solidFill>
                <a:prstDash val="solid"/>
              </a:ln>
            </c:spPr>
          </c:marker>
          <c:cat>
            <c:strRef>
              <c:f>'boxAndwhisker mdnDiffBonusPay'!$B$2</c:f>
              <c:strCache>
                <c:ptCount val="1"/>
                <c:pt idx="0">
                  <c:v>NHS Trusts</c:v>
                </c:pt>
              </c:strCache>
            </c:strRef>
          </c:cat>
          <c:val>
            <c:numRef>
              <c:f>'boxAndwhisker mdnDiffBonusPay'!$B$5</c:f>
              <c:numCache>
                <c:formatCode>0.00</c:formatCode>
                <c:ptCount val="1"/>
                <c:pt idx="0">
                  <c:v>0.33299999999999996</c:v>
                </c:pt>
              </c:numCache>
            </c:numRef>
          </c:val>
          <c:smooth val="0"/>
        </c:ser>
        <c:ser>
          <c:idx val="3"/>
          <c:order val="4"/>
          <c:spPr>
            <a:ln w="28575">
              <a:noFill/>
            </a:ln>
          </c:spPr>
          <c:marker>
            <c:symbol val="dash"/>
            <c:size val="15"/>
            <c:spPr>
              <a:solidFill>
                <a:sysClr val="windowText" lastClr="000000"/>
              </a:solidFill>
              <a:ln>
                <a:solidFill>
                  <a:srgbClr val="000000"/>
                </a:solidFill>
                <a:prstDash val="solid"/>
              </a:ln>
            </c:spPr>
          </c:marker>
          <c:cat>
            <c:strRef>
              <c:f>'boxAndwhisker mdnDiffBonusPay'!$B$2</c:f>
              <c:strCache>
                <c:ptCount val="1"/>
                <c:pt idx="0">
                  <c:v>NHS Trusts</c:v>
                </c:pt>
              </c:strCache>
            </c:strRef>
          </c:cat>
          <c:val>
            <c:numRef>
              <c:f>'boxAndwhisker mdnDiffBonusPay'!$B$6</c:f>
              <c:numCache>
                <c:formatCode>0.00</c:formatCode>
                <c:ptCount val="1"/>
                <c:pt idx="0">
                  <c:v>1</c:v>
                </c:pt>
              </c:numCache>
            </c:numRef>
          </c:val>
          <c:smooth val="0"/>
        </c:ser>
        <c:ser>
          <c:idx val="4"/>
          <c:order val="5"/>
          <c:spPr>
            <a:ln w="28575">
              <a:noFill/>
            </a:ln>
          </c:spPr>
          <c:marker>
            <c:symbol val="none"/>
          </c:marker>
          <c:cat>
            <c:strRef>
              <c:f>'boxAndwhisker mdnDiffBonusPay'!$B$2</c:f>
              <c:strCache>
                <c:ptCount val="1"/>
                <c:pt idx="0">
                  <c:v>NHS Trusts</c:v>
                </c:pt>
              </c:strCache>
            </c:strRef>
          </c:cat>
          <c:val>
            <c:numRef>
              <c:f>'boxAndwhisker mdnDiffBonusPay'!$B$7</c:f>
              <c:numCache>
                <c:formatCode>0.00</c:formatCode>
                <c:ptCount val="1"/>
                <c:pt idx="0">
                  <c:v>0.50549999999999995</c:v>
                </c:pt>
              </c:numCache>
            </c:numRef>
          </c:val>
          <c:smooth val="0"/>
        </c:ser>
        <c:dLbls>
          <c:showLegendKey val="0"/>
          <c:showVal val="0"/>
          <c:showCatName val="0"/>
          <c:showSerName val="0"/>
          <c:showPercent val="0"/>
          <c:showBubbleSize val="0"/>
        </c:dLbls>
        <c:hiLowLines/>
        <c:upDownBars>
          <c:gapWidth val="150"/>
          <c:upBars>
            <c:spPr>
              <a:solidFill>
                <a:schemeClr val="bg1"/>
              </a:solidFill>
              <a:ln w="3175">
                <a:solidFill>
                  <a:srgbClr val="000000"/>
                </a:solidFill>
                <a:prstDash val="solid"/>
              </a:ln>
            </c:spPr>
          </c:upBars>
          <c:downBars>
            <c:spPr>
              <a:solidFill>
                <a:srgbClr val="000000"/>
              </a:solidFill>
              <a:ln w="3175">
                <a:solidFill>
                  <a:srgbClr val="000000"/>
                </a:solidFill>
                <a:prstDash val="solid"/>
              </a:ln>
            </c:spPr>
          </c:downBars>
        </c:upDownBars>
        <c:marker val="1"/>
        <c:smooth val="0"/>
        <c:axId val="226632064"/>
        <c:axId val="226633600"/>
      </c:lineChart>
      <c:catAx>
        <c:axId val="226632064"/>
        <c:scaling>
          <c:orientation val="minMax"/>
        </c:scaling>
        <c:delete val="0"/>
        <c:axPos val="b"/>
        <c:numFmt formatCode="General" sourceLinked="1"/>
        <c:majorTickMark val="out"/>
        <c:minorTickMark val="none"/>
        <c:tickLblPos val="none"/>
        <c:spPr>
          <a:ln w="3175">
            <a:solidFill>
              <a:srgbClr val="000000"/>
            </a:solidFill>
            <a:prstDash val="solid"/>
          </a:ln>
        </c:spPr>
        <c:txPr>
          <a:bodyPr rot="-5400000" vert="horz"/>
          <a:lstStyle/>
          <a:p>
            <a:pPr>
              <a:defRPr/>
            </a:pPr>
            <a:endParaRPr lang="en-US"/>
          </a:p>
        </c:txPr>
        <c:crossAx val="226633600"/>
        <c:crosses val="autoZero"/>
        <c:auto val="1"/>
        <c:lblAlgn val="ctr"/>
        <c:lblOffset val="100"/>
        <c:tickLblSkip val="1"/>
        <c:tickMarkSkip val="1"/>
        <c:noMultiLvlLbl val="0"/>
      </c:catAx>
      <c:valAx>
        <c:axId val="226633600"/>
        <c:scaling>
          <c:orientation val="minMax"/>
        </c:scaling>
        <c:delete val="0"/>
        <c:axPos val="l"/>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26632064"/>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mn-lt"/>
          <a:ea typeface="Arial"/>
          <a:cs typeface="Arial"/>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62864324162869478"/>
          <c:y val="6.8627709783217347E-2"/>
          <c:w val="0.31486274631915351"/>
          <c:h val="0.89707251797761289"/>
        </c:manualLayout>
      </c:layout>
      <c:lineChart>
        <c:grouping val="standard"/>
        <c:varyColors val="0"/>
        <c:ser>
          <c:idx val="0"/>
          <c:order val="0"/>
          <c:spPr>
            <a:ln w="28575">
              <a:noFill/>
            </a:ln>
          </c:spPr>
          <c:marker>
            <c:symbol val="none"/>
          </c:marker>
          <c:cat>
            <c:strRef>
              <c:f>'boxAndwhisker relPwomenTopVbott'!$B$2</c:f>
              <c:strCache>
                <c:ptCount val="1"/>
                <c:pt idx="0">
                  <c:v>NHS Trusts</c:v>
                </c:pt>
              </c:strCache>
            </c:strRef>
          </c:cat>
          <c:val>
            <c:numRef>
              <c:f>'boxAndwhisker relPwomenTopVbott'!$B$3</c:f>
              <c:numCache>
                <c:formatCode>0.00</c:formatCode>
                <c:ptCount val="1"/>
                <c:pt idx="0">
                  <c:v>0.52636076894299511</c:v>
                </c:pt>
              </c:numCache>
            </c:numRef>
          </c:val>
          <c:smooth val="0"/>
        </c:ser>
        <c:ser>
          <c:idx val="1"/>
          <c:order val="1"/>
          <c:spPr>
            <a:ln w="28575">
              <a:noFill/>
            </a:ln>
          </c:spPr>
          <c:marker>
            <c:symbol val="dash"/>
            <c:size val="15"/>
            <c:spPr>
              <a:solidFill>
                <a:sysClr val="windowText" lastClr="000000"/>
              </a:solidFill>
              <a:ln>
                <a:solidFill>
                  <a:srgbClr val="000000"/>
                </a:solidFill>
                <a:prstDash val="solid"/>
              </a:ln>
            </c:spPr>
          </c:marker>
          <c:cat>
            <c:strRef>
              <c:f>'boxAndwhisker relPwomenTopVbott'!$B$2</c:f>
              <c:strCache>
                <c:ptCount val="1"/>
                <c:pt idx="0">
                  <c:v>NHS Trusts</c:v>
                </c:pt>
              </c:strCache>
            </c:strRef>
          </c:cat>
          <c:val>
            <c:numRef>
              <c:f>'boxAndwhisker relPwomenTopVbott'!$B$4</c:f>
              <c:numCache>
                <c:formatCode>0.00</c:formatCode>
                <c:ptCount val="1"/>
                <c:pt idx="0">
                  <c:v>0.27336483648364834</c:v>
                </c:pt>
              </c:numCache>
            </c:numRef>
          </c:val>
          <c:smooth val="0"/>
        </c:ser>
        <c:ser>
          <c:idx val="5"/>
          <c:order val="2"/>
          <c:tx>
            <c:v>LPT</c:v>
          </c:tx>
          <c:spPr>
            <a:ln w="28575">
              <a:noFill/>
            </a:ln>
          </c:spPr>
          <c:marker>
            <c:symbol val="circle"/>
            <c:size val="4"/>
            <c:spPr>
              <a:solidFill>
                <a:srgbClr val="FF00FF"/>
              </a:solidFill>
              <a:ln>
                <a:noFill/>
              </a:ln>
            </c:spPr>
          </c:marker>
          <c:cat>
            <c:strRef>
              <c:f>'boxAndwhisker relPwomenTopVbott'!$B$2</c:f>
              <c:strCache>
                <c:ptCount val="1"/>
                <c:pt idx="0">
                  <c:v>NHS Trusts</c:v>
                </c:pt>
              </c:strCache>
            </c:strRef>
          </c:cat>
          <c:val>
            <c:numRef>
              <c:f>'boxAndwhisker relPwomenTopVbott'!$B$8</c:f>
              <c:numCache>
                <c:formatCode>0.00</c:formatCode>
                <c:ptCount val="1"/>
                <c:pt idx="0">
                  <c:v>0.70072378603677377</c:v>
                </c:pt>
              </c:numCache>
            </c:numRef>
          </c:val>
          <c:smooth val="0"/>
        </c:ser>
        <c:ser>
          <c:idx val="2"/>
          <c:order val="3"/>
          <c:spPr>
            <a:ln w="28575">
              <a:noFill/>
            </a:ln>
          </c:spPr>
          <c:marker>
            <c:symbol val="dash"/>
            <c:size val="15"/>
            <c:spPr>
              <a:solidFill>
                <a:schemeClr val="tx1"/>
              </a:solidFill>
              <a:ln>
                <a:solidFill>
                  <a:srgbClr val="000000"/>
                </a:solidFill>
                <a:prstDash val="solid"/>
              </a:ln>
            </c:spPr>
          </c:marker>
          <c:cat>
            <c:strRef>
              <c:f>'boxAndwhisker relPwomenTopVbott'!$B$2</c:f>
              <c:strCache>
                <c:ptCount val="1"/>
                <c:pt idx="0">
                  <c:v>NHS Trusts</c:v>
                </c:pt>
              </c:strCache>
            </c:strRef>
          </c:cat>
          <c:val>
            <c:numRef>
              <c:f>'boxAndwhisker relPwomenTopVbott'!$B$5</c:f>
              <c:numCache>
                <c:formatCode>0.00</c:formatCode>
                <c:ptCount val="1"/>
                <c:pt idx="0">
                  <c:v>0.60961577974111369</c:v>
                </c:pt>
              </c:numCache>
            </c:numRef>
          </c:val>
          <c:smooth val="0"/>
        </c:ser>
        <c:ser>
          <c:idx val="3"/>
          <c:order val="4"/>
          <c:spPr>
            <a:ln w="28575">
              <a:noFill/>
            </a:ln>
          </c:spPr>
          <c:marker>
            <c:symbol val="dash"/>
            <c:size val="15"/>
            <c:spPr>
              <a:solidFill>
                <a:sysClr val="windowText" lastClr="000000"/>
              </a:solidFill>
              <a:ln>
                <a:solidFill>
                  <a:srgbClr val="000000"/>
                </a:solidFill>
                <a:prstDash val="solid"/>
              </a:ln>
            </c:spPr>
          </c:marker>
          <c:cat>
            <c:strRef>
              <c:f>'boxAndwhisker relPwomenTopVbott'!$B$2</c:f>
              <c:strCache>
                <c:ptCount val="1"/>
                <c:pt idx="0">
                  <c:v>NHS Trusts</c:v>
                </c:pt>
              </c:strCache>
            </c:strRef>
          </c:cat>
          <c:val>
            <c:numRef>
              <c:f>'boxAndwhisker relPwomenTopVbott'!$B$6</c:f>
              <c:numCache>
                <c:formatCode>0.00</c:formatCode>
                <c:ptCount val="1"/>
                <c:pt idx="0">
                  <c:v>1.5744519284819674</c:v>
                </c:pt>
              </c:numCache>
            </c:numRef>
          </c:val>
          <c:smooth val="0"/>
        </c:ser>
        <c:ser>
          <c:idx val="4"/>
          <c:order val="5"/>
          <c:spPr>
            <a:ln w="28575">
              <a:noFill/>
            </a:ln>
          </c:spPr>
          <c:marker>
            <c:symbol val="none"/>
          </c:marker>
          <c:cat>
            <c:strRef>
              <c:f>'boxAndwhisker relPwomenTopVbott'!$B$2</c:f>
              <c:strCache>
                <c:ptCount val="1"/>
                <c:pt idx="0">
                  <c:v>NHS Trusts</c:v>
                </c:pt>
              </c:strCache>
            </c:strRef>
          </c:cat>
          <c:val>
            <c:numRef>
              <c:f>'boxAndwhisker relPwomenTopVbott'!$B$7</c:f>
              <c:numCache>
                <c:formatCode>0.00</c:formatCode>
                <c:ptCount val="1"/>
                <c:pt idx="0">
                  <c:v>0.71976401179941008</c:v>
                </c:pt>
              </c:numCache>
            </c:numRef>
          </c:val>
          <c:smooth val="0"/>
        </c:ser>
        <c:dLbls>
          <c:showLegendKey val="0"/>
          <c:showVal val="0"/>
          <c:showCatName val="0"/>
          <c:showSerName val="0"/>
          <c:showPercent val="0"/>
          <c:showBubbleSize val="0"/>
        </c:dLbls>
        <c:hiLowLines/>
        <c:upDownBars>
          <c:gapWidth val="150"/>
          <c:upBars>
            <c:spPr>
              <a:solidFill>
                <a:schemeClr val="bg1"/>
              </a:solidFill>
              <a:ln w="3175">
                <a:solidFill>
                  <a:srgbClr val="000000"/>
                </a:solidFill>
                <a:prstDash val="solid"/>
              </a:ln>
            </c:spPr>
          </c:upBars>
          <c:downBars>
            <c:spPr>
              <a:solidFill>
                <a:srgbClr val="000000"/>
              </a:solidFill>
              <a:ln w="3175">
                <a:solidFill>
                  <a:srgbClr val="000000"/>
                </a:solidFill>
                <a:prstDash val="solid"/>
              </a:ln>
            </c:spPr>
          </c:downBars>
        </c:upDownBars>
        <c:marker val="1"/>
        <c:smooth val="0"/>
        <c:axId val="226716672"/>
        <c:axId val="226730752"/>
      </c:lineChart>
      <c:catAx>
        <c:axId val="226716672"/>
        <c:scaling>
          <c:orientation val="minMax"/>
        </c:scaling>
        <c:delete val="0"/>
        <c:axPos val="b"/>
        <c:numFmt formatCode="General" sourceLinked="1"/>
        <c:majorTickMark val="out"/>
        <c:minorTickMark val="none"/>
        <c:tickLblPos val="none"/>
        <c:spPr>
          <a:ln w="3175">
            <a:solidFill>
              <a:srgbClr val="000000"/>
            </a:solidFill>
            <a:prstDash val="solid"/>
          </a:ln>
        </c:spPr>
        <c:txPr>
          <a:bodyPr rot="-5400000" vert="horz"/>
          <a:lstStyle/>
          <a:p>
            <a:pPr>
              <a:defRPr/>
            </a:pPr>
            <a:endParaRPr lang="en-US"/>
          </a:p>
        </c:txPr>
        <c:crossAx val="226730752"/>
        <c:crosses val="autoZero"/>
        <c:auto val="1"/>
        <c:lblAlgn val="ctr"/>
        <c:lblOffset val="100"/>
        <c:tickLblSkip val="1"/>
        <c:tickMarkSkip val="1"/>
        <c:noMultiLvlLbl val="0"/>
      </c:catAx>
      <c:valAx>
        <c:axId val="226730752"/>
        <c:scaling>
          <c:orientation val="minMax"/>
        </c:scaling>
        <c:delete val="0"/>
        <c:axPos val="l"/>
        <c:numFmt formatCode="#,##0.0" sourceLinked="0"/>
        <c:majorTickMark val="out"/>
        <c:minorTickMark val="none"/>
        <c:tickLblPos val="nextTo"/>
        <c:spPr>
          <a:ln w="3175">
            <a:solidFill>
              <a:srgbClr val="000000"/>
            </a:solidFill>
            <a:prstDash val="solid"/>
          </a:ln>
        </c:spPr>
        <c:txPr>
          <a:bodyPr rot="0" vert="horz"/>
          <a:lstStyle/>
          <a:p>
            <a:pPr>
              <a:defRPr/>
            </a:pPr>
            <a:endParaRPr lang="en-US"/>
          </a:p>
        </c:txPr>
        <c:crossAx val="226716672"/>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mn-lt"/>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87445992327881"/>
          <c:y val="8.3333333333333329E-2"/>
          <c:w val="0.76303832020997375"/>
          <c:h val="0.30108565974707702"/>
        </c:manualLayout>
      </c:layout>
      <c:barChart>
        <c:barDir val="bar"/>
        <c:grouping val="clustered"/>
        <c:varyColors val="0"/>
        <c:ser>
          <c:idx val="0"/>
          <c:order val="0"/>
          <c:tx>
            <c:strRef>
              <c:f>'m and mdn pay gaps graphs'!$B$1</c:f>
              <c:strCache>
                <c:ptCount val="1"/>
                <c:pt idx="0">
                  <c:v>Gender Pay Gap ord pay</c:v>
                </c:pt>
              </c:strCache>
            </c:strRef>
          </c:tx>
          <c:spPr>
            <a:solidFill>
              <a:srgbClr val="00B0F0"/>
            </a:solidFill>
            <a:ln>
              <a:solidFill>
                <a:schemeClr val="tx1"/>
              </a:solidFill>
            </a:ln>
          </c:spPr>
          <c:invertIfNegative val="0"/>
          <c:cat>
            <c:strRef>
              <c:f>'m and mdn pay gaps graphs'!$A$2:$A$3</c:f>
              <c:strCache>
                <c:ptCount val="2"/>
                <c:pt idx="0">
                  <c:v>Mean hourly pay (Female, n=4725; Male, n=1021)</c:v>
                </c:pt>
                <c:pt idx="1">
                  <c:v>Median hourly pay (Female, n=4725; Male, n=1021)</c:v>
                </c:pt>
              </c:strCache>
            </c:strRef>
          </c:cat>
          <c:val>
            <c:numRef>
              <c:f>'m and mdn pay gaps graphs'!$B$2:$B$3</c:f>
              <c:numCache>
                <c:formatCode>0.0%</c:formatCode>
                <c:ptCount val="2"/>
                <c:pt idx="0">
                  <c:v>0.1557802558910914</c:v>
                </c:pt>
                <c:pt idx="1">
                  <c:v>6.7176587961423076E-2</c:v>
                </c:pt>
              </c:numCache>
            </c:numRef>
          </c:val>
        </c:ser>
        <c:dLbls>
          <c:showLegendKey val="0"/>
          <c:showVal val="0"/>
          <c:showCatName val="0"/>
          <c:showSerName val="0"/>
          <c:showPercent val="0"/>
          <c:showBubbleSize val="0"/>
        </c:dLbls>
        <c:gapWidth val="10"/>
        <c:axId val="226031872"/>
        <c:axId val="226041856"/>
      </c:barChart>
      <c:catAx>
        <c:axId val="226031872"/>
        <c:scaling>
          <c:orientation val="minMax"/>
        </c:scaling>
        <c:delete val="0"/>
        <c:axPos val="l"/>
        <c:majorTickMark val="out"/>
        <c:minorTickMark val="none"/>
        <c:tickLblPos val="low"/>
        <c:crossAx val="226041856"/>
        <c:crosses val="autoZero"/>
        <c:auto val="1"/>
        <c:lblAlgn val="ctr"/>
        <c:lblOffset val="100"/>
        <c:noMultiLvlLbl val="0"/>
      </c:catAx>
      <c:valAx>
        <c:axId val="226041856"/>
        <c:scaling>
          <c:orientation val="minMax"/>
          <c:max val="0.2"/>
          <c:min val="-0.2"/>
        </c:scaling>
        <c:delete val="0"/>
        <c:axPos val="b"/>
        <c:majorGridlines/>
        <c:title>
          <c:tx>
            <c:rich>
              <a:bodyPr/>
              <a:lstStyle/>
              <a:p>
                <a:pPr>
                  <a:defRPr/>
                </a:pPr>
                <a:r>
                  <a:rPr lang="en-GB"/>
                  <a:t>Gender Pay Gap</a:t>
                </a:r>
              </a:p>
            </c:rich>
          </c:tx>
          <c:layout>
            <c:manualLayout>
              <c:xMode val="edge"/>
              <c:yMode val="edge"/>
              <c:x val="0.64000790766538806"/>
              <c:y val="0.81412107295235747"/>
            </c:manualLayout>
          </c:layout>
          <c:overlay val="0"/>
        </c:title>
        <c:numFmt formatCode="0%" sourceLinked="0"/>
        <c:majorTickMark val="out"/>
        <c:minorTickMark val="none"/>
        <c:tickLblPos val="nextTo"/>
        <c:crossAx val="226031872"/>
        <c:crossesAt val="1"/>
        <c:crossBetween val="between"/>
      </c:valAx>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87445992327881"/>
          <c:y val="8.3333333333333329E-2"/>
          <c:w val="0.76303832020997375"/>
          <c:h val="0.30108565974707702"/>
        </c:manualLayout>
      </c:layout>
      <c:barChart>
        <c:barDir val="bar"/>
        <c:grouping val="clustered"/>
        <c:varyColors val="0"/>
        <c:ser>
          <c:idx val="0"/>
          <c:order val="0"/>
          <c:tx>
            <c:strRef>
              <c:f>'m and mdn pay gaps graphs'!$B$10</c:f>
              <c:strCache>
                <c:ptCount val="1"/>
                <c:pt idx="0">
                  <c:v>Gender Pay Gap bonus pay</c:v>
                </c:pt>
              </c:strCache>
            </c:strRef>
          </c:tx>
          <c:spPr>
            <a:solidFill>
              <a:srgbClr val="00B0F0"/>
            </a:solidFill>
            <a:ln>
              <a:solidFill>
                <a:schemeClr val="tx1"/>
              </a:solidFill>
            </a:ln>
          </c:spPr>
          <c:invertIfNegative val="0"/>
          <c:dPt>
            <c:idx val="0"/>
            <c:invertIfNegative val="0"/>
            <c:bubble3D val="0"/>
            <c:spPr>
              <a:solidFill>
                <a:schemeClr val="bg1"/>
              </a:solidFill>
              <a:ln>
                <a:solidFill>
                  <a:schemeClr val="tx1"/>
                </a:solidFill>
              </a:ln>
            </c:spPr>
          </c:dPt>
          <c:cat>
            <c:strRef>
              <c:f>'m and mdn pay gaps graphs'!$A$11:$A$12</c:f>
              <c:strCache>
                <c:ptCount val="2"/>
                <c:pt idx="0">
                  <c:v>Mean bonus pay (Female, n=17; Male, n=29)</c:v>
                </c:pt>
                <c:pt idx="1">
                  <c:v>Median bonus pay (Female, n=17; Male, n=29)</c:v>
                </c:pt>
              </c:strCache>
            </c:strRef>
          </c:cat>
          <c:val>
            <c:numRef>
              <c:f>'m and mdn pay gaps graphs'!$B$11:$B$12</c:f>
              <c:numCache>
                <c:formatCode>0.0%</c:formatCode>
                <c:ptCount val="2"/>
                <c:pt idx="0">
                  <c:v>0.33736694080087359</c:v>
                </c:pt>
                <c:pt idx="1">
                  <c:v>0.62499875662717708</c:v>
                </c:pt>
              </c:numCache>
            </c:numRef>
          </c:val>
        </c:ser>
        <c:dLbls>
          <c:showLegendKey val="0"/>
          <c:showVal val="0"/>
          <c:showCatName val="0"/>
          <c:showSerName val="0"/>
          <c:showPercent val="0"/>
          <c:showBubbleSize val="0"/>
        </c:dLbls>
        <c:gapWidth val="10"/>
        <c:axId val="226104448"/>
        <c:axId val="226105984"/>
      </c:barChart>
      <c:catAx>
        <c:axId val="226104448"/>
        <c:scaling>
          <c:orientation val="minMax"/>
        </c:scaling>
        <c:delete val="0"/>
        <c:axPos val="l"/>
        <c:majorTickMark val="out"/>
        <c:minorTickMark val="none"/>
        <c:tickLblPos val="low"/>
        <c:crossAx val="226105984"/>
        <c:crosses val="autoZero"/>
        <c:auto val="1"/>
        <c:lblAlgn val="ctr"/>
        <c:lblOffset val="100"/>
        <c:noMultiLvlLbl val="0"/>
      </c:catAx>
      <c:valAx>
        <c:axId val="226105984"/>
        <c:scaling>
          <c:orientation val="minMax"/>
          <c:max val="0.8"/>
          <c:min val="-0.8"/>
        </c:scaling>
        <c:delete val="0"/>
        <c:axPos val="b"/>
        <c:majorGridlines/>
        <c:title>
          <c:tx>
            <c:rich>
              <a:bodyPr/>
              <a:lstStyle/>
              <a:p>
                <a:pPr>
                  <a:defRPr/>
                </a:pPr>
                <a:r>
                  <a:rPr lang="en-GB"/>
                  <a:t>Gender Pay Gap</a:t>
                </a:r>
              </a:p>
            </c:rich>
          </c:tx>
          <c:layout>
            <c:manualLayout>
              <c:xMode val="edge"/>
              <c:yMode val="edge"/>
              <c:x val="0.62291389057137092"/>
              <c:y val="0.82332070496707688"/>
            </c:manualLayout>
          </c:layout>
          <c:overlay val="0"/>
        </c:title>
        <c:numFmt formatCode="0%" sourceLinked="0"/>
        <c:majorTickMark val="out"/>
        <c:minorTickMark val="none"/>
        <c:tickLblPos val="nextTo"/>
        <c:crossAx val="226104448"/>
        <c:crossesAt val="1"/>
        <c:crossBetween val="between"/>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065431323283083"/>
          <c:y val="8.3333333333333329E-2"/>
          <c:w val="0.44567560022333891"/>
          <c:h val="0.50267283950617281"/>
        </c:manualLayout>
      </c:layout>
      <c:barChart>
        <c:barDir val="bar"/>
        <c:grouping val="clustered"/>
        <c:varyColors val="0"/>
        <c:ser>
          <c:idx val="0"/>
          <c:order val="0"/>
          <c:tx>
            <c:strRef>
              <c:f>'p receipt bonus pay'!$L$4</c:f>
              <c:strCache>
                <c:ptCount val="1"/>
                <c:pt idx="0">
                  <c:v>%</c:v>
                </c:pt>
              </c:strCache>
            </c:strRef>
          </c:tx>
          <c:spPr>
            <a:solidFill>
              <a:srgbClr val="00B0F0"/>
            </a:solidFill>
            <a:ln>
              <a:solidFill>
                <a:schemeClr val="tx1"/>
              </a:solidFill>
            </a:ln>
          </c:spPr>
          <c:invertIfNegative val="0"/>
          <c:dPt>
            <c:idx val="0"/>
            <c:invertIfNegative val="0"/>
            <c:bubble3D val="0"/>
            <c:spPr>
              <a:solidFill>
                <a:srgbClr val="FF6600"/>
              </a:solidFill>
              <a:ln>
                <a:solidFill>
                  <a:schemeClr val="tx1"/>
                </a:solidFill>
              </a:ln>
            </c:spPr>
          </c:dPt>
          <c:cat>
            <c:strRef>
              <c:f>'p receipt bonus pay'!$K$5:$K$6</c:f>
              <c:strCache>
                <c:ptCount val="2"/>
                <c:pt idx="0">
                  <c:v>Female, n=5512</c:v>
                </c:pt>
                <c:pt idx="1">
                  <c:v>Male, n=1187</c:v>
                </c:pt>
              </c:strCache>
            </c:strRef>
          </c:cat>
          <c:val>
            <c:numRef>
              <c:f>'p receipt bonus pay'!$L$5:$L$6</c:f>
              <c:numCache>
                <c:formatCode>0.0%</c:formatCode>
                <c:ptCount val="2"/>
                <c:pt idx="0">
                  <c:v>3.0841799709724238E-3</c:v>
                </c:pt>
                <c:pt idx="1">
                  <c:v>2.4431339511373211E-2</c:v>
                </c:pt>
              </c:numCache>
            </c:numRef>
          </c:val>
        </c:ser>
        <c:dLbls>
          <c:showLegendKey val="0"/>
          <c:showVal val="0"/>
          <c:showCatName val="0"/>
          <c:showSerName val="0"/>
          <c:showPercent val="0"/>
          <c:showBubbleSize val="0"/>
        </c:dLbls>
        <c:gapWidth val="10"/>
        <c:axId val="226230272"/>
        <c:axId val="226231808"/>
      </c:barChart>
      <c:catAx>
        <c:axId val="226230272"/>
        <c:scaling>
          <c:orientation val="minMax"/>
        </c:scaling>
        <c:delete val="0"/>
        <c:axPos val="l"/>
        <c:majorTickMark val="out"/>
        <c:minorTickMark val="none"/>
        <c:tickLblPos val="low"/>
        <c:crossAx val="226231808"/>
        <c:crosses val="autoZero"/>
        <c:auto val="1"/>
        <c:lblAlgn val="ctr"/>
        <c:lblOffset val="100"/>
        <c:noMultiLvlLbl val="0"/>
      </c:catAx>
      <c:valAx>
        <c:axId val="226231808"/>
        <c:scaling>
          <c:orientation val="minMax"/>
        </c:scaling>
        <c:delete val="0"/>
        <c:axPos val="b"/>
        <c:majorGridlines/>
        <c:title>
          <c:tx>
            <c:rich>
              <a:bodyPr/>
              <a:lstStyle/>
              <a:p>
                <a:pPr>
                  <a:defRPr/>
                </a:pPr>
                <a:r>
                  <a:rPr lang="en-US"/>
                  <a:t>Bonus Awarded</a:t>
                </a:r>
              </a:p>
            </c:rich>
          </c:tx>
          <c:layout>
            <c:manualLayout>
              <c:xMode val="edge"/>
              <c:yMode val="edge"/>
              <c:x val="0.49684558180227473"/>
              <c:y val="0.92960629921259841"/>
            </c:manualLayout>
          </c:layout>
          <c:overlay val="0"/>
        </c:title>
        <c:numFmt formatCode="0%" sourceLinked="0"/>
        <c:majorTickMark val="out"/>
        <c:minorTickMark val="none"/>
        <c:tickLblPos val="nextTo"/>
        <c:crossAx val="226230272"/>
        <c:crossesAt val="1"/>
        <c:crossBetween val="between"/>
        <c:majorUnit val="1.0000000000000002E-2"/>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065431323283083"/>
          <c:y val="8.3333333333333329E-2"/>
          <c:w val="0.44567560022333891"/>
          <c:h val="0.50267283950617281"/>
        </c:manualLayout>
      </c:layout>
      <c:barChart>
        <c:barDir val="bar"/>
        <c:grouping val="clustered"/>
        <c:varyColors val="0"/>
        <c:ser>
          <c:idx val="0"/>
          <c:order val="0"/>
          <c:tx>
            <c:strRef>
              <c:f>'p receipt bonus pay'!$L$23</c:f>
              <c:strCache>
                <c:ptCount val="1"/>
                <c:pt idx="0">
                  <c:v>%</c:v>
                </c:pt>
              </c:strCache>
            </c:strRef>
          </c:tx>
          <c:spPr>
            <a:solidFill>
              <a:srgbClr val="00B0F0"/>
            </a:solidFill>
            <a:ln>
              <a:solidFill>
                <a:schemeClr val="tx1"/>
              </a:solidFill>
            </a:ln>
          </c:spPr>
          <c:invertIfNegative val="0"/>
          <c:dPt>
            <c:idx val="0"/>
            <c:invertIfNegative val="0"/>
            <c:bubble3D val="0"/>
            <c:spPr>
              <a:solidFill>
                <a:srgbClr val="FF6600"/>
              </a:solidFill>
              <a:ln>
                <a:solidFill>
                  <a:schemeClr val="tx1"/>
                </a:solidFill>
              </a:ln>
            </c:spPr>
          </c:dPt>
          <c:cat>
            <c:strRef>
              <c:f>'p receipt bonus pay'!$K$24:$K$25</c:f>
              <c:strCache>
                <c:ptCount val="2"/>
                <c:pt idx="0">
                  <c:v>Female, n=30</c:v>
                </c:pt>
                <c:pt idx="1">
                  <c:v>Male, n=35</c:v>
                </c:pt>
              </c:strCache>
            </c:strRef>
          </c:cat>
          <c:val>
            <c:numRef>
              <c:f>'p receipt bonus pay'!$L$24:$L$25</c:f>
              <c:numCache>
                <c:formatCode>0.0%</c:formatCode>
                <c:ptCount val="2"/>
                <c:pt idx="0">
                  <c:v>0.6333333333333333</c:v>
                </c:pt>
                <c:pt idx="1">
                  <c:v>0.7142857142857143</c:v>
                </c:pt>
              </c:numCache>
            </c:numRef>
          </c:val>
        </c:ser>
        <c:dLbls>
          <c:showLegendKey val="0"/>
          <c:showVal val="0"/>
          <c:showCatName val="0"/>
          <c:showSerName val="0"/>
          <c:showPercent val="0"/>
          <c:showBubbleSize val="0"/>
        </c:dLbls>
        <c:gapWidth val="10"/>
        <c:axId val="226277248"/>
        <c:axId val="226278784"/>
      </c:barChart>
      <c:catAx>
        <c:axId val="226277248"/>
        <c:scaling>
          <c:orientation val="minMax"/>
        </c:scaling>
        <c:delete val="0"/>
        <c:axPos val="l"/>
        <c:majorTickMark val="out"/>
        <c:minorTickMark val="none"/>
        <c:tickLblPos val="low"/>
        <c:crossAx val="226278784"/>
        <c:crosses val="autoZero"/>
        <c:auto val="1"/>
        <c:lblAlgn val="ctr"/>
        <c:lblOffset val="100"/>
        <c:noMultiLvlLbl val="0"/>
      </c:catAx>
      <c:valAx>
        <c:axId val="226278784"/>
        <c:scaling>
          <c:orientation val="minMax"/>
          <c:max val="0.8"/>
          <c:min val="0"/>
        </c:scaling>
        <c:delete val="0"/>
        <c:axPos val="b"/>
        <c:majorGridlines/>
        <c:title>
          <c:tx>
            <c:rich>
              <a:bodyPr/>
              <a:lstStyle/>
              <a:p>
                <a:pPr>
                  <a:defRPr/>
                </a:pPr>
                <a:r>
                  <a:rPr lang="en-US"/>
                  <a:t>Bonus Awarded</a:t>
                </a:r>
              </a:p>
            </c:rich>
          </c:tx>
          <c:layout>
            <c:manualLayout>
              <c:xMode val="edge"/>
              <c:yMode val="edge"/>
              <c:x val="0.49684558180227473"/>
              <c:y val="0.92960629921259841"/>
            </c:manualLayout>
          </c:layout>
          <c:overlay val="0"/>
        </c:title>
        <c:numFmt formatCode="0%" sourceLinked="0"/>
        <c:majorTickMark val="out"/>
        <c:minorTickMark val="none"/>
        <c:tickLblPos val="nextTo"/>
        <c:crossAx val="226277248"/>
        <c:crossesAt val="1"/>
        <c:crossBetween val="between"/>
      </c:valAx>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235525195112202"/>
          <c:y val="3.0683396329106112E-2"/>
          <c:w val="0.69948653769272207"/>
          <c:h val="0.53572711893958191"/>
        </c:manualLayout>
      </c:layout>
      <c:barChart>
        <c:barDir val="bar"/>
        <c:grouping val="percentStacked"/>
        <c:varyColors val="0"/>
        <c:ser>
          <c:idx val="1"/>
          <c:order val="0"/>
          <c:tx>
            <c:strRef>
              <c:f>'pay quartiles'!$J$5</c:f>
              <c:strCache>
                <c:ptCount val="1"/>
                <c:pt idx="0">
                  <c:v>Female</c:v>
                </c:pt>
              </c:strCache>
            </c:strRef>
          </c:tx>
          <c:spPr>
            <a:solidFill>
              <a:schemeClr val="accent6">
                <a:lumMod val="75000"/>
              </a:schemeClr>
            </a:solidFill>
            <a:ln>
              <a:solidFill>
                <a:schemeClr val="bg1">
                  <a:lumMod val="95000"/>
                </a:schemeClr>
              </a:solidFill>
            </a:ln>
            <a:effectLst/>
          </c:spPr>
          <c:invertIfNegative val="0"/>
          <c:dLbls>
            <c:numFmt formatCode="0.0%" sourceLinked="0"/>
            <c:txPr>
              <a:bodyPr/>
              <a:lstStyle/>
              <a:p>
                <a:pPr>
                  <a:defRPr b="1">
                    <a:solidFill>
                      <a:schemeClr val="bg1"/>
                    </a:solidFill>
                  </a:defRPr>
                </a:pPr>
                <a:endParaRPr lang="en-US"/>
              </a:p>
            </c:txPr>
            <c:dLblPos val="inBase"/>
            <c:showLegendKey val="0"/>
            <c:showVal val="1"/>
            <c:showCatName val="0"/>
            <c:showSerName val="0"/>
            <c:showPercent val="0"/>
            <c:showBubbleSize val="0"/>
            <c:showLeaderLines val="0"/>
          </c:dLbls>
          <c:cat>
            <c:strRef>
              <c:f>'pay quartiles'!$I$6:$I$9</c:f>
              <c:strCache>
                <c:ptCount val="4"/>
                <c:pt idx="0">
                  <c:v>Upper, n=1436</c:v>
                </c:pt>
                <c:pt idx="1">
                  <c:v>Upper middle, n=1436</c:v>
                </c:pt>
                <c:pt idx="2">
                  <c:v>Lower middle, n=1437</c:v>
                </c:pt>
                <c:pt idx="3">
                  <c:v>Lower, n=1437</c:v>
                </c:pt>
              </c:strCache>
            </c:strRef>
          </c:cat>
          <c:val>
            <c:numRef>
              <c:f>'pay quartiles'!$J$6:$J$9</c:f>
              <c:numCache>
                <c:formatCode>0.00%</c:formatCode>
                <c:ptCount val="4"/>
                <c:pt idx="0">
                  <c:v>0.75626740947075211</c:v>
                </c:pt>
                <c:pt idx="1">
                  <c:v>0.83844011142061281</c:v>
                </c:pt>
                <c:pt idx="2">
                  <c:v>0.83646485734168408</c:v>
                </c:pt>
                <c:pt idx="3">
                  <c:v>0.85803757828810023</c:v>
                </c:pt>
              </c:numCache>
            </c:numRef>
          </c:val>
          <c:extLst xmlns:c16r2="http://schemas.microsoft.com/office/drawing/2015/06/chart">
            <c:ext xmlns:c16="http://schemas.microsoft.com/office/drawing/2014/chart" uri="{C3380CC4-5D6E-409C-BE32-E72D297353CC}">
              <c16:uniqueId val="{00000000-77D4-451C-9BCC-4B636D4DB72F}"/>
            </c:ext>
          </c:extLst>
        </c:ser>
        <c:ser>
          <c:idx val="0"/>
          <c:order val="1"/>
          <c:tx>
            <c:strRef>
              <c:f>'pay quartiles'!$K$5</c:f>
              <c:strCache>
                <c:ptCount val="1"/>
                <c:pt idx="0">
                  <c:v>Male</c:v>
                </c:pt>
              </c:strCache>
            </c:strRef>
          </c:tx>
          <c:spPr>
            <a:solidFill>
              <a:srgbClr val="00B0F0"/>
            </a:solidFill>
            <a:ln>
              <a:solidFill>
                <a:schemeClr val="bg1">
                  <a:lumMod val="95000"/>
                </a:schemeClr>
              </a:solidFill>
            </a:ln>
            <a:effectLst/>
          </c:spPr>
          <c:invertIfNegative val="0"/>
          <c:dLbls>
            <c:numFmt formatCode="0.0%" sourceLinked="0"/>
            <c:txPr>
              <a:bodyPr/>
              <a:lstStyle/>
              <a:p>
                <a:pPr>
                  <a:defRPr b="1">
                    <a:solidFill>
                      <a:schemeClr val="bg1"/>
                    </a:solidFill>
                  </a:defRPr>
                </a:pPr>
                <a:endParaRPr lang="en-US"/>
              </a:p>
            </c:txPr>
            <c:dLblPos val="inEnd"/>
            <c:showLegendKey val="0"/>
            <c:showVal val="1"/>
            <c:showCatName val="0"/>
            <c:showSerName val="0"/>
            <c:showPercent val="0"/>
            <c:showBubbleSize val="0"/>
            <c:showLeaderLines val="0"/>
          </c:dLbls>
          <c:cat>
            <c:strRef>
              <c:f>'pay quartiles'!$I$6:$I$9</c:f>
              <c:strCache>
                <c:ptCount val="4"/>
                <c:pt idx="0">
                  <c:v>Upper, n=1436</c:v>
                </c:pt>
                <c:pt idx="1">
                  <c:v>Upper middle, n=1436</c:v>
                </c:pt>
                <c:pt idx="2">
                  <c:v>Lower middle, n=1437</c:v>
                </c:pt>
                <c:pt idx="3">
                  <c:v>Lower, n=1437</c:v>
                </c:pt>
              </c:strCache>
            </c:strRef>
          </c:cat>
          <c:val>
            <c:numRef>
              <c:f>'pay quartiles'!$K$6:$K$9</c:f>
              <c:numCache>
                <c:formatCode>0.00%</c:formatCode>
                <c:ptCount val="4"/>
                <c:pt idx="0">
                  <c:v>0.24373259052924792</c:v>
                </c:pt>
                <c:pt idx="1">
                  <c:v>0.16155988857938719</c:v>
                </c:pt>
                <c:pt idx="2">
                  <c:v>0.16353514265831592</c:v>
                </c:pt>
                <c:pt idx="3">
                  <c:v>0.14196242171189979</c:v>
                </c:pt>
              </c:numCache>
            </c:numRef>
          </c:val>
          <c:extLst xmlns:c16r2="http://schemas.microsoft.com/office/drawing/2015/06/chart">
            <c:ext xmlns:c16="http://schemas.microsoft.com/office/drawing/2014/chart" uri="{C3380CC4-5D6E-409C-BE32-E72D297353CC}">
              <c16:uniqueId val="{00000001-77D4-451C-9BCC-4B636D4DB72F}"/>
            </c:ext>
          </c:extLst>
        </c:ser>
        <c:dLbls>
          <c:showLegendKey val="0"/>
          <c:showVal val="0"/>
          <c:showCatName val="0"/>
          <c:showSerName val="0"/>
          <c:showPercent val="0"/>
          <c:showBubbleSize val="0"/>
        </c:dLbls>
        <c:gapWidth val="0"/>
        <c:overlap val="100"/>
        <c:axId val="226367360"/>
        <c:axId val="226377728"/>
      </c:barChart>
      <c:catAx>
        <c:axId val="226367360"/>
        <c:scaling>
          <c:orientation val="maxMin"/>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Hourly Pay Quartile</a:t>
                </a:r>
              </a:p>
            </c:rich>
          </c:tx>
          <c:layout>
            <c:manualLayout>
              <c:xMode val="edge"/>
              <c:yMode val="edge"/>
              <c:x val="1.0036502059759086E-2"/>
              <c:y val="5.8903383345738497E-2"/>
            </c:manualLayout>
          </c:layout>
          <c:overlay val="0"/>
          <c:spPr>
            <a:noFill/>
            <a:ln>
              <a:noFill/>
            </a:ln>
            <a:effectLst/>
          </c:spPr>
        </c:title>
        <c:numFmt formatCode="General" sourceLinked="1"/>
        <c:majorTickMark val="none"/>
        <c:minorTickMark val="none"/>
        <c:tickLblPos val="low"/>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377728"/>
        <c:crosses val="autoZero"/>
        <c:auto val="1"/>
        <c:lblAlgn val="ctr"/>
        <c:lblOffset val="100"/>
        <c:noMultiLvlLbl val="0"/>
      </c:catAx>
      <c:valAx>
        <c:axId val="226377728"/>
        <c:scaling>
          <c:orientation val="minMax"/>
          <c:max val="1"/>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 employees</a:t>
                </a:r>
                <a:r>
                  <a:rPr lang="en-GB" b="1" baseline="0"/>
                  <a:t> within quartile</a:t>
                </a:r>
                <a:endParaRPr lang="en-GB" b="1"/>
              </a:p>
            </c:rich>
          </c:tx>
          <c:layout>
            <c:manualLayout>
              <c:xMode val="edge"/>
              <c:yMode val="edge"/>
              <c:x val="0.4749847908084337"/>
              <c:y val="0.7125113813969387"/>
            </c:manualLayout>
          </c:layout>
          <c:overlay val="0"/>
          <c:spPr>
            <a:noFill/>
            <a:ln>
              <a:noFill/>
            </a:ln>
            <a:effectLst/>
          </c:spPr>
        </c:title>
        <c:numFmt formatCode="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367360"/>
        <c:crosses val="max"/>
        <c:crossBetween val="between"/>
        <c:majorUnit val="0.1"/>
      </c:valAx>
      <c:spPr>
        <a:noFill/>
        <a:ln>
          <a:noFill/>
        </a:ln>
        <a:effectLst/>
      </c:spPr>
    </c:plotArea>
    <c:legend>
      <c:legendPos val="r"/>
      <c:layout>
        <c:manualLayout>
          <c:xMode val="edge"/>
          <c:yMode val="edge"/>
          <c:x val="0.25588135092384973"/>
          <c:y val="0.85451496970064345"/>
          <c:w val="0.68994837565834077"/>
          <c:h val="0.11373897871452238"/>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9430546708692855"/>
          <c:y val="6.8627709783217347E-2"/>
          <c:w val="0.40569453291307145"/>
          <c:h val="0.89707251797761289"/>
        </c:manualLayout>
      </c:layout>
      <c:lineChart>
        <c:grouping val="standard"/>
        <c:varyColors val="0"/>
        <c:ser>
          <c:idx val="0"/>
          <c:order val="0"/>
          <c:spPr>
            <a:ln w="28575">
              <a:noFill/>
            </a:ln>
          </c:spPr>
          <c:marker>
            <c:symbol val="none"/>
          </c:marker>
          <c:cat>
            <c:strRef>
              <c:f>'boxAndwhisker mnDiffHrlyPay'!$B$2</c:f>
              <c:strCache>
                <c:ptCount val="1"/>
                <c:pt idx="0">
                  <c:v>NHS Trusts</c:v>
                </c:pt>
              </c:strCache>
            </c:strRef>
          </c:cat>
          <c:val>
            <c:numRef>
              <c:f>'boxAndwhisker mnDiffHrlyPay'!$B$3</c:f>
              <c:numCache>
                <c:formatCode>0.00</c:formatCode>
                <c:ptCount val="1"/>
                <c:pt idx="0">
                  <c:v>0.16300000000000001</c:v>
                </c:pt>
              </c:numCache>
            </c:numRef>
          </c:val>
          <c:smooth val="0"/>
        </c:ser>
        <c:ser>
          <c:idx val="1"/>
          <c:order val="1"/>
          <c:spPr>
            <a:ln w="28575">
              <a:noFill/>
            </a:ln>
          </c:spPr>
          <c:marker>
            <c:symbol val="dash"/>
            <c:size val="15"/>
            <c:spPr>
              <a:solidFill>
                <a:sysClr val="windowText" lastClr="000000"/>
              </a:solidFill>
              <a:ln>
                <a:solidFill>
                  <a:srgbClr val="000000"/>
                </a:solidFill>
                <a:prstDash val="solid"/>
              </a:ln>
            </c:spPr>
          </c:marker>
          <c:cat>
            <c:strRef>
              <c:f>'boxAndwhisker mnDiffHrlyPay'!$B$2</c:f>
              <c:strCache>
                <c:ptCount val="1"/>
                <c:pt idx="0">
                  <c:v>NHS Trusts</c:v>
                </c:pt>
              </c:strCache>
            </c:strRef>
          </c:cat>
          <c:val>
            <c:numRef>
              <c:f>'boxAndwhisker mnDiffHrlyPay'!$B$4</c:f>
              <c:numCache>
                <c:formatCode>0.00</c:formatCode>
                <c:ptCount val="1"/>
                <c:pt idx="0">
                  <c:v>-7.9000000000000001E-2</c:v>
                </c:pt>
              </c:numCache>
            </c:numRef>
          </c:val>
          <c:smooth val="0"/>
        </c:ser>
        <c:ser>
          <c:idx val="5"/>
          <c:order val="2"/>
          <c:tx>
            <c:v>LPT</c:v>
          </c:tx>
          <c:spPr>
            <a:ln w="28575">
              <a:noFill/>
            </a:ln>
          </c:spPr>
          <c:marker>
            <c:symbol val="circle"/>
            <c:size val="5"/>
            <c:spPr>
              <a:solidFill>
                <a:srgbClr val="FF00FF"/>
              </a:solidFill>
              <a:ln>
                <a:noFill/>
              </a:ln>
            </c:spPr>
          </c:marker>
          <c:cat>
            <c:strRef>
              <c:f>'boxAndwhisker mnDiffHrlyPay'!$B$2</c:f>
              <c:strCache>
                <c:ptCount val="1"/>
                <c:pt idx="0">
                  <c:v>NHS Trusts</c:v>
                </c:pt>
              </c:strCache>
            </c:strRef>
          </c:cat>
          <c:val>
            <c:numRef>
              <c:f>'boxAndwhisker mnDiffHrlyPay'!$B$8</c:f>
              <c:numCache>
                <c:formatCode>0.00</c:formatCode>
                <c:ptCount val="1"/>
                <c:pt idx="0">
                  <c:v>0.154</c:v>
                </c:pt>
              </c:numCache>
            </c:numRef>
          </c:val>
          <c:smooth val="0"/>
        </c:ser>
        <c:ser>
          <c:idx val="2"/>
          <c:order val="3"/>
          <c:spPr>
            <a:ln w="28575">
              <a:noFill/>
            </a:ln>
          </c:spPr>
          <c:marker>
            <c:symbol val="dash"/>
            <c:size val="15"/>
            <c:spPr>
              <a:solidFill>
                <a:schemeClr val="tx1"/>
              </a:solidFill>
              <a:ln>
                <a:solidFill>
                  <a:srgbClr val="000000"/>
                </a:solidFill>
                <a:prstDash val="solid"/>
              </a:ln>
            </c:spPr>
          </c:marker>
          <c:cat>
            <c:strRef>
              <c:f>'boxAndwhisker mnDiffHrlyPay'!$B$2</c:f>
              <c:strCache>
                <c:ptCount val="1"/>
                <c:pt idx="0">
                  <c:v>NHS Trusts</c:v>
                </c:pt>
              </c:strCache>
            </c:strRef>
          </c:cat>
          <c:val>
            <c:numRef>
              <c:f>'boxAndwhisker mnDiffHrlyPay'!$B$5</c:f>
              <c:numCache>
                <c:formatCode>0.00</c:formatCode>
                <c:ptCount val="1"/>
                <c:pt idx="0">
                  <c:v>0.24100000000000002</c:v>
                </c:pt>
              </c:numCache>
            </c:numRef>
          </c:val>
          <c:smooth val="0"/>
        </c:ser>
        <c:ser>
          <c:idx val="3"/>
          <c:order val="4"/>
          <c:spPr>
            <a:ln w="28575">
              <a:noFill/>
            </a:ln>
          </c:spPr>
          <c:marker>
            <c:symbol val="dash"/>
            <c:size val="15"/>
            <c:spPr>
              <a:solidFill>
                <a:sysClr val="windowText" lastClr="000000"/>
              </a:solidFill>
              <a:ln>
                <a:solidFill>
                  <a:srgbClr val="000000"/>
                </a:solidFill>
                <a:prstDash val="solid"/>
              </a:ln>
            </c:spPr>
          </c:marker>
          <c:cat>
            <c:strRef>
              <c:f>'boxAndwhisker mnDiffHrlyPay'!$B$2</c:f>
              <c:strCache>
                <c:ptCount val="1"/>
                <c:pt idx="0">
                  <c:v>NHS Trusts</c:v>
                </c:pt>
              </c:strCache>
            </c:strRef>
          </c:cat>
          <c:val>
            <c:numRef>
              <c:f>'boxAndwhisker mnDiffHrlyPay'!$B$6</c:f>
              <c:numCache>
                <c:formatCode>0.00</c:formatCode>
                <c:ptCount val="1"/>
                <c:pt idx="0">
                  <c:v>0.40799999999999997</c:v>
                </c:pt>
              </c:numCache>
            </c:numRef>
          </c:val>
          <c:smooth val="0"/>
        </c:ser>
        <c:ser>
          <c:idx val="4"/>
          <c:order val="5"/>
          <c:spPr>
            <a:ln w="28575">
              <a:noFill/>
            </a:ln>
          </c:spPr>
          <c:marker>
            <c:symbol val="none"/>
          </c:marker>
          <c:cat>
            <c:strRef>
              <c:f>'boxAndwhisker mnDiffHrlyPay'!$B$2</c:f>
              <c:strCache>
                <c:ptCount val="1"/>
                <c:pt idx="0">
                  <c:v>NHS Trusts</c:v>
                </c:pt>
              </c:strCache>
            </c:strRef>
          </c:cat>
          <c:val>
            <c:numRef>
              <c:f>'boxAndwhisker mnDiffHrlyPay'!$B$7</c:f>
              <c:numCache>
                <c:formatCode>0.00</c:formatCode>
                <c:ptCount val="1"/>
                <c:pt idx="0">
                  <c:v>0.29899999999999999</c:v>
                </c:pt>
              </c:numCache>
            </c:numRef>
          </c:val>
          <c:smooth val="0"/>
        </c:ser>
        <c:dLbls>
          <c:showLegendKey val="0"/>
          <c:showVal val="0"/>
          <c:showCatName val="0"/>
          <c:showSerName val="0"/>
          <c:showPercent val="0"/>
          <c:showBubbleSize val="0"/>
        </c:dLbls>
        <c:hiLowLines/>
        <c:upDownBars>
          <c:gapWidth val="150"/>
          <c:upBars>
            <c:spPr>
              <a:solidFill>
                <a:schemeClr val="bg1"/>
              </a:solidFill>
              <a:ln w="3175">
                <a:solidFill>
                  <a:srgbClr val="000000"/>
                </a:solidFill>
                <a:prstDash val="solid"/>
              </a:ln>
            </c:spPr>
          </c:upBars>
          <c:downBars>
            <c:spPr>
              <a:solidFill>
                <a:srgbClr val="000000"/>
              </a:solidFill>
              <a:ln w="3175">
                <a:solidFill>
                  <a:srgbClr val="000000"/>
                </a:solidFill>
                <a:prstDash val="solid"/>
              </a:ln>
            </c:spPr>
          </c:downBars>
        </c:upDownBars>
        <c:marker val="1"/>
        <c:smooth val="0"/>
        <c:axId val="226423936"/>
        <c:axId val="226425472"/>
      </c:lineChart>
      <c:catAx>
        <c:axId val="226423936"/>
        <c:scaling>
          <c:orientation val="minMax"/>
        </c:scaling>
        <c:delete val="0"/>
        <c:axPos val="b"/>
        <c:numFmt formatCode="General" sourceLinked="1"/>
        <c:majorTickMark val="out"/>
        <c:minorTickMark val="none"/>
        <c:tickLblPos val="none"/>
        <c:spPr>
          <a:ln w="3175">
            <a:solidFill>
              <a:srgbClr val="000000"/>
            </a:solidFill>
            <a:prstDash val="solid"/>
          </a:ln>
        </c:spPr>
        <c:txPr>
          <a:bodyPr rot="-5400000" vert="horz"/>
          <a:lstStyle/>
          <a:p>
            <a:pPr>
              <a:defRPr/>
            </a:pPr>
            <a:endParaRPr lang="en-US"/>
          </a:p>
        </c:txPr>
        <c:crossAx val="226425472"/>
        <c:crosses val="autoZero"/>
        <c:auto val="1"/>
        <c:lblAlgn val="ctr"/>
        <c:lblOffset val="100"/>
        <c:tickLblSkip val="1"/>
        <c:tickMarkSkip val="1"/>
        <c:noMultiLvlLbl val="0"/>
      </c:catAx>
      <c:valAx>
        <c:axId val="226425472"/>
        <c:scaling>
          <c:orientation val="minMax"/>
        </c:scaling>
        <c:delete val="0"/>
        <c:axPos val="l"/>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26423936"/>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mn-lt"/>
          <a:ea typeface="Arial"/>
          <a:cs typeface="Arial"/>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61652025437812619"/>
          <c:y val="6.1977585700424609E-2"/>
          <c:w val="0.38347974562187376"/>
          <c:h val="0.89707251797761289"/>
        </c:manualLayout>
      </c:layout>
      <c:lineChart>
        <c:grouping val="standard"/>
        <c:varyColors val="0"/>
        <c:ser>
          <c:idx val="0"/>
          <c:order val="0"/>
          <c:spPr>
            <a:ln w="28575">
              <a:noFill/>
            </a:ln>
          </c:spPr>
          <c:marker>
            <c:symbol val="none"/>
          </c:marker>
          <c:cat>
            <c:strRef>
              <c:f>'boxAndwhisker mdnDiffHrlyPay'!$B$2</c:f>
              <c:strCache>
                <c:ptCount val="1"/>
                <c:pt idx="0">
                  <c:v>NHS Trusts</c:v>
                </c:pt>
              </c:strCache>
            </c:strRef>
          </c:cat>
          <c:val>
            <c:numRef>
              <c:f>'boxAndwhisker mdnDiffHrlyPay'!$B$3</c:f>
              <c:numCache>
                <c:formatCode>0.00</c:formatCode>
                <c:ptCount val="1"/>
                <c:pt idx="0">
                  <c:v>4.9000000000000002E-2</c:v>
                </c:pt>
              </c:numCache>
            </c:numRef>
          </c:val>
          <c:smooth val="0"/>
        </c:ser>
        <c:ser>
          <c:idx val="1"/>
          <c:order val="1"/>
          <c:spPr>
            <a:ln w="28575">
              <a:noFill/>
            </a:ln>
          </c:spPr>
          <c:marker>
            <c:symbol val="dash"/>
            <c:size val="15"/>
            <c:spPr>
              <a:solidFill>
                <a:sysClr val="windowText" lastClr="000000"/>
              </a:solidFill>
              <a:ln>
                <a:solidFill>
                  <a:srgbClr val="000000"/>
                </a:solidFill>
                <a:prstDash val="solid"/>
              </a:ln>
            </c:spPr>
          </c:marker>
          <c:cat>
            <c:strRef>
              <c:f>'boxAndwhisker mdnDiffHrlyPay'!$B$2</c:f>
              <c:strCache>
                <c:ptCount val="1"/>
                <c:pt idx="0">
                  <c:v>NHS Trusts</c:v>
                </c:pt>
              </c:strCache>
            </c:strRef>
          </c:cat>
          <c:val>
            <c:numRef>
              <c:f>'boxAndwhisker mdnDiffHrlyPay'!$B$4</c:f>
              <c:numCache>
                <c:formatCode>0.00</c:formatCode>
                <c:ptCount val="1"/>
                <c:pt idx="0">
                  <c:v>-0.29899999999999999</c:v>
                </c:pt>
              </c:numCache>
            </c:numRef>
          </c:val>
          <c:smooth val="0"/>
        </c:ser>
        <c:ser>
          <c:idx val="5"/>
          <c:order val="2"/>
          <c:tx>
            <c:v>LPT</c:v>
          </c:tx>
          <c:spPr>
            <a:ln w="28575">
              <a:noFill/>
            </a:ln>
          </c:spPr>
          <c:marker>
            <c:symbol val="circle"/>
            <c:size val="5"/>
            <c:spPr>
              <a:solidFill>
                <a:srgbClr val="FF00FF"/>
              </a:solidFill>
              <a:ln>
                <a:noFill/>
              </a:ln>
            </c:spPr>
          </c:marker>
          <c:cat>
            <c:strRef>
              <c:f>'boxAndwhisker mdnDiffHrlyPay'!$B$2</c:f>
              <c:strCache>
                <c:ptCount val="1"/>
                <c:pt idx="0">
                  <c:v>NHS Trusts</c:v>
                </c:pt>
              </c:strCache>
            </c:strRef>
          </c:cat>
          <c:val>
            <c:numRef>
              <c:f>'boxAndwhisker mdnDiffHrlyPay'!$B$8</c:f>
              <c:numCache>
                <c:formatCode>0.00</c:formatCode>
                <c:ptCount val="1"/>
                <c:pt idx="0">
                  <c:v>6.3E-2</c:v>
                </c:pt>
              </c:numCache>
            </c:numRef>
          </c:val>
          <c:smooth val="0"/>
        </c:ser>
        <c:ser>
          <c:idx val="2"/>
          <c:order val="3"/>
          <c:spPr>
            <a:ln w="28575">
              <a:noFill/>
            </a:ln>
          </c:spPr>
          <c:marker>
            <c:symbol val="dash"/>
            <c:size val="15"/>
            <c:spPr>
              <a:solidFill>
                <a:schemeClr val="tx1"/>
              </a:solidFill>
              <a:ln>
                <a:solidFill>
                  <a:srgbClr val="000000"/>
                </a:solidFill>
                <a:prstDash val="solid"/>
              </a:ln>
            </c:spPr>
          </c:marker>
          <c:cat>
            <c:strRef>
              <c:f>'boxAndwhisker mdnDiffHrlyPay'!$B$2</c:f>
              <c:strCache>
                <c:ptCount val="1"/>
                <c:pt idx="0">
                  <c:v>NHS Trusts</c:v>
                </c:pt>
              </c:strCache>
            </c:strRef>
          </c:cat>
          <c:val>
            <c:numRef>
              <c:f>'boxAndwhisker mdnDiffHrlyPay'!$B$5</c:f>
              <c:numCache>
                <c:formatCode>0.00</c:formatCode>
                <c:ptCount val="1"/>
                <c:pt idx="0">
                  <c:v>0.10199999999999999</c:v>
                </c:pt>
              </c:numCache>
            </c:numRef>
          </c:val>
          <c:smooth val="0"/>
        </c:ser>
        <c:ser>
          <c:idx val="3"/>
          <c:order val="4"/>
          <c:spPr>
            <a:ln w="28575">
              <a:noFill/>
            </a:ln>
          </c:spPr>
          <c:marker>
            <c:symbol val="dash"/>
            <c:size val="15"/>
            <c:spPr>
              <a:solidFill>
                <a:sysClr val="windowText" lastClr="000000"/>
              </a:solidFill>
              <a:ln>
                <a:solidFill>
                  <a:srgbClr val="000000"/>
                </a:solidFill>
                <a:prstDash val="solid"/>
              </a:ln>
            </c:spPr>
          </c:marker>
          <c:cat>
            <c:strRef>
              <c:f>'boxAndwhisker mdnDiffHrlyPay'!$B$2</c:f>
              <c:strCache>
                <c:ptCount val="1"/>
                <c:pt idx="0">
                  <c:v>NHS Trusts</c:v>
                </c:pt>
              </c:strCache>
            </c:strRef>
          </c:cat>
          <c:val>
            <c:numRef>
              <c:f>'boxAndwhisker mdnDiffHrlyPay'!$B$6</c:f>
              <c:numCache>
                <c:formatCode>0.00</c:formatCode>
                <c:ptCount val="1"/>
                <c:pt idx="0">
                  <c:v>0.39899999999999997</c:v>
                </c:pt>
              </c:numCache>
            </c:numRef>
          </c:val>
          <c:smooth val="0"/>
        </c:ser>
        <c:ser>
          <c:idx val="4"/>
          <c:order val="5"/>
          <c:spPr>
            <a:ln w="28575">
              <a:noFill/>
            </a:ln>
          </c:spPr>
          <c:marker>
            <c:symbol val="none"/>
          </c:marker>
          <c:cat>
            <c:strRef>
              <c:f>'boxAndwhisker mdnDiffHrlyPay'!$B$2</c:f>
              <c:strCache>
                <c:ptCount val="1"/>
                <c:pt idx="0">
                  <c:v>NHS Trusts</c:v>
                </c:pt>
              </c:strCache>
            </c:strRef>
          </c:cat>
          <c:val>
            <c:numRef>
              <c:f>'boxAndwhisker mdnDiffHrlyPay'!$B$7</c:f>
              <c:numCache>
                <c:formatCode>0.00</c:formatCode>
                <c:ptCount val="1"/>
                <c:pt idx="0">
                  <c:v>0.152</c:v>
                </c:pt>
              </c:numCache>
            </c:numRef>
          </c:val>
          <c:smooth val="0"/>
        </c:ser>
        <c:dLbls>
          <c:showLegendKey val="0"/>
          <c:showVal val="0"/>
          <c:showCatName val="0"/>
          <c:showSerName val="0"/>
          <c:showPercent val="0"/>
          <c:showBubbleSize val="0"/>
        </c:dLbls>
        <c:hiLowLines/>
        <c:upDownBars>
          <c:gapWidth val="150"/>
          <c:upBars>
            <c:spPr>
              <a:solidFill>
                <a:schemeClr val="bg1"/>
              </a:solidFill>
              <a:ln w="3175">
                <a:solidFill>
                  <a:srgbClr val="000000"/>
                </a:solidFill>
                <a:prstDash val="solid"/>
              </a:ln>
            </c:spPr>
          </c:upBars>
          <c:downBars>
            <c:spPr>
              <a:solidFill>
                <a:srgbClr val="000000"/>
              </a:solidFill>
              <a:ln w="3175">
                <a:solidFill>
                  <a:srgbClr val="000000"/>
                </a:solidFill>
                <a:prstDash val="solid"/>
              </a:ln>
            </c:spPr>
          </c:downBars>
        </c:upDownBars>
        <c:marker val="1"/>
        <c:smooth val="0"/>
        <c:axId val="226459008"/>
        <c:axId val="226464896"/>
      </c:lineChart>
      <c:catAx>
        <c:axId val="226459008"/>
        <c:scaling>
          <c:orientation val="minMax"/>
        </c:scaling>
        <c:delete val="0"/>
        <c:axPos val="b"/>
        <c:numFmt formatCode="General" sourceLinked="1"/>
        <c:majorTickMark val="out"/>
        <c:minorTickMark val="none"/>
        <c:tickLblPos val="none"/>
        <c:spPr>
          <a:ln w="3175">
            <a:solidFill>
              <a:srgbClr val="000000"/>
            </a:solidFill>
            <a:prstDash val="solid"/>
          </a:ln>
        </c:spPr>
        <c:txPr>
          <a:bodyPr rot="-5400000" vert="horz"/>
          <a:lstStyle/>
          <a:p>
            <a:pPr>
              <a:defRPr/>
            </a:pPr>
            <a:endParaRPr lang="en-US"/>
          </a:p>
        </c:txPr>
        <c:crossAx val="226464896"/>
        <c:crosses val="autoZero"/>
        <c:auto val="1"/>
        <c:lblAlgn val="ctr"/>
        <c:lblOffset val="100"/>
        <c:tickLblSkip val="1"/>
        <c:tickMarkSkip val="1"/>
        <c:noMultiLvlLbl val="0"/>
      </c:catAx>
      <c:valAx>
        <c:axId val="226464896"/>
        <c:scaling>
          <c:orientation val="minMax"/>
        </c:scaling>
        <c:delete val="0"/>
        <c:axPos val="l"/>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26459008"/>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mn-lt"/>
          <a:ea typeface="Arial"/>
          <a:cs typeface="Arial"/>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62165060892526425"/>
          <c:y val="6.8627709783217347E-2"/>
          <c:w val="0.3783493910747357"/>
          <c:h val="0.89707251797761289"/>
        </c:manualLayout>
      </c:layout>
      <c:lineChart>
        <c:grouping val="standard"/>
        <c:varyColors val="0"/>
        <c:ser>
          <c:idx val="0"/>
          <c:order val="0"/>
          <c:spPr>
            <a:ln w="28575">
              <a:noFill/>
            </a:ln>
          </c:spPr>
          <c:marker>
            <c:symbol val="none"/>
          </c:marker>
          <c:cat>
            <c:strRef>
              <c:f>'boxAndwhisker mnDiffBonusPay'!$B$2</c:f>
              <c:strCache>
                <c:ptCount val="1"/>
                <c:pt idx="0">
                  <c:v>NHS Trusts</c:v>
                </c:pt>
              </c:strCache>
            </c:strRef>
          </c:cat>
          <c:val>
            <c:numRef>
              <c:f>'boxAndwhisker mnDiffBonusPay'!$B$3</c:f>
              <c:numCache>
                <c:formatCode>0.00</c:formatCode>
                <c:ptCount val="1"/>
                <c:pt idx="0">
                  <c:v>0.1855</c:v>
                </c:pt>
              </c:numCache>
            </c:numRef>
          </c:val>
          <c:smooth val="0"/>
        </c:ser>
        <c:ser>
          <c:idx val="1"/>
          <c:order val="1"/>
          <c:spPr>
            <a:ln w="28575">
              <a:noFill/>
            </a:ln>
          </c:spPr>
          <c:marker>
            <c:symbol val="dash"/>
            <c:size val="15"/>
            <c:spPr>
              <a:solidFill>
                <a:sysClr val="windowText" lastClr="000000"/>
              </a:solidFill>
              <a:ln>
                <a:solidFill>
                  <a:srgbClr val="000000"/>
                </a:solidFill>
                <a:prstDash val="solid"/>
              </a:ln>
            </c:spPr>
          </c:marker>
          <c:cat>
            <c:strRef>
              <c:f>'boxAndwhisker mnDiffBonusPay'!$B$2</c:f>
              <c:strCache>
                <c:ptCount val="1"/>
                <c:pt idx="0">
                  <c:v>NHS Trusts</c:v>
                </c:pt>
              </c:strCache>
            </c:strRef>
          </c:cat>
          <c:val>
            <c:numRef>
              <c:f>'boxAndwhisker mnDiffBonusPay'!$B$4</c:f>
              <c:numCache>
                <c:formatCode>0.00</c:formatCode>
                <c:ptCount val="1"/>
                <c:pt idx="0">
                  <c:v>-3.2189999999999999</c:v>
                </c:pt>
              </c:numCache>
            </c:numRef>
          </c:val>
          <c:smooth val="0"/>
        </c:ser>
        <c:ser>
          <c:idx val="5"/>
          <c:order val="2"/>
          <c:tx>
            <c:v>LPT</c:v>
          </c:tx>
          <c:spPr>
            <a:ln w="28575">
              <a:noFill/>
            </a:ln>
          </c:spPr>
          <c:marker>
            <c:symbol val="circle"/>
            <c:size val="5"/>
            <c:spPr>
              <a:solidFill>
                <a:srgbClr val="FF00FF"/>
              </a:solidFill>
              <a:ln>
                <a:noFill/>
              </a:ln>
            </c:spPr>
          </c:marker>
          <c:cat>
            <c:strRef>
              <c:f>'boxAndwhisker mnDiffBonusPay'!$B$2</c:f>
              <c:strCache>
                <c:ptCount val="1"/>
                <c:pt idx="0">
                  <c:v>NHS Trusts</c:v>
                </c:pt>
              </c:strCache>
            </c:strRef>
          </c:cat>
          <c:val>
            <c:numRef>
              <c:f>'boxAndwhisker mnDiffBonusPay'!$B$8</c:f>
              <c:numCache>
                <c:formatCode>0.00</c:formatCode>
                <c:ptCount val="1"/>
                <c:pt idx="0">
                  <c:v>0.33899999999999997</c:v>
                </c:pt>
              </c:numCache>
            </c:numRef>
          </c:val>
          <c:smooth val="0"/>
        </c:ser>
        <c:ser>
          <c:idx val="2"/>
          <c:order val="3"/>
          <c:spPr>
            <a:ln w="28575">
              <a:noFill/>
            </a:ln>
          </c:spPr>
          <c:marker>
            <c:symbol val="dash"/>
            <c:size val="15"/>
            <c:spPr>
              <a:solidFill>
                <a:schemeClr val="tx1"/>
              </a:solidFill>
              <a:ln>
                <a:solidFill>
                  <a:srgbClr val="000000"/>
                </a:solidFill>
                <a:prstDash val="solid"/>
              </a:ln>
            </c:spPr>
          </c:marker>
          <c:cat>
            <c:strRef>
              <c:f>'boxAndwhisker mnDiffBonusPay'!$B$2</c:f>
              <c:strCache>
                <c:ptCount val="1"/>
                <c:pt idx="0">
                  <c:v>NHS Trusts</c:v>
                </c:pt>
              </c:strCache>
            </c:strRef>
          </c:cat>
          <c:val>
            <c:numRef>
              <c:f>'boxAndwhisker mnDiffBonusPay'!$B$5</c:f>
              <c:numCache>
                <c:formatCode>0.00</c:formatCode>
                <c:ptCount val="1"/>
                <c:pt idx="0">
                  <c:v>0.32100000000000001</c:v>
                </c:pt>
              </c:numCache>
            </c:numRef>
          </c:val>
          <c:smooth val="0"/>
        </c:ser>
        <c:ser>
          <c:idx val="3"/>
          <c:order val="4"/>
          <c:spPr>
            <a:ln w="28575">
              <a:noFill/>
            </a:ln>
          </c:spPr>
          <c:marker>
            <c:symbol val="dash"/>
            <c:size val="15"/>
            <c:spPr>
              <a:solidFill>
                <a:sysClr val="windowText" lastClr="000000"/>
              </a:solidFill>
              <a:ln>
                <a:solidFill>
                  <a:srgbClr val="000000"/>
                </a:solidFill>
                <a:prstDash val="solid"/>
              </a:ln>
            </c:spPr>
          </c:marker>
          <c:cat>
            <c:strRef>
              <c:f>'boxAndwhisker mnDiffBonusPay'!$B$2</c:f>
              <c:strCache>
                <c:ptCount val="1"/>
                <c:pt idx="0">
                  <c:v>NHS Trusts</c:v>
                </c:pt>
              </c:strCache>
            </c:strRef>
          </c:cat>
          <c:val>
            <c:numRef>
              <c:f>'boxAndwhisker mnDiffBonusPay'!$B$6</c:f>
              <c:numCache>
                <c:formatCode>0.00</c:formatCode>
                <c:ptCount val="1"/>
                <c:pt idx="0">
                  <c:v>1</c:v>
                </c:pt>
              </c:numCache>
            </c:numRef>
          </c:val>
          <c:smooth val="0"/>
        </c:ser>
        <c:ser>
          <c:idx val="4"/>
          <c:order val="5"/>
          <c:spPr>
            <a:ln w="28575">
              <a:noFill/>
            </a:ln>
          </c:spPr>
          <c:marker>
            <c:symbol val="none"/>
          </c:marker>
          <c:cat>
            <c:strRef>
              <c:f>'boxAndwhisker mnDiffBonusPay'!$B$2</c:f>
              <c:strCache>
                <c:ptCount val="1"/>
                <c:pt idx="0">
                  <c:v>NHS Trusts</c:v>
                </c:pt>
              </c:strCache>
            </c:strRef>
          </c:cat>
          <c:val>
            <c:numRef>
              <c:f>'boxAndwhisker mnDiffBonusPay'!$B$7</c:f>
              <c:numCache>
                <c:formatCode>0.00</c:formatCode>
                <c:ptCount val="1"/>
                <c:pt idx="0">
                  <c:v>0.46124999999999999</c:v>
                </c:pt>
              </c:numCache>
            </c:numRef>
          </c:val>
          <c:smooth val="0"/>
        </c:ser>
        <c:dLbls>
          <c:showLegendKey val="0"/>
          <c:showVal val="0"/>
          <c:showCatName val="0"/>
          <c:showSerName val="0"/>
          <c:showPercent val="0"/>
          <c:showBubbleSize val="0"/>
        </c:dLbls>
        <c:hiLowLines/>
        <c:upDownBars>
          <c:gapWidth val="150"/>
          <c:upBars>
            <c:spPr>
              <a:solidFill>
                <a:schemeClr val="bg1"/>
              </a:solidFill>
              <a:ln w="3175">
                <a:solidFill>
                  <a:srgbClr val="000000"/>
                </a:solidFill>
                <a:prstDash val="solid"/>
              </a:ln>
            </c:spPr>
          </c:upBars>
          <c:downBars>
            <c:spPr>
              <a:solidFill>
                <a:srgbClr val="000000"/>
              </a:solidFill>
              <a:ln w="3175">
                <a:solidFill>
                  <a:srgbClr val="000000"/>
                </a:solidFill>
                <a:prstDash val="solid"/>
              </a:ln>
            </c:spPr>
          </c:downBars>
        </c:upDownBars>
        <c:marker val="1"/>
        <c:smooth val="0"/>
        <c:axId val="226510720"/>
        <c:axId val="226512256"/>
      </c:lineChart>
      <c:catAx>
        <c:axId val="226510720"/>
        <c:scaling>
          <c:orientation val="minMax"/>
        </c:scaling>
        <c:delete val="0"/>
        <c:axPos val="b"/>
        <c:numFmt formatCode="General" sourceLinked="1"/>
        <c:majorTickMark val="out"/>
        <c:minorTickMark val="none"/>
        <c:tickLblPos val="none"/>
        <c:spPr>
          <a:ln w="3175">
            <a:solidFill>
              <a:srgbClr val="000000"/>
            </a:solidFill>
            <a:prstDash val="solid"/>
          </a:ln>
        </c:spPr>
        <c:txPr>
          <a:bodyPr rot="-5400000" vert="horz"/>
          <a:lstStyle/>
          <a:p>
            <a:pPr>
              <a:defRPr/>
            </a:pPr>
            <a:endParaRPr lang="en-US"/>
          </a:p>
        </c:txPr>
        <c:crossAx val="226512256"/>
        <c:crosses val="autoZero"/>
        <c:auto val="1"/>
        <c:lblAlgn val="ctr"/>
        <c:lblOffset val="100"/>
        <c:tickLblSkip val="1"/>
        <c:tickMarkSkip val="1"/>
        <c:noMultiLvlLbl val="0"/>
      </c:catAx>
      <c:valAx>
        <c:axId val="226512256"/>
        <c:scaling>
          <c:orientation val="minMax"/>
        </c:scaling>
        <c:delete val="0"/>
        <c:axPos val="l"/>
        <c:numFmt formatCode="0%" sourceLinked="0"/>
        <c:majorTickMark val="out"/>
        <c:minorTickMark val="none"/>
        <c:tickLblPos val="nextTo"/>
        <c:spPr>
          <a:ln w="3175">
            <a:solidFill>
              <a:srgbClr val="000000"/>
            </a:solidFill>
            <a:prstDash val="solid"/>
          </a:ln>
        </c:spPr>
        <c:txPr>
          <a:bodyPr rot="0" vert="horz"/>
          <a:lstStyle/>
          <a:p>
            <a:pPr>
              <a:defRPr/>
            </a:pPr>
            <a:endParaRPr lang="en-US"/>
          </a:p>
        </c:txPr>
        <c:crossAx val="226510720"/>
        <c:crosses val="autoZero"/>
        <c:crossBetween val="between"/>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mn-lt"/>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1.68248E-7</cdr:x>
      <cdr:y>0.13632</cdr:y>
    </cdr:from>
    <cdr:to>
      <cdr:x>0.05369</cdr:x>
      <cdr:y>0.35084</cdr:y>
    </cdr:to>
    <cdr:sp macro="" textlink="">
      <cdr:nvSpPr>
        <cdr:cNvPr id="2" name="TextBox 1"/>
        <cdr:cNvSpPr txBox="1"/>
      </cdr:nvSpPr>
      <cdr:spPr>
        <a:xfrm xmlns:a="http://schemas.openxmlformats.org/drawingml/2006/main" rot="16200000">
          <a:off x="-361622" y="1023991"/>
          <a:ext cx="1042357" cy="3191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t>Non-clinical</a:t>
          </a:r>
        </a:p>
      </cdr:txBody>
    </cdr:sp>
  </cdr:relSizeAnchor>
  <cdr:relSizeAnchor xmlns:cdr="http://schemas.openxmlformats.org/drawingml/2006/chartDrawing">
    <cdr:from>
      <cdr:x>0</cdr:x>
      <cdr:y>0.49045</cdr:y>
    </cdr:from>
    <cdr:to>
      <cdr:x>0.05369</cdr:x>
      <cdr:y>0.70498</cdr:y>
    </cdr:to>
    <cdr:sp macro="" textlink="">
      <cdr:nvSpPr>
        <cdr:cNvPr id="3" name="TextBox 1"/>
        <cdr:cNvSpPr txBox="1"/>
      </cdr:nvSpPr>
      <cdr:spPr>
        <a:xfrm xmlns:a="http://schemas.openxmlformats.org/drawingml/2006/main" rot="16200000">
          <a:off x="-1276046" y="2744765"/>
          <a:ext cx="1042406" cy="3191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Clinical</a:t>
          </a:r>
        </a:p>
      </cdr:txBody>
    </cdr:sp>
  </cdr:relSizeAnchor>
  <cdr:relSizeAnchor xmlns:cdr="http://schemas.openxmlformats.org/drawingml/2006/chartDrawing">
    <cdr:from>
      <cdr:x>0.04006</cdr:x>
      <cdr:y>0.05954</cdr:y>
    </cdr:from>
    <cdr:to>
      <cdr:x>0.04027</cdr:x>
      <cdr:y>0.43042</cdr:y>
    </cdr:to>
    <cdr:cxnSp macro="">
      <cdr:nvCxnSpPr>
        <cdr:cNvPr id="5" name="Straight Arrow Connector 4"/>
        <cdr:cNvCxnSpPr/>
      </cdr:nvCxnSpPr>
      <cdr:spPr>
        <a:xfrm xmlns:a="http://schemas.openxmlformats.org/drawingml/2006/main">
          <a:off x="238101" y="289328"/>
          <a:ext cx="1248" cy="1802113"/>
        </a:xfrm>
        <a:prstGeom xmlns:a="http://schemas.openxmlformats.org/drawingml/2006/main" prst="straightConnector1">
          <a:avLst/>
        </a:prstGeom>
        <a:ln xmlns:a="http://schemas.openxmlformats.org/drawingml/2006/main">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0.04006</cdr:x>
      <cdr:y>0.4338</cdr:y>
    </cdr:from>
    <cdr:to>
      <cdr:x>0.04027</cdr:x>
      <cdr:y>0.88427</cdr:y>
    </cdr:to>
    <cdr:cxnSp macro="">
      <cdr:nvCxnSpPr>
        <cdr:cNvPr id="10" name="Straight Arrow Connector 9"/>
        <cdr:cNvCxnSpPr/>
      </cdr:nvCxnSpPr>
      <cdr:spPr>
        <a:xfrm xmlns:a="http://schemas.openxmlformats.org/drawingml/2006/main" flipH="1">
          <a:off x="238101" y="2107864"/>
          <a:ext cx="1248" cy="2188842"/>
        </a:xfrm>
        <a:prstGeom xmlns:a="http://schemas.openxmlformats.org/drawingml/2006/main" prst="straightConnector1">
          <a:avLst/>
        </a:prstGeom>
        <a:ln xmlns:a="http://schemas.openxmlformats.org/drawingml/2006/main">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0.92949</cdr:x>
      <cdr:y>0.18183</cdr:y>
    </cdr:from>
    <cdr:to>
      <cdr:x>1</cdr:x>
      <cdr:y>0.39388</cdr:y>
    </cdr:to>
    <cdr:sp macro="" textlink="">
      <cdr:nvSpPr>
        <cdr:cNvPr id="13" name="TextBox 11"/>
        <cdr:cNvSpPr txBox="1"/>
      </cdr:nvSpPr>
      <cdr:spPr>
        <a:xfrm xmlns:a="http://schemas.openxmlformats.org/drawingml/2006/main" rot="5400000">
          <a:off x="5218886" y="1189148"/>
          <a:ext cx="1030345" cy="41908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100"/>
            <a:t>FT Men over-represented</a:t>
          </a:r>
        </a:p>
      </cdr:txBody>
    </cdr:sp>
  </cdr:relSizeAnchor>
  <cdr:relSizeAnchor xmlns:cdr="http://schemas.openxmlformats.org/drawingml/2006/chartDrawing">
    <cdr:from>
      <cdr:x>0.89401</cdr:x>
      <cdr:y>0.21254</cdr:y>
    </cdr:from>
    <cdr:to>
      <cdr:x>0.92487</cdr:x>
      <cdr:y>0.34355</cdr:y>
    </cdr:to>
    <cdr:sp macro="" textlink="">
      <cdr:nvSpPr>
        <cdr:cNvPr id="4" name="Right Brace 3"/>
        <cdr:cNvSpPr/>
      </cdr:nvSpPr>
      <cdr:spPr>
        <a:xfrm xmlns:a="http://schemas.openxmlformats.org/drawingml/2006/main">
          <a:off x="5313637" y="1032736"/>
          <a:ext cx="183395" cy="636576"/>
        </a:xfrm>
        <a:prstGeom xmlns:a="http://schemas.openxmlformats.org/drawingml/2006/main" prst="rightBrac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0.92949</cdr:x>
      <cdr:y>0.48923</cdr:y>
    </cdr:from>
    <cdr:to>
      <cdr:x>1</cdr:x>
      <cdr:y>0.68337</cdr:y>
    </cdr:to>
    <cdr:sp macro="" textlink="">
      <cdr:nvSpPr>
        <cdr:cNvPr id="17" name="TextBox 11"/>
        <cdr:cNvSpPr txBox="1"/>
      </cdr:nvSpPr>
      <cdr:spPr>
        <a:xfrm xmlns:a="http://schemas.openxmlformats.org/drawingml/2006/main" rot="5400000">
          <a:off x="5262393" y="2639311"/>
          <a:ext cx="943330" cy="41908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100"/>
            <a:t>Men under-represented</a:t>
          </a:r>
        </a:p>
      </cdr:txBody>
    </cdr:sp>
  </cdr:relSizeAnchor>
  <cdr:relSizeAnchor xmlns:cdr="http://schemas.openxmlformats.org/drawingml/2006/chartDrawing">
    <cdr:from>
      <cdr:x>0.88963</cdr:x>
      <cdr:y>0.55874</cdr:y>
    </cdr:from>
    <cdr:to>
      <cdr:x>0.92106</cdr:x>
      <cdr:y>0.59709</cdr:y>
    </cdr:to>
    <cdr:sp macro="" textlink="">
      <cdr:nvSpPr>
        <cdr:cNvPr id="19" name="Right Brace 18"/>
        <cdr:cNvSpPr/>
      </cdr:nvSpPr>
      <cdr:spPr>
        <a:xfrm xmlns:a="http://schemas.openxmlformats.org/drawingml/2006/main">
          <a:off x="5287611" y="2714914"/>
          <a:ext cx="186807" cy="186343"/>
        </a:xfrm>
        <a:prstGeom xmlns:a="http://schemas.openxmlformats.org/drawingml/2006/main" prst="rightBrac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0.88654</cdr:x>
      <cdr:y>0.78119</cdr:y>
    </cdr:from>
    <cdr:to>
      <cdr:x>0.91592</cdr:x>
      <cdr:y>0.84686</cdr:y>
    </cdr:to>
    <cdr:sp macro="" textlink="">
      <cdr:nvSpPr>
        <cdr:cNvPr id="20" name="Right Brace 19"/>
        <cdr:cNvSpPr/>
      </cdr:nvSpPr>
      <cdr:spPr>
        <a:xfrm xmlns:a="http://schemas.openxmlformats.org/drawingml/2006/main">
          <a:off x="5269252" y="3795822"/>
          <a:ext cx="174618" cy="319083"/>
        </a:xfrm>
        <a:prstGeom xmlns:a="http://schemas.openxmlformats.org/drawingml/2006/main" prst="rightBrac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0.92949</cdr:x>
      <cdr:y>0.71086</cdr:y>
    </cdr:from>
    <cdr:to>
      <cdr:x>1</cdr:x>
      <cdr:y>0.90935</cdr:y>
    </cdr:to>
    <cdr:sp macro="" textlink="">
      <cdr:nvSpPr>
        <cdr:cNvPr id="21" name="TextBox 11"/>
        <cdr:cNvSpPr txBox="1"/>
      </cdr:nvSpPr>
      <cdr:spPr>
        <a:xfrm xmlns:a="http://schemas.openxmlformats.org/drawingml/2006/main" rot="5400000">
          <a:off x="5251825" y="3726775"/>
          <a:ext cx="964467" cy="41908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100"/>
            <a:t>Men over-represented</a:t>
          </a:r>
        </a:p>
      </cdr:txBody>
    </cdr:sp>
  </cdr:relSizeAnchor>
  <cdr:relSizeAnchor xmlns:cdr="http://schemas.openxmlformats.org/drawingml/2006/chartDrawing">
    <cdr:from>
      <cdr:x>0.04229</cdr:x>
      <cdr:y>0.73507</cdr:y>
    </cdr:from>
    <cdr:to>
      <cdr:x>0.09598</cdr:x>
      <cdr:y>0.86262</cdr:y>
    </cdr:to>
    <cdr:sp macro="" textlink="">
      <cdr:nvSpPr>
        <cdr:cNvPr id="16" name="TextBox 1"/>
        <cdr:cNvSpPr txBox="1"/>
      </cdr:nvSpPr>
      <cdr:spPr>
        <a:xfrm xmlns:a="http://schemas.openxmlformats.org/drawingml/2006/main" rot="16200000">
          <a:off x="101052" y="3722041"/>
          <a:ext cx="619768" cy="3191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Medical</a:t>
          </a:r>
        </a:p>
      </cdr:txBody>
    </cdr:sp>
  </cdr:relSizeAnchor>
  <cdr:relSizeAnchor xmlns:cdr="http://schemas.openxmlformats.org/drawingml/2006/chartDrawing">
    <cdr:from>
      <cdr:x>0.09587</cdr:x>
      <cdr:y>0.75326</cdr:y>
    </cdr:from>
    <cdr:to>
      <cdr:x>0.09587</cdr:x>
      <cdr:y>0.85368</cdr:y>
    </cdr:to>
    <cdr:cxnSp macro="">
      <cdr:nvCxnSpPr>
        <cdr:cNvPr id="18" name="Straight Arrow Connector 17"/>
        <cdr:cNvCxnSpPr/>
      </cdr:nvCxnSpPr>
      <cdr:spPr>
        <a:xfrm xmlns:a="http://schemas.openxmlformats.org/drawingml/2006/main" flipH="1">
          <a:off x="569793" y="3660102"/>
          <a:ext cx="0" cy="487943"/>
        </a:xfrm>
        <a:prstGeom xmlns:a="http://schemas.openxmlformats.org/drawingml/2006/main" prst="straightConnector1">
          <a:avLst/>
        </a:prstGeom>
        <a:ln xmlns:a="http://schemas.openxmlformats.org/drawingml/2006/main">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0.xml><?xml version="1.0" encoding="utf-8"?>
<c:userShapes xmlns:c="http://schemas.openxmlformats.org/drawingml/2006/chart">
  <cdr:relSizeAnchor xmlns:cdr="http://schemas.openxmlformats.org/drawingml/2006/chartDrawing">
    <cdr:from>
      <cdr:x>0</cdr:x>
      <cdr:y>0</cdr:y>
    </cdr:from>
    <cdr:to>
      <cdr:x>0.49699</cdr:x>
      <cdr:y>1</cdr:y>
    </cdr:to>
    <cdr:sp macro="" textlink="">
      <cdr:nvSpPr>
        <cdr:cNvPr id="2" name="TextBox 2"/>
        <cdr:cNvSpPr txBox="1"/>
      </cdr:nvSpPr>
      <cdr:spPr>
        <a:xfrm xmlns:a="http://schemas.openxmlformats.org/drawingml/2006/main" rot="16200000">
          <a:off x="-1429932" y="1429931"/>
          <a:ext cx="3721100" cy="86123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00"/>
            <a:t>Relative</a:t>
          </a:r>
          <a:r>
            <a:rPr lang="en-GB" sz="1000" baseline="0"/>
            <a:t> Likelihood women being in the top pay quartile </a:t>
          </a:r>
        </a:p>
        <a:p xmlns:a="http://schemas.openxmlformats.org/drawingml/2006/main">
          <a:pPr algn="ctr"/>
          <a:r>
            <a:rPr lang="en-GB" sz="1000" baseline="0"/>
            <a:t>compared to men:</a:t>
          </a:r>
        </a:p>
        <a:p xmlns:a="http://schemas.openxmlformats.org/drawingml/2006/main">
          <a:pPr algn="ctr"/>
          <a:r>
            <a:rPr lang="en-GB" sz="1000" baseline="0"/>
            <a:t> Min, Max, Median, 25th %ile, 75th %ile</a:t>
          </a:r>
          <a:endParaRPr lang="en-GB" sz="1000"/>
        </a:p>
      </cdr:txBody>
    </cdr:sp>
  </cdr:relSizeAnchor>
</c:userShapes>
</file>

<file path=word/drawings/drawing2.xml><?xml version="1.0" encoding="utf-8"?>
<c:userShapes xmlns:c="http://schemas.openxmlformats.org/drawingml/2006/chart">
  <cdr:relSizeAnchor xmlns:cdr="http://schemas.openxmlformats.org/drawingml/2006/chartDrawing">
    <cdr:from>
      <cdr:x>0.44007</cdr:x>
      <cdr:y>0.64509</cdr:y>
    </cdr:from>
    <cdr:to>
      <cdr:x>0.97853</cdr:x>
      <cdr:y>0.80268</cdr:y>
    </cdr:to>
    <cdr:sp macro="" textlink="">
      <cdr:nvSpPr>
        <cdr:cNvPr id="2" name="TextBox 4"/>
        <cdr:cNvSpPr txBox="1"/>
      </cdr:nvSpPr>
      <cdr:spPr>
        <a:xfrm xmlns:a="http://schemas.openxmlformats.org/drawingml/2006/main">
          <a:off x="2615612" y="890538"/>
          <a:ext cx="3200399" cy="217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800"/>
            <a:t>Gender</a:t>
          </a:r>
          <a:r>
            <a:rPr lang="en-GB" sz="800" baseline="0"/>
            <a:t> Pay Gap in favour of women : Gender Pay Gap in favour of men</a:t>
          </a:r>
          <a:endParaRPr lang="en-GB" sz="800"/>
        </a:p>
      </cdr:txBody>
    </cdr:sp>
  </cdr:relSizeAnchor>
  <cdr:relSizeAnchor xmlns:cdr="http://schemas.openxmlformats.org/drawingml/2006/chartDrawing">
    <cdr:from>
      <cdr:x>0.47764</cdr:x>
      <cdr:y>0.60846</cdr:y>
    </cdr:from>
    <cdr:to>
      <cdr:x>0.70125</cdr:x>
      <cdr:y>0.60846</cdr:y>
    </cdr:to>
    <cdr:cxnSp macro="">
      <cdr:nvCxnSpPr>
        <cdr:cNvPr id="4" name="Straight Arrow Connector 3"/>
        <cdr:cNvCxnSpPr/>
      </cdr:nvCxnSpPr>
      <cdr:spPr>
        <a:xfrm xmlns:a="http://schemas.openxmlformats.org/drawingml/2006/main" flipH="1">
          <a:off x="2838893" y="839972"/>
          <a:ext cx="1329070" cy="0"/>
        </a:xfrm>
        <a:prstGeom xmlns:a="http://schemas.openxmlformats.org/drawingml/2006/main" prst="straightConnector1">
          <a:avLst/>
        </a:prstGeom>
        <a:ln xmlns:a="http://schemas.openxmlformats.org/drawingml/2006/main" w="12700">
          <a:solidFill>
            <a:srgbClr val="FFC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0.73524</cdr:x>
      <cdr:y>0.60846</cdr:y>
    </cdr:from>
    <cdr:to>
      <cdr:x>0.97496</cdr:x>
      <cdr:y>0.60846</cdr:y>
    </cdr:to>
    <cdr:cxnSp macro="">
      <cdr:nvCxnSpPr>
        <cdr:cNvPr id="9" name="Straight Arrow Connector 8"/>
        <cdr:cNvCxnSpPr/>
      </cdr:nvCxnSpPr>
      <cdr:spPr>
        <a:xfrm xmlns:a="http://schemas.openxmlformats.org/drawingml/2006/main" flipV="1">
          <a:off x="4369981" y="839972"/>
          <a:ext cx="1424763" cy="2"/>
        </a:xfrm>
        <a:prstGeom xmlns:a="http://schemas.openxmlformats.org/drawingml/2006/main" prst="straightConnector1">
          <a:avLst/>
        </a:prstGeom>
        <a:ln xmlns:a="http://schemas.openxmlformats.org/drawingml/2006/main" w="12700">
          <a:solidFill>
            <a:srgbClr val="00B0F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0.3864</cdr:x>
      <cdr:y>0.64509</cdr:y>
    </cdr:from>
    <cdr:to>
      <cdr:x>0.98211</cdr:x>
      <cdr:y>0.81402</cdr:y>
    </cdr:to>
    <cdr:sp macro="" textlink="">
      <cdr:nvSpPr>
        <cdr:cNvPr id="2" name="TextBox 4"/>
        <cdr:cNvSpPr txBox="1"/>
      </cdr:nvSpPr>
      <cdr:spPr>
        <a:xfrm xmlns:a="http://schemas.openxmlformats.org/drawingml/2006/main">
          <a:off x="2296633" y="890538"/>
          <a:ext cx="3540641" cy="2332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900"/>
            <a:t>Gender</a:t>
          </a:r>
          <a:r>
            <a:rPr lang="en-GB" sz="900" baseline="0"/>
            <a:t> Pay Gap in favour of women : Gender Pay Gap in favour of men</a:t>
          </a:r>
          <a:endParaRPr lang="en-GB" sz="900"/>
        </a:p>
      </cdr:txBody>
    </cdr:sp>
  </cdr:relSizeAnchor>
  <cdr:relSizeAnchor xmlns:cdr="http://schemas.openxmlformats.org/drawingml/2006/chartDrawing">
    <cdr:from>
      <cdr:x>0.4186</cdr:x>
      <cdr:y>0.59306</cdr:y>
    </cdr:from>
    <cdr:to>
      <cdr:x>0.66369</cdr:x>
      <cdr:y>0.59306</cdr:y>
    </cdr:to>
    <cdr:cxnSp macro="">
      <cdr:nvCxnSpPr>
        <cdr:cNvPr id="4" name="Straight Arrow Connector 3"/>
        <cdr:cNvCxnSpPr/>
      </cdr:nvCxnSpPr>
      <cdr:spPr>
        <a:xfrm xmlns:a="http://schemas.openxmlformats.org/drawingml/2006/main" flipH="1">
          <a:off x="2488019" y="818707"/>
          <a:ext cx="1456660" cy="0"/>
        </a:xfrm>
        <a:prstGeom xmlns:a="http://schemas.openxmlformats.org/drawingml/2006/main" prst="straightConnector1">
          <a:avLst/>
        </a:prstGeom>
        <a:ln xmlns:a="http://schemas.openxmlformats.org/drawingml/2006/main" w="12700">
          <a:solidFill>
            <a:srgbClr val="FFC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0.71914</cdr:x>
      <cdr:y>0.59306</cdr:y>
    </cdr:from>
    <cdr:to>
      <cdr:x>0.98211</cdr:x>
      <cdr:y>0.59306</cdr:y>
    </cdr:to>
    <cdr:cxnSp macro="">
      <cdr:nvCxnSpPr>
        <cdr:cNvPr id="9" name="Straight Arrow Connector 8"/>
        <cdr:cNvCxnSpPr/>
      </cdr:nvCxnSpPr>
      <cdr:spPr>
        <a:xfrm xmlns:a="http://schemas.openxmlformats.org/drawingml/2006/main" flipV="1">
          <a:off x="4274288" y="818707"/>
          <a:ext cx="1562986" cy="1"/>
        </a:xfrm>
        <a:prstGeom xmlns:a="http://schemas.openxmlformats.org/drawingml/2006/main" prst="straightConnector1">
          <a:avLst/>
        </a:prstGeom>
        <a:ln xmlns:a="http://schemas.openxmlformats.org/drawingml/2006/main" w="12700">
          <a:solidFill>
            <a:srgbClr val="00B0F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0.14146</cdr:x>
      <cdr:y>0.72235</cdr:y>
    </cdr:to>
    <cdr:sp macro="" textlink="">
      <cdr:nvSpPr>
        <cdr:cNvPr id="2" name="TextBox 4"/>
        <cdr:cNvSpPr txBox="1"/>
      </cdr:nvSpPr>
      <cdr:spPr>
        <a:xfrm xmlns:a="http://schemas.openxmlformats.org/drawingml/2006/main" rot="16200000">
          <a:off x="-206891" y="206891"/>
          <a:ext cx="819150" cy="40536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00" b="1"/>
            <a:t>All Relevant Employees </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0.19608</cdr:x>
      <cdr:y>1</cdr:y>
    </cdr:to>
    <cdr:sp macro="" textlink="">
      <cdr:nvSpPr>
        <cdr:cNvPr id="2" name="TextBox 4"/>
        <cdr:cNvSpPr txBox="1"/>
      </cdr:nvSpPr>
      <cdr:spPr>
        <a:xfrm xmlns:a="http://schemas.openxmlformats.org/drawingml/2006/main" rot="16200000">
          <a:off x="-286057" y="286057"/>
          <a:ext cx="1134000" cy="56188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GB" sz="1000" b="1"/>
            <a:t>Medical Consultants who applied for a CEA</a:t>
          </a:r>
        </a:p>
      </cdr:txBody>
    </cdr:sp>
  </cdr:relSizeAnchor>
</c:userShapes>
</file>

<file path=word/drawings/drawing6.xml><?xml version="1.0" encoding="utf-8"?>
<c:userShapes xmlns:c="http://schemas.openxmlformats.org/drawingml/2006/chart">
  <cdr:relSizeAnchor xmlns:cdr="http://schemas.openxmlformats.org/drawingml/2006/chartDrawing">
    <cdr:from>
      <cdr:x>0.02006</cdr:x>
      <cdr:y>0.01447</cdr:y>
    </cdr:from>
    <cdr:to>
      <cdr:x>0.33766</cdr:x>
      <cdr:y>0.98553</cdr:y>
    </cdr:to>
    <cdr:sp macro="" textlink="">
      <cdr:nvSpPr>
        <cdr:cNvPr id="2" name="TextBox 2"/>
        <cdr:cNvSpPr txBox="1"/>
      </cdr:nvSpPr>
      <cdr:spPr>
        <a:xfrm xmlns:a="http://schemas.openxmlformats.org/drawingml/2006/main" rot="16200000">
          <a:off x="-1649344" y="1730892"/>
          <a:ext cx="3755259" cy="40536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000"/>
            <a:t>Gender Pay Gaps for NHS</a:t>
          </a:r>
          <a:r>
            <a:rPr lang="en-GB" sz="1000" baseline="0"/>
            <a:t> Provider Trusts based on Mean Hourly Pay:</a:t>
          </a:r>
        </a:p>
        <a:p xmlns:a="http://schemas.openxmlformats.org/drawingml/2006/main">
          <a:pPr algn="ctr"/>
          <a:r>
            <a:rPr lang="en-GB" sz="1000" baseline="0"/>
            <a:t> Min, Max, Median, 25th %ile, 75th %ile</a:t>
          </a:r>
          <a:endParaRPr lang="en-GB" sz="1000"/>
        </a:p>
      </cdr:txBody>
    </cdr:sp>
  </cdr:relSizeAnchor>
</c:userShapes>
</file>

<file path=word/drawings/drawing7.xml><?xml version="1.0" encoding="utf-8"?>
<c:userShapes xmlns:c="http://schemas.openxmlformats.org/drawingml/2006/chart">
  <cdr:relSizeAnchor xmlns:cdr="http://schemas.openxmlformats.org/drawingml/2006/chartDrawing">
    <cdr:from>
      <cdr:x>0.01386</cdr:x>
      <cdr:y>0</cdr:y>
    </cdr:from>
    <cdr:to>
      <cdr:x>0.34377</cdr:x>
      <cdr:y>1</cdr:y>
    </cdr:to>
    <cdr:sp macro="" textlink="">
      <cdr:nvSpPr>
        <cdr:cNvPr id="2" name="TextBox 2"/>
        <cdr:cNvSpPr txBox="1"/>
      </cdr:nvSpPr>
      <cdr:spPr>
        <a:xfrm xmlns:a="http://schemas.openxmlformats.org/drawingml/2006/main" rot="16200000">
          <a:off x="-1720815" y="1659454"/>
          <a:ext cx="3881062" cy="40536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000"/>
            <a:t>Gender Pay Gaps for NHS</a:t>
          </a:r>
          <a:r>
            <a:rPr lang="en-GB" sz="1000" baseline="0"/>
            <a:t> Provider Trusts based on Median Hourly Pay:</a:t>
          </a:r>
        </a:p>
        <a:p xmlns:a="http://schemas.openxmlformats.org/drawingml/2006/main">
          <a:pPr algn="ctr"/>
          <a:r>
            <a:rPr lang="en-GB" sz="1000" baseline="0"/>
            <a:t> Min, Max, Median, 25th %ile, 75th %ile</a:t>
          </a:r>
          <a:endParaRPr lang="en-GB" sz="1000"/>
        </a:p>
      </cdr:txBody>
    </cdr:sp>
  </cdr:relSizeAnchor>
</c:userShapes>
</file>

<file path=word/drawings/drawing8.xml><?xml version="1.0" encoding="utf-8"?>
<c:userShapes xmlns:c="http://schemas.openxmlformats.org/drawingml/2006/chart">
  <cdr:relSizeAnchor xmlns:cdr="http://schemas.openxmlformats.org/drawingml/2006/chartDrawing">
    <cdr:from>
      <cdr:x>0.02566</cdr:x>
      <cdr:y>0.02831</cdr:y>
    </cdr:from>
    <cdr:to>
      <cdr:x>0.33198</cdr:x>
      <cdr:y>0.97169</cdr:y>
    </cdr:to>
    <cdr:sp macro="" textlink="">
      <cdr:nvSpPr>
        <cdr:cNvPr id="2" name="TextBox 2"/>
        <cdr:cNvSpPr txBox="1"/>
      </cdr:nvSpPr>
      <cdr:spPr>
        <a:xfrm xmlns:a="http://schemas.openxmlformats.org/drawingml/2006/main" rot="16200000">
          <a:off x="-1520054" y="1659454"/>
          <a:ext cx="3513398" cy="40536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000"/>
            <a:t>Gender Pay Gaps  i</a:t>
          </a:r>
          <a:r>
            <a:rPr lang="en-GB" sz="1000" baseline="0"/>
            <a:t>n Mean Annual Bonus Pay across NHS Trusts:</a:t>
          </a:r>
        </a:p>
        <a:p xmlns:a="http://schemas.openxmlformats.org/drawingml/2006/main">
          <a:pPr algn="ctr"/>
          <a:r>
            <a:rPr lang="en-GB" sz="1000" baseline="0"/>
            <a:t> Min, Max, Median, 25th %ile, 75th %ile</a:t>
          </a:r>
          <a:endParaRPr lang="en-GB" sz="1000"/>
        </a:p>
      </cdr:txBody>
    </cdr:sp>
  </cdr:relSizeAnchor>
</c:userShapes>
</file>

<file path=word/drawings/drawing9.xml><?xml version="1.0" encoding="utf-8"?>
<c:userShapes xmlns:c="http://schemas.openxmlformats.org/drawingml/2006/chart">
  <cdr:relSizeAnchor xmlns:cdr="http://schemas.openxmlformats.org/drawingml/2006/chartDrawing">
    <cdr:from>
      <cdr:x>0.06</cdr:x>
      <cdr:y>0.01006</cdr:y>
    </cdr:from>
    <cdr:to>
      <cdr:x>0.35774</cdr:x>
      <cdr:y>0.98994</cdr:y>
    </cdr:to>
    <cdr:sp macro="" textlink="">
      <cdr:nvSpPr>
        <cdr:cNvPr id="2" name="TextBox 2"/>
        <cdr:cNvSpPr txBox="1"/>
      </cdr:nvSpPr>
      <cdr:spPr>
        <a:xfrm xmlns:a="http://schemas.openxmlformats.org/drawingml/2006/main" rot="16200000">
          <a:off x="-1540301" y="1659454"/>
          <a:ext cx="3649332" cy="40536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GB" sz="1000"/>
            <a:t>Gender Pay Gaps f in </a:t>
          </a:r>
          <a:r>
            <a:rPr lang="en-GB" sz="1000" baseline="0"/>
            <a:t>Median Annual Bonus Pay across NHS Trusts:</a:t>
          </a:r>
        </a:p>
        <a:p xmlns:a="http://schemas.openxmlformats.org/drawingml/2006/main">
          <a:pPr algn="ctr"/>
          <a:r>
            <a:rPr lang="en-GB" sz="1000" baseline="0"/>
            <a:t> Min, Max, Median, 25th %ile, 75th %ile</a:t>
          </a:r>
          <a:endParaRPr lang="en-GB"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85AB2-993C-4F41-985D-D3CBF429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Darke</dc:creator>
  <cp:lastModifiedBy>Iain Darker</cp:lastModifiedBy>
  <cp:revision>5</cp:revision>
  <cp:lastPrinted>2020-02-12T15:01:00Z</cp:lastPrinted>
  <dcterms:created xsi:type="dcterms:W3CDTF">2020-02-12T14:55:00Z</dcterms:created>
  <dcterms:modified xsi:type="dcterms:W3CDTF">2020-02-12T15:01:00Z</dcterms:modified>
</cp:coreProperties>
</file>