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17214744" w:rsidR="00911A41" w:rsidRPr="000A113B" w:rsidRDefault="005D5A7F">
      <w:pPr>
        <w:rPr>
          <w:rFonts w:ascii="Arial" w:hAnsi="Arial" w:cs="Arial"/>
          <w:b/>
          <w:color w:val="000000"/>
        </w:rPr>
      </w:pPr>
      <w:r w:rsidRPr="000A113B">
        <w:rPr>
          <w:rFonts w:ascii="Arial" w:hAnsi="Arial" w:cs="Arial"/>
          <w:b/>
          <w:color w:val="000000"/>
        </w:rPr>
        <w:t>Ref No</w:t>
      </w:r>
      <w:r w:rsidR="00251F8B">
        <w:rPr>
          <w:rFonts w:ascii="Arial" w:hAnsi="Arial" w:cs="Arial"/>
          <w:b/>
          <w:color w:val="000000"/>
        </w:rPr>
        <w:t xml:space="preserve">: </w:t>
      </w:r>
      <w:r w:rsidR="00251F8B" w:rsidRPr="00F27A39">
        <w:rPr>
          <w:rFonts w:ascii="Arial" w:hAnsi="Arial" w:cs="Arial"/>
          <w:bCs/>
          <w:color w:val="000000"/>
        </w:rPr>
        <w:t>FOI/2324/SG14020</w:t>
      </w:r>
    </w:p>
    <w:p w14:paraId="29518D73" w14:textId="0F4F98DD" w:rsidR="005D5A7F" w:rsidRPr="000A113B" w:rsidRDefault="005D5A7F">
      <w:pPr>
        <w:rPr>
          <w:rFonts w:ascii="Arial" w:hAnsi="Arial" w:cs="Arial"/>
          <w:b/>
        </w:rPr>
      </w:pPr>
      <w:r w:rsidRPr="000A113B">
        <w:rPr>
          <w:rFonts w:ascii="Arial" w:hAnsi="Arial" w:cs="Arial"/>
          <w:b/>
        </w:rPr>
        <w:t>Date FOI request received:</w:t>
      </w:r>
      <w:r w:rsidR="00251F8B">
        <w:rPr>
          <w:rFonts w:ascii="Arial" w:hAnsi="Arial" w:cs="Arial"/>
          <w:b/>
        </w:rPr>
        <w:t xml:space="preserve"> </w:t>
      </w:r>
      <w:r w:rsidR="00251F8B" w:rsidRPr="00F27A39">
        <w:rPr>
          <w:rFonts w:ascii="Arial" w:hAnsi="Arial" w:cs="Arial"/>
          <w:bCs/>
        </w:rPr>
        <w:t>6 December 2023</w:t>
      </w:r>
    </w:p>
    <w:p w14:paraId="1542E6CC" w14:textId="4AAF211C" w:rsidR="005D5A7F" w:rsidRPr="000A113B" w:rsidRDefault="005D5A7F">
      <w:pPr>
        <w:rPr>
          <w:rFonts w:ascii="Arial" w:hAnsi="Arial" w:cs="Arial"/>
          <w:b/>
        </w:rPr>
      </w:pPr>
      <w:r w:rsidRPr="000A113B">
        <w:rPr>
          <w:rFonts w:ascii="Arial" w:hAnsi="Arial" w:cs="Arial"/>
          <w:b/>
        </w:rPr>
        <w:t>Date FOI response:</w:t>
      </w:r>
      <w:r w:rsidR="00251F8B">
        <w:rPr>
          <w:rFonts w:ascii="Arial" w:hAnsi="Arial" w:cs="Arial"/>
          <w:b/>
        </w:rPr>
        <w:t xml:space="preserve"> </w:t>
      </w:r>
      <w:r w:rsidR="00251F8B" w:rsidRPr="00F27A39">
        <w:rPr>
          <w:rFonts w:ascii="Arial" w:hAnsi="Arial" w:cs="Arial"/>
          <w:bCs/>
        </w:rPr>
        <w:t>22 December 2023</w:t>
      </w:r>
    </w:p>
    <w:p w14:paraId="39963D5E" w14:textId="52C70B30" w:rsidR="005D5A7F" w:rsidRPr="000A113B" w:rsidRDefault="00F27A39">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0A113B" w:rsidRDefault="005D5A7F">
      <w:pPr>
        <w:rPr>
          <w:rFonts w:ascii="Arial" w:hAnsi="Arial" w:cs="Arial"/>
          <w:b/>
        </w:rPr>
      </w:pPr>
      <w:r w:rsidRPr="000A113B">
        <w:rPr>
          <w:rFonts w:ascii="Arial" w:hAnsi="Arial" w:cs="Arial"/>
          <w:b/>
        </w:rPr>
        <w:t xml:space="preserve">REQUEST &amp; OUR RESPONSE:  </w:t>
      </w:r>
    </w:p>
    <w:p w14:paraId="2B2E23F3" w14:textId="4AB794BE" w:rsidR="00251F8B" w:rsidRPr="00251F8B" w:rsidRDefault="00251F8B" w:rsidP="00251F8B">
      <w:pPr>
        <w:rPr>
          <w:rFonts w:ascii="Arial" w:hAnsi="Arial" w:cs="Arial"/>
        </w:rPr>
      </w:pPr>
      <w:r w:rsidRPr="00251F8B">
        <w:rPr>
          <w:rFonts w:ascii="Arial" w:hAnsi="Arial" w:cs="Arial"/>
          <w:b/>
        </w:rPr>
        <w:t xml:space="preserve">REQUEST: </w:t>
      </w:r>
      <w:r w:rsidRPr="00251F8B">
        <w:rPr>
          <w:rFonts w:ascii="Arial" w:hAnsi="Arial" w:cs="Arial"/>
        </w:rPr>
        <w:t>This is a freedom of information request under the Freedom of Information Act 2000. Please provide the following information you have pertaining to NHS Trust unlicensed medicine expenditure.</w:t>
      </w:r>
    </w:p>
    <w:p w14:paraId="2425E11E" w14:textId="77777777" w:rsidR="00251F8B" w:rsidRPr="00251F8B" w:rsidRDefault="00251F8B" w:rsidP="00251F8B">
      <w:pPr>
        <w:pStyle w:val="ListParagraph"/>
        <w:numPr>
          <w:ilvl w:val="0"/>
          <w:numId w:val="2"/>
        </w:numPr>
        <w:spacing w:after="240" w:line="252" w:lineRule="auto"/>
        <w:ind w:left="360"/>
        <w:rPr>
          <w:rFonts w:ascii="Arial" w:hAnsi="Arial" w:cs="Arial"/>
        </w:rPr>
      </w:pPr>
      <w:r w:rsidRPr="00251F8B">
        <w:rPr>
          <w:rFonts w:ascii="Arial" w:hAnsi="Arial" w:cs="Arial"/>
        </w:rPr>
        <w:t xml:space="preserve">What is the </w:t>
      </w:r>
      <w:r w:rsidRPr="00251F8B">
        <w:rPr>
          <w:rFonts w:ascii="Arial" w:hAnsi="Arial" w:cs="Arial"/>
          <w:u w:val="single"/>
        </w:rPr>
        <w:t>total value</w:t>
      </w:r>
      <w:r w:rsidRPr="00251F8B">
        <w:rPr>
          <w:rFonts w:ascii="Arial" w:hAnsi="Arial" w:cs="Arial"/>
        </w:rPr>
        <w:t xml:space="preserve"> of spend by your NHS Trust on unlicensed medication (</w:t>
      </w:r>
      <w:proofErr w:type="gramStart"/>
      <w:r w:rsidRPr="00251F8B">
        <w:rPr>
          <w:rFonts w:ascii="Arial" w:hAnsi="Arial" w:cs="Arial"/>
        </w:rPr>
        <w:t>i.e.</w:t>
      </w:r>
      <w:proofErr w:type="gramEnd"/>
      <w:r w:rsidRPr="00251F8B">
        <w:rPr>
          <w:rFonts w:ascii="Arial" w:hAnsi="Arial" w:cs="Arial"/>
        </w:rPr>
        <w:t xml:space="preserve"> Special Order, Drug Tariff Special Order, Part VIIID Drug Tariff Special Order) that have a BNF liquid formulation (e.g. liquid, solution, suspension)? Please provide this information on a volume and value basis for the following years </w:t>
      </w:r>
      <w:r w:rsidRPr="00251F8B">
        <w:rPr>
          <w:rFonts w:ascii="Arial" w:hAnsi="Arial" w:cs="Arial"/>
          <w:i/>
          <w:iCs/>
        </w:rPr>
        <w:t>(please fill in the tables below).</w:t>
      </w:r>
      <w:r w:rsidRPr="00251F8B">
        <w:rPr>
          <w:rFonts w:ascii="Arial" w:hAnsi="Arial" w:cs="Arial"/>
          <w:i/>
          <w:iCs/>
        </w:rPr>
        <w:br/>
        <w:t>Note:</w:t>
      </w:r>
      <w:r w:rsidRPr="00251F8B">
        <w:rPr>
          <w:rFonts w:ascii="Arial" w:hAnsi="Arial" w:cs="Arial"/>
        </w:rPr>
        <w:t xml:space="preserve"> Value of spend to mean either net ingredient cost or actual cost. Please state which you have used below. Actual cost would be the total cost to NHS commissioners whereas NIC is the cost at list price excluding VAT.</w:t>
      </w:r>
    </w:p>
    <w:p w14:paraId="5C3A0C72" w14:textId="77777777" w:rsidR="00251F8B" w:rsidRPr="00251F8B" w:rsidRDefault="00251F8B" w:rsidP="00251F8B">
      <w:pPr>
        <w:pStyle w:val="Bullet1"/>
        <w:numPr>
          <w:ilvl w:val="0"/>
          <w:numId w:val="0"/>
        </w:numPr>
        <w:spacing w:after="0"/>
        <w:ind w:left="284" w:hanging="284"/>
        <w:rPr>
          <w:rFonts w:ascii="Arial" w:hAnsi="Arial" w:cs="Arial"/>
        </w:rPr>
      </w:pPr>
      <w:r w:rsidRPr="00251F8B">
        <w:rPr>
          <w:rFonts w:ascii="Arial" w:hAnsi="Arial" w:cs="Arial"/>
        </w:rPr>
        <w:t xml:space="preserve">2. </w:t>
      </w:r>
      <w:r w:rsidRPr="00251F8B">
        <w:rPr>
          <w:rFonts w:ascii="Arial" w:hAnsi="Arial" w:cs="Arial"/>
        </w:rPr>
        <w:tab/>
        <w:t>Do you outsource the production / compounding of liquid unlicensed medication?</w:t>
      </w:r>
    </w:p>
    <w:p w14:paraId="39FC555E" w14:textId="77777777" w:rsidR="00251F8B" w:rsidRPr="00251F8B" w:rsidRDefault="00251F8B" w:rsidP="00251F8B">
      <w:pPr>
        <w:pStyle w:val="Bullet1"/>
        <w:numPr>
          <w:ilvl w:val="0"/>
          <w:numId w:val="0"/>
        </w:numPr>
        <w:spacing w:after="0"/>
        <w:ind w:left="284" w:hanging="284"/>
        <w:rPr>
          <w:rFonts w:ascii="Arial" w:hAnsi="Arial" w:cs="Arial"/>
        </w:rPr>
      </w:pPr>
      <w:r w:rsidRPr="00251F8B">
        <w:rPr>
          <w:rFonts w:ascii="Arial" w:hAnsi="Arial" w:cs="Arial"/>
        </w:rPr>
        <w:t xml:space="preserve">3. </w:t>
      </w:r>
      <w:r w:rsidRPr="00251F8B">
        <w:rPr>
          <w:rFonts w:ascii="Arial" w:hAnsi="Arial" w:cs="Arial"/>
        </w:rPr>
        <w:tab/>
        <w:t>If no to question 2, what proportion of the products that you prepare in-house are aseptically compounded rather than terminally sterilised?</w:t>
      </w:r>
    </w:p>
    <w:p w14:paraId="2063DCD4" w14:textId="77777777" w:rsidR="00251F8B" w:rsidRPr="00251F8B" w:rsidRDefault="00251F8B" w:rsidP="00251F8B">
      <w:pPr>
        <w:pStyle w:val="Bullet1"/>
        <w:numPr>
          <w:ilvl w:val="0"/>
          <w:numId w:val="0"/>
        </w:numPr>
        <w:spacing w:after="0"/>
        <w:ind w:left="284" w:hanging="284"/>
        <w:rPr>
          <w:rFonts w:ascii="Arial" w:hAnsi="Arial" w:cs="Arial"/>
        </w:rPr>
      </w:pPr>
      <w:r w:rsidRPr="00251F8B">
        <w:rPr>
          <w:rFonts w:ascii="Arial" w:hAnsi="Arial" w:cs="Arial"/>
        </w:rPr>
        <w:t xml:space="preserve">4.  If yes to question 2, what is the total value of spend by provider? Please provide this information for the following years </w:t>
      </w:r>
      <w:r w:rsidRPr="00251F8B">
        <w:rPr>
          <w:rFonts w:ascii="Arial" w:hAnsi="Arial" w:cs="Arial"/>
          <w:i/>
          <w:iCs/>
        </w:rPr>
        <w:t>(please fill in the tables below).</w:t>
      </w:r>
    </w:p>
    <w:p w14:paraId="321B7726" w14:textId="77777777" w:rsidR="00251F8B" w:rsidRPr="00251F8B" w:rsidRDefault="00251F8B" w:rsidP="00251F8B">
      <w:pPr>
        <w:pStyle w:val="Bullet1"/>
        <w:numPr>
          <w:ilvl w:val="0"/>
          <w:numId w:val="0"/>
        </w:numPr>
        <w:spacing w:after="0"/>
        <w:ind w:left="284"/>
        <w:rPr>
          <w:rFonts w:ascii="Arial" w:hAnsi="Arial" w:cs="Arial"/>
        </w:rPr>
      </w:pPr>
      <w:r w:rsidRPr="00251F8B">
        <w:rPr>
          <w:rFonts w:ascii="Arial" w:hAnsi="Arial" w:cs="Arial"/>
          <w:i/>
          <w:iCs/>
        </w:rPr>
        <w:t>Note:</w:t>
      </w:r>
      <w:r w:rsidRPr="00251F8B">
        <w:rPr>
          <w:rFonts w:ascii="Arial" w:hAnsi="Arial" w:cs="Arial"/>
        </w:rPr>
        <w:t xml:space="preserve"> If more than 10 providers are used, please only detail spend with the top 10.</w:t>
      </w:r>
    </w:p>
    <w:p w14:paraId="62B6C73E" w14:textId="77777777" w:rsidR="00251F8B" w:rsidRPr="00251F8B" w:rsidRDefault="00251F8B" w:rsidP="00251F8B">
      <w:pPr>
        <w:spacing w:after="240" w:line="252" w:lineRule="auto"/>
        <w:rPr>
          <w:rFonts w:ascii="Arial" w:hAnsi="Arial" w:cs="Arial"/>
        </w:rPr>
      </w:pPr>
    </w:p>
    <w:p w14:paraId="59717F98" w14:textId="77777777" w:rsidR="00251F8B" w:rsidRPr="00251F8B" w:rsidRDefault="00251F8B" w:rsidP="00251F8B">
      <w:pPr>
        <w:pStyle w:val="PlainText"/>
        <w:autoSpaceDE w:val="0"/>
        <w:autoSpaceDN w:val="0"/>
        <w:spacing w:after="120"/>
        <w:rPr>
          <w:rFonts w:ascii="Arial" w:hAnsi="Arial" w:cs="Arial"/>
          <w:b/>
          <w:color w:val="000099"/>
          <w:szCs w:val="22"/>
        </w:rPr>
      </w:pPr>
      <w:r w:rsidRPr="00251F8B">
        <w:rPr>
          <w:rFonts w:ascii="Arial" w:hAnsi="Arial" w:cs="Arial"/>
          <w:b/>
          <w:color w:val="000099"/>
          <w:szCs w:val="22"/>
        </w:rPr>
        <w:t xml:space="preserve">OUR RESPONSE: </w:t>
      </w:r>
    </w:p>
    <w:p w14:paraId="7238CB53" w14:textId="77777777" w:rsidR="00251F8B" w:rsidRPr="00251F8B" w:rsidRDefault="00251F8B" w:rsidP="00251F8B">
      <w:pPr>
        <w:pStyle w:val="PlainText"/>
        <w:autoSpaceDE w:val="0"/>
        <w:autoSpaceDN w:val="0"/>
        <w:spacing w:after="120"/>
        <w:rPr>
          <w:rFonts w:ascii="Arial" w:hAnsi="Arial" w:cs="Arial"/>
          <w:bCs/>
          <w:color w:val="000099"/>
          <w:szCs w:val="22"/>
        </w:rPr>
      </w:pPr>
      <w:r w:rsidRPr="00251F8B">
        <w:rPr>
          <w:rFonts w:ascii="Arial" w:hAnsi="Arial" w:cs="Arial"/>
          <w:bCs/>
          <w:color w:val="000099"/>
          <w:szCs w:val="22"/>
        </w:rPr>
        <w:t>A proportion of the data is held by NHSBSA (</w:t>
      </w:r>
      <w:proofErr w:type="spellStart"/>
      <w:r w:rsidRPr="00251F8B">
        <w:rPr>
          <w:rFonts w:ascii="Arial" w:hAnsi="Arial" w:cs="Arial"/>
          <w:bCs/>
          <w:color w:val="000099"/>
          <w:szCs w:val="22"/>
        </w:rPr>
        <w:t>ePACT</w:t>
      </w:r>
      <w:proofErr w:type="spellEnd"/>
      <w:r w:rsidRPr="00251F8B">
        <w:rPr>
          <w:rFonts w:ascii="Arial" w:hAnsi="Arial" w:cs="Arial"/>
          <w:bCs/>
          <w:color w:val="000099"/>
          <w:szCs w:val="22"/>
        </w:rPr>
        <w:t xml:space="preserve">).  Contact details about how to make an FOI request to them can be found at: </w:t>
      </w:r>
      <w:hyperlink r:id="rId5" w:history="1">
        <w:r w:rsidRPr="00251F8B">
          <w:rPr>
            <w:rStyle w:val="Hyperlink"/>
            <w:rFonts w:ascii="Arial" w:hAnsi="Arial" w:cs="Arial"/>
            <w:bCs/>
            <w:color w:val="000099"/>
            <w:szCs w:val="22"/>
            <w:shd w:val="clear" w:color="auto" w:fill="FBFBFB"/>
          </w:rPr>
          <w:t>nhsbsa.foirequests@nhs.net</w:t>
        </w:r>
      </w:hyperlink>
      <w:r w:rsidRPr="00251F8B">
        <w:rPr>
          <w:rFonts w:ascii="Arial" w:hAnsi="Arial" w:cs="Arial"/>
          <w:bCs/>
          <w:color w:val="000099"/>
          <w:szCs w:val="22"/>
          <w:shd w:val="clear" w:color="auto" w:fill="FBFBFB"/>
        </w:rPr>
        <w:t>.</w:t>
      </w:r>
      <w:r w:rsidRPr="00251F8B">
        <w:rPr>
          <w:rFonts w:ascii="Arial" w:hAnsi="Arial" w:cs="Arial"/>
          <w:bCs/>
          <w:color w:val="000099"/>
          <w:szCs w:val="22"/>
        </w:rPr>
        <w:t xml:space="preserve"> </w:t>
      </w:r>
    </w:p>
    <w:p w14:paraId="07DD1895" w14:textId="77777777" w:rsidR="00251F8B" w:rsidRPr="00251F8B" w:rsidRDefault="00251F8B" w:rsidP="00251F8B">
      <w:pPr>
        <w:pStyle w:val="ListParagraph"/>
        <w:numPr>
          <w:ilvl w:val="0"/>
          <w:numId w:val="3"/>
        </w:numPr>
        <w:spacing w:line="252" w:lineRule="auto"/>
        <w:rPr>
          <w:rFonts w:ascii="Arial" w:eastAsia="Times New Roman" w:hAnsi="Arial" w:cs="Arial"/>
        </w:rPr>
      </w:pPr>
      <w:r w:rsidRPr="00251F8B">
        <w:rPr>
          <w:rFonts w:ascii="Arial" w:eastAsia="Times New Roman" w:hAnsi="Arial" w:cs="Arial"/>
          <w:b/>
          <w:bCs/>
          <w:u w:val="single"/>
        </w:rPr>
        <w:t>Total value</w:t>
      </w:r>
      <w:r w:rsidRPr="00251F8B">
        <w:rPr>
          <w:rFonts w:ascii="Arial" w:eastAsia="Times New Roman" w:hAnsi="Arial" w:cs="Arial"/>
          <w:b/>
          <w:bCs/>
        </w:rPr>
        <w:t>:</w:t>
      </w:r>
    </w:p>
    <w:tbl>
      <w:tblPr>
        <w:tblW w:w="0" w:type="auto"/>
        <w:tblInd w:w="360" w:type="dxa"/>
        <w:tblCellMar>
          <w:left w:w="0" w:type="dxa"/>
          <w:right w:w="0" w:type="dxa"/>
        </w:tblCellMar>
        <w:tblLook w:val="04A0" w:firstRow="1" w:lastRow="0" w:firstColumn="1" w:lastColumn="0" w:noHBand="0" w:noVBand="1"/>
      </w:tblPr>
      <w:tblGrid>
        <w:gridCol w:w="2173"/>
        <w:gridCol w:w="2156"/>
        <w:gridCol w:w="2160"/>
        <w:gridCol w:w="2157"/>
      </w:tblGrid>
      <w:tr w:rsidR="00251F8B" w:rsidRPr="00251F8B" w14:paraId="1A266CA1" w14:textId="77777777" w:rsidTr="008B12CE">
        <w:tc>
          <w:tcPr>
            <w:tcW w:w="23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4AF1F" w14:textId="77777777" w:rsidR="00251F8B" w:rsidRPr="00251F8B" w:rsidRDefault="00251F8B" w:rsidP="008B12CE">
            <w:pPr>
              <w:rPr>
                <w:rFonts w:ascii="Arial" w:hAnsi="Arial" w:cs="Arial"/>
              </w:rPr>
            </w:pPr>
            <w:r w:rsidRPr="00251F8B">
              <w:rPr>
                <w:rFonts w:ascii="Arial" w:hAnsi="Arial" w:cs="Arial"/>
                <w:b/>
                <w:bCs/>
                <w:lang w:val="en-ZA" w:eastAsia="zh-TW"/>
              </w:rPr>
              <w:t>Type</w:t>
            </w:r>
          </w:p>
        </w:tc>
        <w:tc>
          <w:tcPr>
            <w:tcW w:w="7037" w:type="dxa"/>
            <w:gridSpan w:val="3"/>
            <w:tcBorders>
              <w:top w:val="single" w:sz="8" w:space="0" w:color="auto"/>
              <w:left w:val="nil"/>
              <w:bottom w:val="single" w:sz="8" w:space="0" w:color="auto"/>
              <w:right w:val="single" w:sz="8" w:space="0" w:color="auto"/>
            </w:tcBorders>
            <w:shd w:val="clear" w:color="auto" w:fill="F0F7F0"/>
            <w:tcMar>
              <w:top w:w="0" w:type="dxa"/>
              <w:left w:w="108" w:type="dxa"/>
              <w:bottom w:w="0" w:type="dxa"/>
              <w:right w:w="108" w:type="dxa"/>
            </w:tcMar>
            <w:hideMark/>
          </w:tcPr>
          <w:p w14:paraId="76BF0B6E" w14:textId="77777777" w:rsidR="00251F8B" w:rsidRPr="00251F8B" w:rsidRDefault="00251F8B" w:rsidP="008B12CE">
            <w:pPr>
              <w:jc w:val="center"/>
              <w:rPr>
                <w:rFonts w:ascii="Arial" w:hAnsi="Arial" w:cs="Arial"/>
              </w:rPr>
            </w:pPr>
            <w:proofErr w:type="gramStart"/>
            <w:r w:rsidRPr="00251F8B">
              <w:rPr>
                <w:rFonts w:ascii="Arial" w:hAnsi="Arial" w:cs="Arial"/>
                <w:b/>
                <w:bCs/>
                <w:color w:val="000000"/>
                <w:lang w:val="en-ZA" w:eastAsia="zh-TW"/>
              </w:rPr>
              <w:t>Total</w:t>
            </w:r>
            <w:proofErr w:type="gramEnd"/>
            <w:r w:rsidRPr="00251F8B">
              <w:rPr>
                <w:rFonts w:ascii="Arial" w:hAnsi="Arial" w:cs="Arial"/>
                <w:b/>
                <w:bCs/>
                <w:color w:val="000000"/>
                <w:lang w:val="en-ZA" w:eastAsia="zh-TW"/>
              </w:rPr>
              <w:t xml:space="preserve"> spend / cost on liquid unlicensed products procured</w:t>
            </w:r>
          </w:p>
        </w:tc>
      </w:tr>
      <w:tr w:rsidR="00251F8B" w:rsidRPr="00251F8B" w14:paraId="4A9A4320" w14:textId="77777777" w:rsidTr="008B12CE">
        <w:tc>
          <w:tcPr>
            <w:tcW w:w="0" w:type="auto"/>
            <w:vMerge/>
            <w:tcBorders>
              <w:top w:val="single" w:sz="8" w:space="0" w:color="auto"/>
              <w:left w:val="single" w:sz="8" w:space="0" w:color="auto"/>
              <w:bottom w:val="single" w:sz="8" w:space="0" w:color="auto"/>
              <w:right w:val="single" w:sz="8" w:space="0" w:color="auto"/>
            </w:tcBorders>
            <w:vAlign w:val="center"/>
            <w:hideMark/>
          </w:tcPr>
          <w:p w14:paraId="4F222518" w14:textId="77777777" w:rsidR="00251F8B" w:rsidRPr="00251F8B" w:rsidRDefault="00251F8B" w:rsidP="008B12CE">
            <w:pPr>
              <w:rPr>
                <w:rFonts w:ascii="Arial" w:hAnsi="Arial" w:cs="Arial"/>
              </w:rPr>
            </w:pPr>
          </w:p>
        </w:tc>
        <w:tc>
          <w:tcPr>
            <w:tcW w:w="2345"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6BF5E3EE"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Apr-20 to</w:t>
            </w:r>
          </w:p>
          <w:p w14:paraId="533615F9"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Mar-21</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5CF5DCAE"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Apr-21 to</w:t>
            </w:r>
          </w:p>
          <w:p w14:paraId="5F1FD647"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Mar-22</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636C3E2D"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Apr-22 to Mar-23</w:t>
            </w:r>
          </w:p>
        </w:tc>
      </w:tr>
      <w:tr w:rsidR="00251F8B" w:rsidRPr="00251F8B" w14:paraId="3DC40051"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095B" w14:textId="77777777" w:rsidR="00251F8B" w:rsidRPr="00251F8B" w:rsidRDefault="00251F8B" w:rsidP="008B12CE">
            <w:pPr>
              <w:rPr>
                <w:rFonts w:ascii="Arial" w:hAnsi="Arial" w:cs="Arial"/>
              </w:rPr>
            </w:pPr>
            <w:r w:rsidRPr="00251F8B">
              <w:rPr>
                <w:rFonts w:ascii="Arial" w:hAnsi="Arial" w:cs="Arial"/>
                <w:lang w:val="en-ZA" w:eastAsia="zh-TW"/>
              </w:rPr>
              <w:t>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04899CAA" w14:textId="77777777" w:rsidR="00251F8B" w:rsidRPr="00251F8B" w:rsidRDefault="00251F8B" w:rsidP="008B12CE">
            <w:pPr>
              <w:rPr>
                <w:rFonts w:ascii="Arial" w:hAnsi="Arial" w:cs="Arial"/>
              </w:rPr>
            </w:pPr>
            <w:r w:rsidRPr="00251F8B">
              <w:rPr>
                <w:rFonts w:ascii="Arial" w:hAnsi="Arial" w:cs="Arial"/>
                <w:b/>
                <w:bCs/>
                <w:lang w:val="en-ZA" w:eastAsia="zh-TW"/>
              </w:rPr>
              <w:t>£4.5k</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2E4BC681" w14:textId="77777777" w:rsidR="00251F8B" w:rsidRPr="00251F8B" w:rsidRDefault="00251F8B" w:rsidP="008B12CE">
            <w:pPr>
              <w:rPr>
                <w:rFonts w:ascii="Arial" w:hAnsi="Arial" w:cs="Arial"/>
              </w:rPr>
            </w:pPr>
            <w:r w:rsidRPr="00251F8B">
              <w:rPr>
                <w:rFonts w:ascii="Arial" w:hAnsi="Arial" w:cs="Arial"/>
                <w:b/>
                <w:bCs/>
                <w:lang w:val="en-ZA" w:eastAsia="zh-TW"/>
              </w:rPr>
              <w:t> £9.6k</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2C0B04CD" w14:textId="77777777" w:rsidR="00251F8B" w:rsidRPr="00251F8B" w:rsidRDefault="00251F8B" w:rsidP="008B12CE">
            <w:pPr>
              <w:rPr>
                <w:rFonts w:ascii="Arial" w:hAnsi="Arial" w:cs="Arial"/>
              </w:rPr>
            </w:pPr>
            <w:r w:rsidRPr="00251F8B">
              <w:rPr>
                <w:rFonts w:ascii="Arial" w:hAnsi="Arial" w:cs="Arial"/>
                <w:b/>
                <w:bCs/>
                <w:lang w:val="en-ZA" w:eastAsia="zh-TW"/>
              </w:rPr>
              <w:t> £10k</w:t>
            </w:r>
          </w:p>
        </w:tc>
      </w:tr>
      <w:tr w:rsidR="00251F8B" w:rsidRPr="00251F8B" w14:paraId="7AE3A48C"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D0715" w14:textId="77777777" w:rsidR="00251F8B" w:rsidRPr="00251F8B" w:rsidRDefault="00251F8B" w:rsidP="008B12CE">
            <w:pPr>
              <w:rPr>
                <w:rFonts w:ascii="Arial" w:hAnsi="Arial" w:cs="Arial"/>
              </w:rPr>
            </w:pPr>
            <w:r w:rsidRPr="00251F8B">
              <w:rPr>
                <w:rFonts w:ascii="Arial" w:hAnsi="Arial" w:cs="Arial"/>
                <w:lang w:val="en-ZA" w:eastAsia="zh-TW"/>
              </w:rPr>
              <w:t>Drug Tariff 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D157A6F"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1C06CAF2"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4BA4587E"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r w:rsidR="00251F8B" w:rsidRPr="00251F8B" w14:paraId="76C8516F"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C99B5" w14:textId="77777777" w:rsidR="00251F8B" w:rsidRPr="00251F8B" w:rsidRDefault="00251F8B" w:rsidP="008B12CE">
            <w:pPr>
              <w:rPr>
                <w:rFonts w:ascii="Arial" w:hAnsi="Arial" w:cs="Arial"/>
              </w:rPr>
            </w:pPr>
            <w:r w:rsidRPr="00251F8B">
              <w:rPr>
                <w:rFonts w:ascii="Arial" w:hAnsi="Arial" w:cs="Arial"/>
                <w:lang w:val="en-ZA" w:eastAsia="zh-TW"/>
              </w:rPr>
              <w:t>Part VIIID Drug Tariff 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6C115831"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70714CC7"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459B6D99"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r w:rsidR="00251F8B" w:rsidRPr="00251F8B" w14:paraId="56122DDE"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8FAC5" w14:textId="77777777" w:rsidR="00251F8B" w:rsidRPr="00251F8B" w:rsidRDefault="00251F8B" w:rsidP="008B12CE">
            <w:pPr>
              <w:rPr>
                <w:rFonts w:ascii="Arial" w:hAnsi="Arial" w:cs="Arial"/>
              </w:rPr>
            </w:pPr>
            <w:r w:rsidRPr="00251F8B">
              <w:rPr>
                <w:rFonts w:ascii="Arial" w:hAnsi="Arial" w:cs="Arial"/>
                <w:lang w:val="en-ZA" w:eastAsia="zh-TW"/>
              </w:rPr>
              <w:t>Other Special</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6DE943AF"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28D694F9"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4B1DECCC"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bl>
    <w:p w14:paraId="12767CBC" w14:textId="77777777" w:rsidR="00251F8B" w:rsidRDefault="00251F8B" w:rsidP="00251F8B">
      <w:pPr>
        <w:ind w:left="360"/>
        <w:rPr>
          <w:rFonts w:ascii="Arial" w:hAnsi="Arial" w:cs="Arial"/>
          <w:b/>
          <w:bCs/>
        </w:rPr>
      </w:pPr>
      <w:r w:rsidRPr="00251F8B">
        <w:rPr>
          <w:rFonts w:ascii="Arial" w:hAnsi="Arial" w:cs="Arial"/>
          <w:b/>
          <w:bCs/>
        </w:rPr>
        <w:t> </w:t>
      </w:r>
    </w:p>
    <w:p w14:paraId="3D15BDD4" w14:textId="77777777" w:rsidR="00251F8B" w:rsidRPr="00251F8B" w:rsidRDefault="00251F8B" w:rsidP="00251F8B">
      <w:pPr>
        <w:ind w:left="360"/>
        <w:rPr>
          <w:rFonts w:ascii="Arial" w:hAnsi="Arial" w:cs="Arial"/>
          <w:b/>
          <w:bCs/>
        </w:rPr>
      </w:pPr>
    </w:p>
    <w:p w14:paraId="7AE844E9" w14:textId="77777777" w:rsidR="00251F8B" w:rsidRPr="00251F8B" w:rsidRDefault="00251F8B" w:rsidP="00251F8B">
      <w:pPr>
        <w:ind w:left="360"/>
        <w:rPr>
          <w:rFonts w:ascii="Arial" w:hAnsi="Arial" w:cs="Arial"/>
          <w:b/>
          <w:bCs/>
        </w:rPr>
      </w:pPr>
    </w:p>
    <w:p w14:paraId="09939B5E" w14:textId="3BA8940F" w:rsidR="00251F8B" w:rsidRPr="00251F8B" w:rsidRDefault="00251F8B" w:rsidP="00251F8B">
      <w:pPr>
        <w:ind w:left="360"/>
        <w:rPr>
          <w:rFonts w:ascii="Arial" w:hAnsi="Arial" w:cs="Arial"/>
          <w:b/>
          <w:bCs/>
        </w:rPr>
      </w:pPr>
      <w:r w:rsidRPr="00251F8B">
        <w:rPr>
          <w:rFonts w:ascii="Arial" w:hAnsi="Arial" w:cs="Arial"/>
          <w:b/>
          <w:bCs/>
          <w:u w:val="single"/>
        </w:rPr>
        <w:lastRenderedPageBreak/>
        <w:t>Total volume</w:t>
      </w:r>
      <w:r w:rsidRPr="00251F8B">
        <w:rPr>
          <w:rFonts w:ascii="Arial" w:hAnsi="Arial" w:cs="Arial"/>
          <w:b/>
          <w:bCs/>
        </w:rPr>
        <w:t>:</w:t>
      </w:r>
    </w:p>
    <w:tbl>
      <w:tblPr>
        <w:tblW w:w="0" w:type="auto"/>
        <w:tblInd w:w="360" w:type="dxa"/>
        <w:tblCellMar>
          <w:left w:w="0" w:type="dxa"/>
          <w:right w:w="0" w:type="dxa"/>
        </w:tblCellMar>
        <w:tblLook w:val="04A0" w:firstRow="1" w:lastRow="0" w:firstColumn="1" w:lastColumn="0" w:noHBand="0" w:noVBand="1"/>
      </w:tblPr>
      <w:tblGrid>
        <w:gridCol w:w="2122"/>
        <w:gridCol w:w="2164"/>
        <w:gridCol w:w="2175"/>
        <w:gridCol w:w="2185"/>
      </w:tblGrid>
      <w:tr w:rsidR="00251F8B" w:rsidRPr="00251F8B" w14:paraId="34B4AB41" w14:textId="77777777" w:rsidTr="008B12CE">
        <w:tc>
          <w:tcPr>
            <w:tcW w:w="23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C273B" w14:textId="77777777" w:rsidR="00251F8B" w:rsidRPr="00251F8B" w:rsidRDefault="00251F8B" w:rsidP="008B12CE">
            <w:pPr>
              <w:rPr>
                <w:rFonts w:ascii="Arial" w:hAnsi="Arial" w:cs="Arial"/>
              </w:rPr>
            </w:pPr>
            <w:r w:rsidRPr="00251F8B">
              <w:rPr>
                <w:rFonts w:ascii="Arial" w:hAnsi="Arial" w:cs="Arial"/>
                <w:b/>
                <w:bCs/>
                <w:lang w:val="en-ZA" w:eastAsia="zh-TW"/>
              </w:rPr>
              <w:t>Type</w:t>
            </w:r>
          </w:p>
        </w:tc>
        <w:tc>
          <w:tcPr>
            <w:tcW w:w="7037" w:type="dxa"/>
            <w:gridSpan w:val="3"/>
            <w:tcBorders>
              <w:top w:val="single" w:sz="8" w:space="0" w:color="auto"/>
              <w:left w:val="nil"/>
              <w:bottom w:val="single" w:sz="8" w:space="0" w:color="auto"/>
              <w:right w:val="single" w:sz="8" w:space="0" w:color="auto"/>
            </w:tcBorders>
            <w:shd w:val="clear" w:color="auto" w:fill="F0F7F0"/>
            <w:tcMar>
              <w:top w:w="0" w:type="dxa"/>
              <w:left w:w="108" w:type="dxa"/>
              <w:bottom w:w="0" w:type="dxa"/>
              <w:right w:w="108" w:type="dxa"/>
            </w:tcMar>
            <w:hideMark/>
          </w:tcPr>
          <w:p w14:paraId="133A0A95"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Total volume of liquid unlicensed products procured</w:t>
            </w:r>
          </w:p>
        </w:tc>
      </w:tr>
      <w:tr w:rsidR="00251F8B" w:rsidRPr="00251F8B" w14:paraId="56A2F675" w14:textId="77777777" w:rsidTr="008B12CE">
        <w:tc>
          <w:tcPr>
            <w:tcW w:w="0" w:type="auto"/>
            <w:vMerge/>
            <w:tcBorders>
              <w:top w:val="single" w:sz="8" w:space="0" w:color="auto"/>
              <w:left w:val="single" w:sz="8" w:space="0" w:color="auto"/>
              <w:bottom w:val="single" w:sz="8" w:space="0" w:color="auto"/>
              <w:right w:val="single" w:sz="8" w:space="0" w:color="auto"/>
            </w:tcBorders>
            <w:vAlign w:val="center"/>
            <w:hideMark/>
          </w:tcPr>
          <w:p w14:paraId="121AAE23" w14:textId="77777777" w:rsidR="00251F8B" w:rsidRPr="00251F8B" w:rsidRDefault="00251F8B" w:rsidP="008B12CE">
            <w:pPr>
              <w:rPr>
                <w:rFonts w:ascii="Arial" w:hAnsi="Arial" w:cs="Arial"/>
              </w:rPr>
            </w:pPr>
          </w:p>
        </w:tc>
        <w:tc>
          <w:tcPr>
            <w:tcW w:w="2345"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2497402B"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Apr-20 to</w:t>
            </w:r>
          </w:p>
          <w:p w14:paraId="59858816"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Mar-21</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hideMark/>
          </w:tcPr>
          <w:p w14:paraId="72C2A55B"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Apr-21 to</w:t>
            </w:r>
          </w:p>
          <w:p w14:paraId="304E8D72"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Mar-22</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50950BC8"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Apr-20 to</w:t>
            </w:r>
          </w:p>
          <w:p w14:paraId="00F1C86F"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Mar-21</w:t>
            </w:r>
          </w:p>
        </w:tc>
      </w:tr>
      <w:tr w:rsidR="00251F8B" w:rsidRPr="00251F8B" w14:paraId="146FC9FC"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5BFD2" w14:textId="77777777" w:rsidR="00251F8B" w:rsidRPr="00251F8B" w:rsidRDefault="00251F8B" w:rsidP="008B12CE">
            <w:pPr>
              <w:rPr>
                <w:rFonts w:ascii="Arial" w:hAnsi="Arial" w:cs="Arial"/>
              </w:rPr>
            </w:pPr>
            <w:r w:rsidRPr="00251F8B">
              <w:rPr>
                <w:rFonts w:ascii="Arial" w:hAnsi="Arial" w:cs="Arial"/>
                <w:lang w:val="en-ZA" w:eastAsia="zh-TW"/>
              </w:rPr>
              <w:t>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72CAE02" w14:textId="77777777" w:rsidR="00251F8B" w:rsidRPr="00251F8B" w:rsidRDefault="00251F8B" w:rsidP="008B12CE">
            <w:pPr>
              <w:rPr>
                <w:rFonts w:ascii="Arial" w:hAnsi="Arial" w:cs="Arial"/>
              </w:rPr>
            </w:pPr>
            <w:r w:rsidRPr="00251F8B">
              <w:rPr>
                <w:rFonts w:ascii="Arial" w:hAnsi="Arial" w:cs="Arial"/>
                <w:b/>
                <w:bCs/>
                <w:lang w:val="en-ZA" w:eastAsia="zh-TW"/>
              </w:rPr>
              <w:t> 9,398mls</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681C70F2" w14:textId="77777777" w:rsidR="00251F8B" w:rsidRPr="00251F8B" w:rsidRDefault="00251F8B" w:rsidP="008B12CE">
            <w:pPr>
              <w:rPr>
                <w:rFonts w:ascii="Arial" w:hAnsi="Arial" w:cs="Arial"/>
              </w:rPr>
            </w:pPr>
            <w:r w:rsidRPr="00251F8B">
              <w:rPr>
                <w:rFonts w:ascii="Arial" w:hAnsi="Arial" w:cs="Arial"/>
                <w:b/>
                <w:bCs/>
                <w:lang w:val="en-ZA" w:eastAsia="zh-TW"/>
              </w:rPr>
              <w:t>14,162mls</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2625D52C" w14:textId="77777777" w:rsidR="00251F8B" w:rsidRPr="00251F8B" w:rsidRDefault="00251F8B" w:rsidP="008B12CE">
            <w:pPr>
              <w:rPr>
                <w:rFonts w:ascii="Arial" w:hAnsi="Arial" w:cs="Arial"/>
              </w:rPr>
            </w:pPr>
            <w:r w:rsidRPr="00251F8B">
              <w:rPr>
                <w:rFonts w:ascii="Arial" w:hAnsi="Arial" w:cs="Arial"/>
                <w:b/>
                <w:bCs/>
                <w:lang w:val="en-ZA" w:eastAsia="zh-TW"/>
              </w:rPr>
              <w:t> 24,960mls</w:t>
            </w:r>
          </w:p>
        </w:tc>
      </w:tr>
      <w:tr w:rsidR="00251F8B" w:rsidRPr="00251F8B" w14:paraId="66FC3F62"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48996" w14:textId="77777777" w:rsidR="00251F8B" w:rsidRPr="00251F8B" w:rsidRDefault="00251F8B" w:rsidP="008B12CE">
            <w:pPr>
              <w:rPr>
                <w:rFonts w:ascii="Arial" w:hAnsi="Arial" w:cs="Arial"/>
              </w:rPr>
            </w:pPr>
            <w:r w:rsidRPr="00251F8B">
              <w:rPr>
                <w:rFonts w:ascii="Arial" w:hAnsi="Arial" w:cs="Arial"/>
                <w:lang w:val="en-ZA" w:eastAsia="zh-TW"/>
              </w:rPr>
              <w:t>Drug Tariff 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063F0C73"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3BCD39CC"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4B2F0C6B"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r w:rsidR="00251F8B" w:rsidRPr="00251F8B" w14:paraId="30C8D970" w14:textId="77777777" w:rsidTr="008B12CE">
        <w:trPr>
          <w:trHeight w:val="50"/>
        </w:trPr>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87C9F" w14:textId="77777777" w:rsidR="00251F8B" w:rsidRPr="00251F8B" w:rsidRDefault="00251F8B" w:rsidP="008B12CE">
            <w:pPr>
              <w:rPr>
                <w:rFonts w:ascii="Arial" w:hAnsi="Arial" w:cs="Arial"/>
              </w:rPr>
            </w:pPr>
            <w:r w:rsidRPr="00251F8B">
              <w:rPr>
                <w:rFonts w:ascii="Arial" w:hAnsi="Arial" w:cs="Arial"/>
                <w:lang w:val="en-ZA" w:eastAsia="zh-TW"/>
              </w:rPr>
              <w:t>Part VIIID Drug Tariff Special Order</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2471E0CA"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3FC97721"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2EEC0D59"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r w:rsidR="00251F8B" w:rsidRPr="00251F8B" w14:paraId="569D4063"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A69D1" w14:textId="77777777" w:rsidR="00251F8B" w:rsidRPr="00251F8B" w:rsidRDefault="00251F8B" w:rsidP="008B12CE">
            <w:pPr>
              <w:rPr>
                <w:rFonts w:ascii="Arial" w:hAnsi="Arial" w:cs="Arial"/>
              </w:rPr>
            </w:pPr>
            <w:r w:rsidRPr="00251F8B">
              <w:rPr>
                <w:rFonts w:ascii="Arial" w:hAnsi="Arial" w:cs="Arial"/>
                <w:lang w:val="en-ZA" w:eastAsia="zh-TW"/>
              </w:rPr>
              <w:t>Other Special</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5CA3F61"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4AEE5EE1"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14:paraId="35BAB422" w14:textId="77777777" w:rsidR="00251F8B" w:rsidRPr="00251F8B" w:rsidRDefault="00251F8B" w:rsidP="008B12CE">
            <w:pPr>
              <w:rPr>
                <w:rFonts w:ascii="Arial" w:hAnsi="Arial" w:cs="Arial"/>
              </w:rPr>
            </w:pPr>
            <w:proofErr w:type="spellStart"/>
            <w:r w:rsidRPr="00251F8B">
              <w:rPr>
                <w:rFonts w:ascii="Arial" w:hAnsi="Arial" w:cs="Arial"/>
                <w:b/>
                <w:bCs/>
                <w:lang w:val="en-ZA" w:eastAsia="zh-TW"/>
              </w:rPr>
              <w:t>ePact</w:t>
            </w:r>
            <w:proofErr w:type="spellEnd"/>
            <w:r w:rsidRPr="00251F8B">
              <w:rPr>
                <w:rFonts w:ascii="Arial" w:hAnsi="Arial" w:cs="Arial"/>
                <w:b/>
                <w:bCs/>
                <w:lang w:val="en-ZA" w:eastAsia="zh-TW"/>
              </w:rPr>
              <w:t xml:space="preserve"> Data</w:t>
            </w:r>
          </w:p>
        </w:tc>
      </w:tr>
    </w:tbl>
    <w:p w14:paraId="69BBED1B" w14:textId="77777777" w:rsidR="00251F8B" w:rsidRPr="00251F8B" w:rsidRDefault="00251F8B" w:rsidP="00251F8B">
      <w:pPr>
        <w:pStyle w:val="Bullet1"/>
        <w:numPr>
          <w:ilvl w:val="0"/>
          <w:numId w:val="0"/>
        </w:numPr>
        <w:rPr>
          <w:rFonts w:ascii="Arial" w:hAnsi="Arial" w:cs="Arial"/>
          <w:b/>
          <w:bCs/>
        </w:rPr>
      </w:pPr>
      <w:r w:rsidRPr="00251F8B">
        <w:rPr>
          <w:rFonts w:ascii="Arial" w:hAnsi="Arial" w:cs="Arial"/>
          <w:b/>
          <w:bCs/>
        </w:rPr>
        <w:t> </w:t>
      </w:r>
    </w:p>
    <w:p w14:paraId="69840829" w14:textId="77777777" w:rsidR="00251F8B" w:rsidRPr="00251F8B" w:rsidRDefault="00251F8B" w:rsidP="00251F8B">
      <w:pPr>
        <w:pStyle w:val="Bullet1"/>
        <w:numPr>
          <w:ilvl w:val="0"/>
          <w:numId w:val="0"/>
        </w:numPr>
        <w:rPr>
          <w:rFonts w:ascii="Arial" w:hAnsi="Arial" w:cs="Arial"/>
          <w:b/>
          <w:bCs/>
        </w:rPr>
      </w:pPr>
      <w:r w:rsidRPr="00251F8B">
        <w:rPr>
          <w:rFonts w:ascii="Arial" w:hAnsi="Arial" w:cs="Arial"/>
          <w:b/>
          <w:bCs/>
        </w:rPr>
        <w:t>2. Yes</w:t>
      </w:r>
    </w:p>
    <w:p w14:paraId="093A078E" w14:textId="77777777" w:rsidR="00251F8B" w:rsidRPr="00251F8B" w:rsidRDefault="00251F8B" w:rsidP="00251F8B">
      <w:pPr>
        <w:pStyle w:val="Bullet1"/>
        <w:numPr>
          <w:ilvl w:val="0"/>
          <w:numId w:val="0"/>
        </w:numPr>
        <w:rPr>
          <w:rFonts w:ascii="Arial" w:hAnsi="Arial" w:cs="Arial"/>
          <w:b/>
          <w:bCs/>
        </w:rPr>
      </w:pPr>
      <w:r w:rsidRPr="00251F8B">
        <w:rPr>
          <w:rFonts w:ascii="Arial" w:hAnsi="Arial" w:cs="Arial"/>
          <w:b/>
          <w:bCs/>
        </w:rPr>
        <w:t>3. Not Applicable</w:t>
      </w:r>
    </w:p>
    <w:p w14:paraId="12409354" w14:textId="77777777" w:rsidR="00251F8B" w:rsidRPr="00251F8B" w:rsidRDefault="00251F8B" w:rsidP="00251F8B">
      <w:pPr>
        <w:pStyle w:val="Bullet1"/>
        <w:numPr>
          <w:ilvl w:val="0"/>
          <w:numId w:val="0"/>
        </w:numPr>
        <w:rPr>
          <w:rFonts w:ascii="Arial" w:hAnsi="Arial" w:cs="Arial"/>
          <w:b/>
          <w:bCs/>
        </w:rPr>
      </w:pPr>
      <w:r w:rsidRPr="00251F8B">
        <w:rPr>
          <w:rFonts w:ascii="Arial" w:hAnsi="Arial" w:cs="Arial"/>
          <w:b/>
          <w:bCs/>
        </w:rPr>
        <w:t xml:space="preserve">4.  </w:t>
      </w:r>
    </w:p>
    <w:tbl>
      <w:tblPr>
        <w:tblW w:w="0" w:type="auto"/>
        <w:tblInd w:w="360" w:type="dxa"/>
        <w:tblCellMar>
          <w:left w:w="0" w:type="dxa"/>
          <w:right w:w="0" w:type="dxa"/>
        </w:tblCellMar>
        <w:tblLook w:val="04A0" w:firstRow="1" w:lastRow="0" w:firstColumn="1" w:lastColumn="0" w:noHBand="0" w:noVBand="1"/>
      </w:tblPr>
      <w:tblGrid>
        <w:gridCol w:w="2226"/>
        <w:gridCol w:w="2143"/>
        <w:gridCol w:w="2134"/>
        <w:gridCol w:w="2143"/>
      </w:tblGrid>
      <w:tr w:rsidR="00251F8B" w:rsidRPr="00251F8B" w14:paraId="211FCDCE" w14:textId="77777777" w:rsidTr="008B12CE">
        <w:tc>
          <w:tcPr>
            <w:tcW w:w="23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0AE98" w14:textId="77777777" w:rsidR="00251F8B" w:rsidRPr="00251F8B" w:rsidRDefault="00251F8B" w:rsidP="008B12CE">
            <w:pPr>
              <w:rPr>
                <w:rFonts w:ascii="Arial" w:hAnsi="Arial" w:cs="Arial"/>
              </w:rPr>
            </w:pPr>
            <w:r w:rsidRPr="00251F8B">
              <w:rPr>
                <w:rFonts w:ascii="Arial" w:hAnsi="Arial" w:cs="Arial"/>
                <w:b/>
                <w:bCs/>
                <w:lang w:val="en-ZA" w:eastAsia="zh-TW"/>
              </w:rPr>
              <w:t>Outsourcing provider</w:t>
            </w:r>
            <w:r w:rsidRPr="00251F8B">
              <w:rPr>
                <w:rFonts w:ascii="Arial" w:hAnsi="Arial" w:cs="Arial"/>
                <w:b/>
                <w:bCs/>
                <w:lang w:val="en-ZA" w:eastAsia="zh-TW"/>
              </w:rPr>
              <w:br/>
            </w:r>
            <w:r w:rsidRPr="00251F8B">
              <w:rPr>
                <w:rFonts w:ascii="Arial" w:hAnsi="Arial" w:cs="Arial"/>
                <w:i/>
                <w:iCs/>
                <w:lang w:val="en-ZA" w:eastAsia="zh-TW"/>
              </w:rPr>
              <w:t>(fill in empty rows with provider name, add rows if required)</w:t>
            </w:r>
          </w:p>
        </w:tc>
        <w:tc>
          <w:tcPr>
            <w:tcW w:w="7037" w:type="dxa"/>
            <w:gridSpan w:val="3"/>
            <w:tcBorders>
              <w:top w:val="single" w:sz="8" w:space="0" w:color="auto"/>
              <w:left w:val="nil"/>
              <w:bottom w:val="single" w:sz="8" w:space="0" w:color="auto"/>
              <w:right w:val="single" w:sz="8" w:space="0" w:color="auto"/>
            </w:tcBorders>
            <w:shd w:val="clear" w:color="auto" w:fill="F0F7F0"/>
            <w:tcMar>
              <w:top w:w="0" w:type="dxa"/>
              <w:left w:w="108" w:type="dxa"/>
              <w:bottom w:w="0" w:type="dxa"/>
              <w:right w:w="108" w:type="dxa"/>
            </w:tcMar>
            <w:vAlign w:val="center"/>
            <w:hideMark/>
          </w:tcPr>
          <w:p w14:paraId="6216D615"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Total value of liquid specials procured from each provider</w:t>
            </w:r>
          </w:p>
        </w:tc>
      </w:tr>
      <w:tr w:rsidR="00251F8B" w:rsidRPr="00251F8B" w14:paraId="30B1DCD2" w14:textId="77777777" w:rsidTr="008B12CE">
        <w:tc>
          <w:tcPr>
            <w:tcW w:w="0" w:type="auto"/>
            <w:vMerge/>
            <w:tcBorders>
              <w:top w:val="single" w:sz="8" w:space="0" w:color="auto"/>
              <w:left w:val="single" w:sz="8" w:space="0" w:color="auto"/>
              <w:bottom w:val="single" w:sz="8" w:space="0" w:color="auto"/>
              <w:right w:val="single" w:sz="8" w:space="0" w:color="auto"/>
            </w:tcBorders>
            <w:vAlign w:val="center"/>
            <w:hideMark/>
          </w:tcPr>
          <w:p w14:paraId="5C271A12" w14:textId="77777777" w:rsidR="00251F8B" w:rsidRPr="00251F8B" w:rsidRDefault="00251F8B" w:rsidP="008B12CE">
            <w:pPr>
              <w:rPr>
                <w:rFonts w:ascii="Arial" w:hAnsi="Arial" w:cs="Arial"/>
              </w:rPr>
            </w:pPr>
          </w:p>
        </w:tc>
        <w:tc>
          <w:tcPr>
            <w:tcW w:w="2345"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63201441"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Apr-20 to</w:t>
            </w:r>
          </w:p>
          <w:p w14:paraId="60B5FB25"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Mar-21</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4070AC1C"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Apr-21 to</w:t>
            </w:r>
          </w:p>
          <w:p w14:paraId="3D8776B4"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Mar-22</w:t>
            </w:r>
          </w:p>
        </w:tc>
        <w:tc>
          <w:tcPr>
            <w:tcW w:w="2346" w:type="dxa"/>
            <w:tcBorders>
              <w:top w:val="nil"/>
              <w:left w:val="nil"/>
              <w:bottom w:val="single" w:sz="8" w:space="0" w:color="auto"/>
              <w:right w:val="single" w:sz="8" w:space="0" w:color="auto"/>
            </w:tcBorders>
            <w:shd w:val="clear" w:color="auto" w:fill="D3EEF8"/>
            <w:tcMar>
              <w:top w:w="0" w:type="dxa"/>
              <w:left w:w="108" w:type="dxa"/>
              <w:bottom w:w="0" w:type="dxa"/>
              <w:right w:w="108" w:type="dxa"/>
            </w:tcMar>
            <w:vAlign w:val="center"/>
            <w:hideMark/>
          </w:tcPr>
          <w:p w14:paraId="10E1AAA4" w14:textId="77777777" w:rsidR="00251F8B" w:rsidRPr="00251F8B" w:rsidRDefault="00251F8B" w:rsidP="008B12CE">
            <w:pPr>
              <w:pStyle w:val="ListParagraph"/>
              <w:spacing w:after="0" w:line="240" w:lineRule="auto"/>
              <w:ind w:left="0"/>
              <w:jc w:val="center"/>
              <w:rPr>
                <w:rFonts w:ascii="Arial" w:hAnsi="Arial" w:cs="Arial"/>
              </w:rPr>
            </w:pPr>
            <w:r w:rsidRPr="00251F8B">
              <w:rPr>
                <w:rFonts w:ascii="Arial" w:hAnsi="Arial" w:cs="Arial"/>
                <w:b/>
                <w:bCs/>
                <w:color w:val="000000"/>
                <w:lang w:val="en-ZA" w:eastAsia="zh-TW"/>
              </w:rPr>
              <w:t>Apr-20 to</w:t>
            </w:r>
          </w:p>
          <w:p w14:paraId="3C5C017D" w14:textId="77777777" w:rsidR="00251F8B" w:rsidRPr="00251F8B" w:rsidRDefault="00251F8B" w:rsidP="008B12CE">
            <w:pPr>
              <w:jc w:val="center"/>
              <w:rPr>
                <w:rFonts w:ascii="Arial" w:hAnsi="Arial" w:cs="Arial"/>
              </w:rPr>
            </w:pPr>
            <w:r w:rsidRPr="00251F8B">
              <w:rPr>
                <w:rFonts w:ascii="Arial" w:hAnsi="Arial" w:cs="Arial"/>
                <w:b/>
                <w:bCs/>
                <w:color w:val="000000"/>
                <w:lang w:val="en-ZA" w:eastAsia="zh-TW"/>
              </w:rPr>
              <w:t>Mar-21</w:t>
            </w:r>
          </w:p>
        </w:tc>
      </w:tr>
      <w:tr w:rsidR="00251F8B" w:rsidRPr="00251F8B" w14:paraId="25417B04"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137E9" w14:textId="77777777" w:rsidR="00251F8B" w:rsidRPr="00251F8B" w:rsidRDefault="00251F8B" w:rsidP="008B12CE">
            <w:pPr>
              <w:rPr>
                <w:rFonts w:ascii="Arial" w:hAnsi="Arial" w:cs="Arial"/>
              </w:rPr>
            </w:pPr>
            <w:r w:rsidRPr="00251F8B">
              <w:rPr>
                <w:rFonts w:ascii="Arial" w:hAnsi="Arial" w:cs="Arial"/>
                <w:b/>
                <w:bCs/>
                <w:lang w:val="en-ZA" w:eastAsia="zh-TW"/>
              </w:rPr>
              <w:t> </w:t>
            </w:r>
            <w:proofErr w:type="spellStart"/>
            <w:r w:rsidRPr="00251F8B">
              <w:rPr>
                <w:rFonts w:ascii="Arial" w:hAnsi="Arial" w:cs="Arial"/>
                <w:b/>
                <w:bCs/>
                <w:lang w:val="en-ZA" w:eastAsia="zh-TW"/>
              </w:rPr>
              <w:t>Alium</w:t>
            </w:r>
            <w:proofErr w:type="spellEnd"/>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AB465" w14:textId="77777777" w:rsidR="00251F8B" w:rsidRPr="00251F8B" w:rsidRDefault="00251F8B" w:rsidP="008B12CE">
            <w:pPr>
              <w:rPr>
                <w:rFonts w:ascii="Arial" w:hAnsi="Arial" w:cs="Arial"/>
              </w:rPr>
            </w:pPr>
            <w:r w:rsidRPr="00251F8B">
              <w:rPr>
                <w:rFonts w:ascii="Arial" w:hAnsi="Arial" w:cs="Arial"/>
                <w:b/>
                <w:bCs/>
                <w:lang w:val="en-ZA" w:eastAsia="zh-TW"/>
              </w:rPr>
              <w:t> £51</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75CDC" w14:textId="77777777" w:rsidR="00251F8B" w:rsidRPr="00251F8B" w:rsidRDefault="00251F8B" w:rsidP="008B12CE">
            <w:pPr>
              <w:rPr>
                <w:rFonts w:ascii="Arial" w:hAnsi="Arial" w:cs="Arial"/>
              </w:rPr>
            </w:pPr>
            <w:r w:rsidRPr="00251F8B">
              <w:rPr>
                <w:rFonts w:ascii="Arial" w:hAnsi="Arial" w:cs="Arial"/>
                <w:b/>
                <w:bCs/>
                <w:lang w:val="en-ZA" w:eastAsia="zh-TW"/>
              </w:rPr>
              <w:t> -</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23969" w14:textId="77777777" w:rsidR="00251F8B" w:rsidRPr="00251F8B" w:rsidRDefault="00251F8B" w:rsidP="008B12CE">
            <w:pPr>
              <w:rPr>
                <w:rFonts w:ascii="Arial" w:hAnsi="Arial" w:cs="Arial"/>
              </w:rPr>
            </w:pPr>
            <w:r w:rsidRPr="00251F8B">
              <w:rPr>
                <w:rFonts w:ascii="Arial" w:hAnsi="Arial" w:cs="Arial"/>
                <w:b/>
                <w:bCs/>
                <w:lang w:val="en-ZA" w:eastAsia="zh-TW"/>
              </w:rPr>
              <w:t> -</w:t>
            </w:r>
          </w:p>
        </w:tc>
      </w:tr>
      <w:tr w:rsidR="00251F8B" w:rsidRPr="00251F8B" w14:paraId="0934F755"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90452" w14:textId="77777777" w:rsidR="00251F8B" w:rsidRPr="00251F8B" w:rsidRDefault="00251F8B" w:rsidP="008B12CE">
            <w:pPr>
              <w:rPr>
                <w:rFonts w:ascii="Arial" w:hAnsi="Arial" w:cs="Arial"/>
              </w:rPr>
            </w:pPr>
            <w:r w:rsidRPr="00251F8B">
              <w:rPr>
                <w:rFonts w:ascii="Arial" w:hAnsi="Arial" w:cs="Arial"/>
                <w:b/>
                <w:bCs/>
                <w:lang w:val="en-ZA" w:eastAsia="zh-TW"/>
              </w:rPr>
              <w:t> Alliance Healthcare</w:t>
            </w:r>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79CA6" w14:textId="77777777" w:rsidR="00251F8B" w:rsidRPr="00251F8B" w:rsidRDefault="00251F8B" w:rsidP="008B12CE">
            <w:pPr>
              <w:rPr>
                <w:rFonts w:ascii="Arial" w:hAnsi="Arial" w:cs="Arial"/>
              </w:rPr>
            </w:pPr>
            <w:r w:rsidRPr="00251F8B">
              <w:rPr>
                <w:rFonts w:ascii="Arial" w:hAnsi="Arial" w:cs="Arial"/>
                <w:b/>
                <w:bCs/>
                <w:lang w:val="en-ZA" w:eastAsia="zh-TW"/>
              </w:rPr>
              <w:t> £1,234</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1647E" w14:textId="77777777" w:rsidR="00251F8B" w:rsidRPr="00251F8B" w:rsidRDefault="00251F8B" w:rsidP="008B12CE">
            <w:pPr>
              <w:rPr>
                <w:rFonts w:ascii="Arial" w:hAnsi="Arial" w:cs="Arial"/>
              </w:rPr>
            </w:pPr>
            <w:r w:rsidRPr="00251F8B">
              <w:rPr>
                <w:rFonts w:ascii="Arial" w:hAnsi="Arial" w:cs="Arial"/>
                <w:b/>
                <w:bCs/>
                <w:lang w:val="en-ZA" w:eastAsia="zh-TW"/>
              </w:rPr>
              <w:t>£4,813</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2DF5" w14:textId="77777777" w:rsidR="00251F8B" w:rsidRPr="00251F8B" w:rsidRDefault="00251F8B" w:rsidP="008B12CE">
            <w:pPr>
              <w:rPr>
                <w:rFonts w:ascii="Arial" w:hAnsi="Arial" w:cs="Arial"/>
              </w:rPr>
            </w:pPr>
            <w:r w:rsidRPr="00251F8B">
              <w:rPr>
                <w:rFonts w:ascii="Arial" w:hAnsi="Arial" w:cs="Arial"/>
                <w:b/>
                <w:bCs/>
                <w:lang w:val="en-ZA" w:eastAsia="zh-TW"/>
              </w:rPr>
              <w:t> £2,410</w:t>
            </w:r>
          </w:p>
        </w:tc>
      </w:tr>
      <w:tr w:rsidR="00251F8B" w:rsidRPr="00251F8B" w14:paraId="6FCA1D21"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13DDC" w14:textId="77777777" w:rsidR="00251F8B" w:rsidRPr="00251F8B" w:rsidRDefault="00251F8B" w:rsidP="008B12CE">
            <w:pPr>
              <w:rPr>
                <w:rFonts w:ascii="Arial" w:hAnsi="Arial" w:cs="Arial"/>
              </w:rPr>
            </w:pPr>
            <w:r w:rsidRPr="00251F8B">
              <w:rPr>
                <w:rFonts w:ascii="Arial" w:hAnsi="Arial" w:cs="Arial"/>
                <w:b/>
                <w:bCs/>
                <w:lang w:val="en-ZA" w:eastAsia="zh-TW"/>
              </w:rPr>
              <w:t> Oxford Healthcare</w:t>
            </w:r>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F13C9" w14:textId="77777777" w:rsidR="00251F8B" w:rsidRPr="00251F8B" w:rsidRDefault="00251F8B" w:rsidP="008B12CE">
            <w:pPr>
              <w:rPr>
                <w:rFonts w:ascii="Arial" w:hAnsi="Arial" w:cs="Arial"/>
              </w:rPr>
            </w:pPr>
            <w:r w:rsidRPr="00251F8B">
              <w:rPr>
                <w:rFonts w:ascii="Arial" w:hAnsi="Arial" w:cs="Arial"/>
                <w:b/>
                <w:bCs/>
                <w:lang w:val="en-ZA" w:eastAsia="zh-TW"/>
              </w:rPr>
              <w:t> £190</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6F152" w14:textId="77777777" w:rsidR="00251F8B" w:rsidRPr="00251F8B" w:rsidRDefault="00251F8B" w:rsidP="008B12CE">
            <w:pPr>
              <w:rPr>
                <w:rFonts w:ascii="Arial" w:hAnsi="Arial" w:cs="Arial"/>
              </w:rPr>
            </w:pPr>
            <w:r w:rsidRPr="00251F8B">
              <w:rPr>
                <w:rFonts w:ascii="Arial" w:hAnsi="Arial" w:cs="Arial"/>
                <w:b/>
                <w:bCs/>
                <w:lang w:val="en-ZA" w:eastAsia="zh-TW"/>
              </w:rPr>
              <w:t>£87</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48E75" w14:textId="77777777" w:rsidR="00251F8B" w:rsidRPr="00251F8B" w:rsidRDefault="00251F8B" w:rsidP="008B12CE">
            <w:pPr>
              <w:rPr>
                <w:rFonts w:ascii="Arial" w:hAnsi="Arial" w:cs="Arial"/>
              </w:rPr>
            </w:pPr>
            <w:r w:rsidRPr="00251F8B">
              <w:rPr>
                <w:rFonts w:ascii="Arial" w:hAnsi="Arial" w:cs="Arial"/>
                <w:b/>
                <w:bCs/>
                <w:lang w:val="en-ZA" w:eastAsia="zh-TW"/>
              </w:rPr>
              <w:t> -</w:t>
            </w:r>
          </w:p>
        </w:tc>
      </w:tr>
      <w:tr w:rsidR="00251F8B" w:rsidRPr="00251F8B" w14:paraId="3E37D07A"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C7A4B" w14:textId="77777777" w:rsidR="00251F8B" w:rsidRPr="00251F8B" w:rsidRDefault="00251F8B" w:rsidP="008B12CE">
            <w:pPr>
              <w:rPr>
                <w:rFonts w:ascii="Arial" w:hAnsi="Arial" w:cs="Arial"/>
              </w:rPr>
            </w:pPr>
            <w:r w:rsidRPr="00251F8B">
              <w:rPr>
                <w:rFonts w:ascii="Arial" w:hAnsi="Arial" w:cs="Arial"/>
                <w:b/>
                <w:bCs/>
                <w:lang w:val="en-ZA" w:eastAsia="zh-TW"/>
              </w:rPr>
              <w:t> Rosemont</w:t>
            </w:r>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C5A1A" w14:textId="77777777" w:rsidR="00251F8B" w:rsidRPr="00251F8B" w:rsidRDefault="00251F8B" w:rsidP="008B12CE">
            <w:pPr>
              <w:rPr>
                <w:rFonts w:ascii="Arial" w:hAnsi="Arial" w:cs="Arial"/>
              </w:rPr>
            </w:pPr>
            <w:r w:rsidRPr="00251F8B">
              <w:rPr>
                <w:rFonts w:ascii="Arial" w:hAnsi="Arial" w:cs="Arial"/>
                <w:b/>
                <w:bCs/>
                <w:lang w:val="en-ZA" w:eastAsia="zh-TW"/>
              </w:rPr>
              <w:t> £2,960</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95C87" w14:textId="77777777" w:rsidR="00251F8B" w:rsidRPr="00251F8B" w:rsidRDefault="00251F8B" w:rsidP="008B12CE">
            <w:pPr>
              <w:rPr>
                <w:rFonts w:ascii="Arial" w:hAnsi="Arial" w:cs="Arial"/>
              </w:rPr>
            </w:pPr>
            <w:r w:rsidRPr="00251F8B">
              <w:rPr>
                <w:rFonts w:ascii="Arial" w:hAnsi="Arial" w:cs="Arial"/>
                <w:b/>
                <w:bCs/>
                <w:lang w:val="en-ZA" w:eastAsia="zh-TW"/>
              </w:rPr>
              <w:t>£4,341</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F9304" w14:textId="77777777" w:rsidR="00251F8B" w:rsidRPr="00251F8B" w:rsidRDefault="00251F8B" w:rsidP="008B12CE">
            <w:pPr>
              <w:rPr>
                <w:rFonts w:ascii="Arial" w:hAnsi="Arial" w:cs="Arial"/>
              </w:rPr>
            </w:pPr>
            <w:r w:rsidRPr="00251F8B">
              <w:rPr>
                <w:rFonts w:ascii="Arial" w:hAnsi="Arial" w:cs="Arial"/>
                <w:b/>
                <w:bCs/>
                <w:lang w:val="en-ZA" w:eastAsia="zh-TW"/>
              </w:rPr>
              <w:t> £6,819</w:t>
            </w:r>
          </w:p>
        </w:tc>
      </w:tr>
      <w:tr w:rsidR="00251F8B" w:rsidRPr="00251F8B" w14:paraId="3592B7A0"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5B1DB" w14:textId="77777777" w:rsidR="00251F8B" w:rsidRPr="00251F8B" w:rsidRDefault="00251F8B" w:rsidP="008B12CE">
            <w:pPr>
              <w:rPr>
                <w:rFonts w:ascii="Arial" w:hAnsi="Arial" w:cs="Arial"/>
              </w:rPr>
            </w:pPr>
            <w:r w:rsidRPr="00251F8B">
              <w:rPr>
                <w:rFonts w:ascii="Arial" w:hAnsi="Arial" w:cs="Arial"/>
                <w:b/>
                <w:bCs/>
                <w:lang w:val="en-ZA" w:eastAsia="zh-TW"/>
              </w:rPr>
              <w:t> </w:t>
            </w:r>
            <w:proofErr w:type="spellStart"/>
            <w:r w:rsidRPr="00251F8B">
              <w:rPr>
                <w:rFonts w:ascii="Arial" w:hAnsi="Arial" w:cs="Arial"/>
                <w:b/>
                <w:bCs/>
                <w:lang w:val="en-ZA" w:eastAsia="zh-TW"/>
              </w:rPr>
              <w:t>Veriton</w:t>
            </w:r>
            <w:proofErr w:type="spellEnd"/>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52115" w14:textId="77777777" w:rsidR="00251F8B" w:rsidRPr="00251F8B" w:rsidRDefault="00251F8B" w:rsidP="008B12CE">
            <w:pPr>
              <w:rPr>
                <w:rFonts w:ascii="Arial" w:hAnsi="Arial" w:cs="Arial"/>
              </w:rPr>
            </w:pPr>
            <w:r w:rsidRPr="00251F8B">
              <w:rPr>
                <w:rFonts w:ascii="Arial" w:hAnsi="Arial" w:cs="Arial"/>
                <w:b/>
                <w:bCs/>
                <w:lang w:val="en-ZA" w:eastAsia="zh-TW"/>
              </w:rPr>
              <w:t> £111</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30CA6" w14:textId="77777777" w:rsidR="00251F8B" w:rsidRPr="00251F8B" w:rsidRDefault="00251F8B" w:rsidP="008B12CE">
            <w:pPr>
              <w:rPr>
                <w:rFonts w:ascii="Arial" w:hAnsi="Arial" w:cs="Arial"/>
              </w:rPr>
            </w:pPr>
            <w:r w:rsidRPr="00251F8B">
              <w:rPr>
                <w:rFonts w:ascii="Arial" w:hAnsi="Arial" w:cs="Arial"/>
                <w:b/>
                <w:bCs/>
                <w:lang w:val="en-ZA" w:eastAsia="zh-TW"/>
              </w:rPr>
              <w:t>£327</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3D54" w14:textId="77777777" w:rsidR="00251F8B" w:rsidRPr="00251F8B" w:rsidRDefault="00251F8B" w:rsidP="008B12CE">
            <w:pPr>
              <w:rPr>
                <w:rFonts w:ascii="Arial" w:hAnsi="Arial" w:cs="Arial"/>
              </w:rPr>
            </w:pPr>
            <w:r w:rsidRPr="00251F8B">
              <w:rPr>
                <w:rFonts w:ascii="Arial" w:hAnsi="Arial" w:cs="Arial"/>
                <w:b/>
                <w:bCs/>
                <w:lang w:val="en-ZA" w:eastAsia="zh-TW"/>
              </w:rPr>
              <w:t> -</w:t>
            </w:r>
          </w:p>
        </w:tc>
      </w:tr>
      <w:tr w:rsidR="00251F8B" w:rsidRPr="00251F8B" w14:paraId="3D8F2FD2" w14:textId="77777777" w:rsidTr="008B12CE">
        <w:tc>
          <w:tcPr>
            <w:tcW w:w="2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B558E" w14:textId="77777777" w:rsidR="00251F8B" w:rsidRPr="00251F8B" w:rsidRDefault="00251F8B" w:rsidP="008B12CE">
            <w:pPr>
              <w:rPr>
                <w:rFonts w:ascii="Arial" w:hAnsi="Arial" w:cs="Arial"/>
                <w:b/>
                <w:bCs/>
                <w:lang w:val="en-ZA" w:eastAsia="zh-TW"/>
              </w:rPr>
            </w:pPr>
            <w:proofErr w:type="spellStart"/>
            <w:r w:rsidRPr="00251F8B">
              <w:rPr>
                <w:rFonts w:ascii="Arial" w:hAnsi="Arial" w:cs="Arial"/>
                <w:b/>
                <w:bCs/>
                <w:lang w:val="en-ZA" w:eastAsia="zh-TW"/>
              </w:rPr>
              <w:t>Rockshaw</w:t>
            </w:r>
            <w:proofErr w:type="spellEnd"/>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E2005" w14:textId="77777777" w:rsidR="00251F8B" w:rsidRPr="00251F8B" w:rsidRDefault="00251F8B" w:rsidP="008B12CE">
            <w:pPr>
              <w:rPr>
                <w:rFonts w:ascii="Arial" w:hAnsi="Arial" w:cs="Arial"/>
                <w:b/>
                <w:bCs/>
                <w:lang w:val="en-ZA" w:eastAsia="zh-TW"/>
              </w:rPr>
            </w:pPr>
            <w:r w:rsidRPr="00251F8B">
              <w:rPr>
                <w:rFonts w:ascii="Arial" w:hAnsi="Arial" w:cs="Arial"/>
                <w:b/>
                <w:bCs/>
                <w:lang w:val="en-ZA" w:eastAsia="zh-TW"/>
              </w:rPr>
              <w:t>-</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F4E30" w14:textId="77777777" w:rsidR="00251F8B" w:rsidRPr="00251F8B" w:rsidRDefault="00251F8B" w:rsidP="008B12CE">
            <w:pPr>
              <w:rPr>
                <w:rFonts w:ascii="Arial" w:hAnsi="Arial" w:cs="Arial"/>
                <w:b/>
                <w:bCs/>
                <w:lang w:val="en-ZA" w:eastAsia="zh-TW"/>
              </w:rPr>
            </w:pPr>
            <w:r w:rsidRPr="00251F8B">
              <w:rPr>
                <w:rFonts w:ascii="Arial" w:hAnsi="Arial" w:cs="Arial"/>
                <w:b/>
                <w:bCs/>
                <w:lang w:val="en-ZA" w:eastAsia="zh-TW"/>
              </w:rPr>
              <w:t>£50</w:t>
            </w:r>
          </w:p>
        </w:tc>
        <w:tc>
          <w:tcPr>
            <w:tcW w:w="2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5045" w14:textId="77777777" w:rsidR="00251F8B" w:rsidRPr="00251F8B" w:rsidRDefault="00251F8B" w:rsidP="008B12CE">
            <w:pPr>
              <w:rPr>
                <w:rFonts w:ascii="Arial" w:hAnsi="Arial" w:cs="Arial"/>
                <w:b/>
                <w:bCs/>
                <w:lang w:val="en-ZA" w:eastAsia="zh-TW"/>
              </w:rPr>
            </w:pPr>
            <w:r w:rsidRPr="00251F8B">
              <w:rPr>
                <w:rFonts w:ascii="Arial" w:hAnsi="Arial" w:cs="Arial"/>
                <w:b/>
                <w:bCs/>
                <w:lang w:val="en-ZA" w:eastAsia="zh-TW"/>
              </w:rPr>
              <w:t>£946</w:t>
            </w:r>
          </w:p>
        </w:tc>
      </w:tr>
    </w:tbl>
    <w:p w14:paraId="392A7371" w14:textId="77777777" w:rsidR="00251F8B" w:rsidRPr="00251F8B" w:rsidRDefault="00251F8B" w:rsidP="00251F8B">
      <w:pPr>
        <w:rPr>
          <w:rFonts w:ascii="Arial" w:hAnsi="Arial" w:cs="Arial"/>
        </w:rPr>
      </w:pPr>
    </w:p>
    <w:p w14:paraId="29E012CF" w14:textId="77777777" w:rsidR="005D5A7F" w:rsidRPr="00251F8B" w:rsidRDefault="005D5A7F">
      <w:pPr>
        <w:rPr>
          <w:rFonts w:ascii="Arial" w:hAnsi="Arial" w:cs="Arial"/>
          <w:b/>
        </w:rPr>
      </w:pPr>
    </w:p>
    <w:p w14:paraId="369BB579" w14:textId="77777777" w:rsidR="005D5A7F" w:rsidRPr="00251F8B" w:rsidRDefault="005D5A7F">
      <w:pPr>
        <w:rPr>
          <w:rFonts w:ascii="Arial" w:hAnsi="Arial" w:cs="Arial"/>
          <w:b/>
        </w:rPr>
      </w:pPr>
    </w:p>
    <w:p w14:paraId="6DDB97ED" w14:textId="77777777" w:rsidR="005D5A7F" w:rsidRPr="00251F8B" w:rsidRDefault="005D5A7F">
      <w:pPr>
        <w:rPr>
          <w:rFonts w:ascii="Arial" w:hAnsi="Arial" w:cs="Arial"/>
          <w:b/>
        </w:rPr>
      </w:pPr>
    </w:p>
    <w:p w14:paraId="36CD8EF6" w14:textId="77777777" w:rsidR="005D5A7F" w:rsidRPr="00251F8B" w:rsidRDefault="005D5A7F">
      <w:pPr>
        <w:rPr>
          <w:rFonts w:ascii="Arial" w:hAnsi="Arial" w:cs="Arial"/>
          <w:b/>
        </w:rPr>
      </w:pPr>
    </w:p>
    <w:p w14:paraId="1743EA8B" w14:textId="77777777" w:rsidR="005D5A7F" w:rsidRPr="00251F8B" w:rsidRDefault="005D5A7F">
      <w:pPr>
        <w:rPr>
          <w:rFonts w:ascii="Arial" w:hAnsi="Arial" w:cs="Arial"/>
          <w:b/>
        </w:rPr>
      </w:pPr>
    </w:p>
    <w:p w14:paraId="7485CB0E" w14:textId="77777777" w:rsidR="005D5A7F" w:rsidRPr="00251F8B" w:rsidRDefault="005D5A7F">
      <w:pPr>
        <w:rPr>
          <w:rFonts w:ascii="Arial" w:hAnsi="Arial" w:cs="Arial"/>
          <w:b/>
        </w:rPr>
      </w:pPr>
    </w:p>
    <w:p w14:paraId="64CB30EC" w14:textId="1511A1CA" w:rsidR="005D5A7F" w:rsidRPr="00251F8B" w:rsidRDefault="00F27A39">
      <w:pPr>
        <w:rPr>
          <w:rFonts w:ascii="Arial" w:hAnsi="Arial" w:cs="Arial"/>
          <w:b/>
        </w:rPr>
      </w:pPr>
      <w:r w:rsidRPr="00251F8B">
        <w:rPr>
          <w:rFonts w:ascii="Arial" w:hAnsi="Arial" w:cs="Arial"/>
          <w:b/>
        </w:rPr>
        <w:pict w14:anchorId="6078831F">
          <v:rect id="_x0000_i1026" style="width:0;height:1.5pt" o:hralign="center" o:hrstd="t" o:hr="t" fillcolor="#a0a0a0" stroked="f"/>
        </w:pict>
      </w:r>
    </w:p>
    <w:p w14:paraId="1DD73564" w14:textId="155A77EE" w:rsidR="005D5A7F" w:rsidRPr="00251F8B" w:rsidRDefault="005D5A7F">
      <w:pPr>
        <w:rPr>
          <w:rFonts w:ascii="Arial" w:hAnsi="Arial" w:cs="Arial"/>
          <w:b/>
        </w:rPr>
      </w:pPr>
      <w:r w:rsidRPr="00251F8B">
        <w:rPr>
          <w:rFonts w:ascii="Arial" w:hAnsi="Arial" w:cs="Arial"/>
          <w:b/>
        </w:rPr>
        <w:t>Attachments:</w:t>
      </w:r>
      <w:r w:rsidR="00251F8B" w:rsidRPr="00251F8B">
        <w:rPr>
          <w:rFonts w:ascii="Arial" w:hAnsi="Arial" w:cs="Arial"/>
          <w:b/>
        </w:rPr>
        <w:t xml:space="preserve"> </w:t>
      </w:r>
      <w:r w:rsidR="00251F8B" w:rsidRPr="00251F8B">
        <w:rPr>
          <w:rFonts w:ascii="Arial" w:hAnsi="Arial" w:cs="Arial"/>
          <w:bCs/>
        </w:rPr>
        <w:t>N/A</w:t>
      </w:r>
    </w:p>
    <w:p w14:paraId="12B95571" w14:textId="77777777" w:rsidR="005D5A7F" w:rsidRPr="00251F8B" w:rsidRDefault="005D5A7F">
      <w:pPr>
        <w:rPr>
          <w:rFonts w:ascii="Arial" w:hAnsi="Arial" w:cs="Arial"/>
          <w:b/>
        </w:rPr>
      </w:pPr>
    </w:p>
    <w:sectPr w:rsidR="005D5A7F" w:rsidRPr="0025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205C"/>
    <w:multiLevelType w:val="multilevel"/>
    <w:tmpl w:val="90ACBBF0"/>
    <w:lvl w:ilvl="0">
      <w:start w:val="1"/>
      <w:numFmt w:val="bullet"/>
      <w:pStyle w:val="Bullet1"/>
      <w:lvlText w:val=""/>
      <w:lvlJc w:val="left"/>
      <w:pPr>
        <w:ind w:left="284" w:hanging="284"/>
      </w:pPr>
      <w:rPr>
        <w:rFonts w:ascii="Wingdings" w:hAnsi="Wingdings" w:hint="default"/>
        <w:color w:val="44546A"/>
        <w:sz w:val="22"/>
        <w:szCs w:val="22"/>
      </w:rPr>
    </w:lvl>
    <w:lvl w:ilvl="1">
      <w:start w:val="1"/>
      <w:numFmt w:val="bullet"/>
      <w:pStyle w:val="Bullet2"/>
      <w:lvlText w:val="o"/>
      <w:lvlJc w:val="left"/>
      <w:pPr>
        <w:ind w:left="568" w:hanging="284"/>
      </w:pPr>
      <w:rPr>
        <w:rFonts w:ascii="Courier New" w:hAnsi="Courier New" w:cs="Times New Roman" w:hint="default"/>
        <w:color w:val="44546A"/>
      </w:rPr>
    </w:lvl>
    <w:lvl w:ilvl="2">
      <w:start w:val="1"/>
      <w:numFmt w:val="bullet"/>
      <w:pStyle w:val="Bullet3"/>
      <w:lvlText w:val=""/>
      <w:lvlJc w:val="left"/>
      <w:pPr>
        <w:ind w:left="852" w:hanging="284"/>
      </w:pPr>
      <w:rPr>
        <w:rFonts w:ascii="Symbol" w:hAnsi="Symbol" w:hint="default"/>
        <w:color w:val="44546A"/>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 w15:restartNumberingAfterBreak="0">
    <w:nsid w:val="5E6B77F1"/>
    <w:multiLevelType w:val="hybridMultilevel"/>
    <w:tmpl w:val="D2CA3CB0"/>
    <w:lvl w:ilvl="0" w:tplc="B70E2AA6">
      <w:start w:val="1"/>
      <w:numFmt w:val="decimal"/>
      <w:lvlText w:val="%1."/>
      <w:lvlJc w:val="left"/>
      <w:pPr>
        <w:ind w:left="720" w:hanging="360"/>
      </w:pPr>
      <w:rPr>
        <w:b/>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9A91241"/>
    <w:multiLevelType w:val="hybridMultilevel"/>
    <w:tmpl w:val="22266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8381166">
    <w:abstractNumId w:val="0"/>
  </w:num>
  <w:num w:numId="2" w16cid:durableId="1421024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750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251F8B"/>
    <w:rsid w:val="005D5A7F"/>
    <w:rsid w:val="00911A41"/>
    <w:rsid w:val="00F2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1F8B"/>
    <w:rPr>
      <w:color w:val="0000FF"/>
      <w:u w:val="single"/>
    </w:rPr>
  </w:style>
  <w:style w:type="paragraph" w:styleId="PlainText">
    <w:name w:val="Plain Text"/>
    <w:basedOn w:val="Normal"/>
    <w:link w:val="PlainTextChar"/>
    <w:uiPriority w:val="99"/>
    <w:unhideWhenUsed/>
    <w:rsid w:val="00251F8B"/>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51F8B"/>
    <w:rPr>
      <w:rFonts w:ascii="Calibri" w:eastAsia="Calibri" w:hAnsi="Calibri" w:cs="Times New Roman"/>
      <w:kern w:val="0"/>
      <w:szCs w:val="21"/>
      <w14:ligatures w14:val="none"/>
    </w:rPr>
  </w:style>
  <w:style w:type="paragraph" w:styleId="ListParagraph">
    <w:name w:val="List Paragraph"/>
    <w:basedOn w:val="Normal"/>
    <w:uiPriority w:val="34"/>
    <w:qFormat/>
    <w:rsid w:val="00251F8B"/>
    <w:pPr>
      <w:ind w:left="720"/>
      <w:contextualSpacing/>
    </w:pPr>
    <w:rPr>
      <w:kern w:val="0"/>
      <w14:ligatures w14:val="none"/>
    </w:rPr>
  </w:style>
  <w:style w:type="paragraph" w:customStyle="1" w:styleId="Bullet1">
    <w:name w:val="Bullet 1"/>
    <w:basedOn w:val="Normal"/>
    <w:uiPriority w:val="99"/>
    <w:rsid w:val="00251F8B"/>
    <w:pPr>
      <w:numPr>
        <w:numId w:val="1"/>
      </w:numPr>
      <w:spacing w:after="60" w:line="252" w:lineRule="auto"/>
    </w:pPr>
    <w:rPr>
      <w:rFonts w:ascii="Calibri" w:hAnsi="Calibri" w:cs="Calibri"/>
      <w:kern w:val="0"/>
      <w14:ligatures w14:val="none"/>
    </w:rPr>
  </w:style>
  <w:style w:type="paragraph" w:customStyle="1" w:styleId="Bullet2">
    <w:name w:val="Bullet 2"/>
    <w:basedOn w:val="Normal"/>
    <w:uiPriority w:val="99"/>
    <w:rsid w:val="00251F8B"/>
    <w:pPr>
      <w:numPr>
        <w:ilvl w:val="1"/>
        <w:numId w:val="1"/>
      </w:numPr>
      <w:spacing w:after="60" w:line="252" w:lineRule="auto"/>
    </w:pPr>
    <w:rPr>
      <w:rFonts w:ascii="Calibri" w:hAnsi="Calibri" w:cs="Calibri"/>
      <w:kern w:val="0"/>
      <w14:ligatures w14:val="none"/>
    </w:rPr>
  </w:style>
  <w:style w:type="paragraph" w:customStyle="1" w:styleId="Bullet3">
    <w:name w:val="Bullet 3"/>
    <w:basedOn w:val="Normal"/>
    <w:uiPriority w:val="99"/>
    <w:rsid w:val="00251F8B"/>
    <w:pPr>
      <w:numPr>
        <w:ilvl w:val="2"/>
        <w:numId w:val="1"/>
      </w:numPr>
      <w:spacing w:after="60" w:line="252"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sbsa.foirequest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4</cp:revision>
  <dcterms:created xsi:type="dcterms:W3CDTF">2023-08-15T08:00:00Z</dcterms:created>
  <dcterms:modified xsi:type="dcterms:W3CDTF">2023-12-22T15:36:00Z</dcterms:modified>
</cp:coreProperties>
</file>