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62EC" w14:textId="77777777" w:rsidR="001D7B29" w:rsidRDefault="00016DFC" w:rsidP="008013B6">
      <w:pPr>
        <w:rPr>
          <w:b/>
          <w:color w:val="4F81BD" w:themeColor="accent1"/>
          <w:sz w:val="30"/>
        </w:rPr>
      </w:pPr>
      <w:r w:rsidRPr="00153EAD">
        <w:rPr>
          <w:rFonts w:ascii="Arial" w:hAnsi="Arial" w:cs="Arial"/>
          <w:noProof/>
          <w:szCs w:val="24"/>
          <w:lang w:eastAsia="en-GB"/>
        </w:rPr>
        <w:drawing>
          <wp:anchor distT="0" distB="0" distL="114300" distR="114300" simplePos="0" relativeHeight="251461632" behindDoc="0" locked="0" layoutInCell="1" allowOverlap="1" wp14:anchorId="3DFF126F" wp14:editId="7D73057C">
            <wp:simplePos x="0" y="0"/>
            <wp:positionH relativeFrom="column">
              <wp:posOffset>4269740</wp:posOffset>
            </wp:positionH>
            <wp:positionV relativeFrom="paragraph">
              <wp:posOffset>-187960</wp:posOffset>
            </wp:positionV>
            <wp:extent cx="2409190" cy="7150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265" t="17215" r="8093" b="33543"/>
                    <a:stretch>
                      <a:fillRect/>
                    </a:stretch>
                  </pic:blipFill>
                  <pic:spPr bwMode="auto">
                    <a:xfrm>
                      <a:off x="0" y="0"/>
                      <a:ext cx="240919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9EAAE" w14:textId="77777777" w:rsidR="001D7B29" w:rsidRDefault="001D7B29" w:rsidP="008013B6">
      <w:pPr>
        <w:rPr>
          <w:b/>
          <w:color w:val="4F81BD" w:themeColor="accent1"/>
          <w:sz w:val="30"/>
        </w:rPr>
      </w:pPr>
    </w:p>
    <w:p w14:paraId="45ECD1D4" w14:textId="14223244" w:rsidR="0043360A" w:rsidRPr="00127224" w:rsidRDefault="00414BBF" w:rsidP="005F5260">
      <w:pPr>
        <w:ind w:right="687"/>
        <w:rPr>
          <w:b/>
          <w:color w:val="4F81BD" w:themeColor="accent1"/>
          <w:sz w:val="30"/>
        </w:rPr>
      </w:pPr>
      <w:r>
        <w:rPr>
          <w:b/>
          <w:color w:val="4F81BD" w:themeColor="accent1"/>
          <w:sz w:val="30"/>
        </w:rPr>
        <w:t xml:space="preserve">Public </w:t>
      </w:r>
      <w:r w:rsidR="001D7B29">
        <w:rPr>
          <w:b/>
          <w:color w:val="4F81BD" w:themeColor="accent1"/>
          <w:sz w:val="30"/>
        </w:rPr>
        <w:t>Trust Board</w:t>
      </w:r>
      <w:r w:rsidR="0043360A" w:rsidRPr="00127224">
        <w:rPr>
          <w:b/>
          <w:color w:val="4F81BD" w:themeColor="accent1"/>
          <w:sz w:val="30"/>
        </w:rPr>
        <w:t xml:space="preserve"> </w:t>
      </w:r>
      <w:r w:rsidR="005C2928" w:rsidRPr="00127224">
        <w:rPr>
          <w:b/>
          <w:color w:val="4F81BD" w:themeColor="accent1"/>
          <w:sz w:val="30"/>
        </w:rPr>
        <w:t xml:space="preserve">– </w:t>
      </w:r>
      <w:r w:rsidR="005C2928">
        <w:rPr>
          <w:b/>
          <w:color w:val="4F81BD" w:themeColor="accent1"/>
          <w:sz w:val="30"/>
        </w:rPr>
        <w:t>21</w:t>
      </w:r>
      <w:r>
        <w:rPr>
          <w:b/>
          <w:color w:val="4F81BD" w:themeColor="accent1"/>
          <w:sz w:val="30"/>
        </w:rPr>
        <w:t xml:space="preserve"> </w:t>
      </w:r>
      <w:r w:rsidR="00B210E2">
        <w:rPr>
          <w:b/>
          <w:color w:val="4F81BD" w:themeColor="accent1"/>
          <w:sz w:val="30"/>
        </w:rPr>
        <w:t>December</w:t>
      </w:r>
      <w:r w:rsidR="00AE31A8">
        <w:rPr>
          <w:b/>
          <w:color w:val="4F81BD" w:themeColor="accent1"/>
          <w:sz w:val="30"/>
        </w:rPr>
        <w:t xml:space="preserve"> 2021</w:t>
      </w:r>
    </w:p>
    <w:p w14:paraId="293A89D5" w14:textId="77777777" w:rsidR="0043360A" w:rsidRDefault="003762AB" w:rsidP="005F5260">
      <w:pPr>
        <w:ind w:right="687"/>
        <w:rPr>
          <w:b/>
          <w:color w:val="4F81BD" w:themeColor="accent1"/>
          <w:sz w:val="30"/>
        </w:rPr>
      </w:pPr>
      <w:r>
        <w:rPr>
          <w:b/>
          <w:color w:val="4F81BD" w:themeColor="accent1"/>
          <w:sz w:val="30"/>
        </w:rPr>
        <w:t xml:space="preserve">Infection Prevention and Control </w:t>
      </w:r>
      <w:r w:rsidR="000915F3">
        <w:rPr>
          <w:b/>
          <w:color w:val="4F81BD" w:themeColor="accent1"/>
          <w:sz w:val="30"/>
        </w:rPr>
        <w:t>Six</w:t>
      </w:r>
      <w:r>
        <w:rPr>
          <w:b/>
          <w:color w:val="4F81BD" w:themeColor="accent1"/>
          <w:sz w:val="30"/>
        </w:rPr>
        <w:t xml:space="preserve">-Monthly </w:t>
      </w:r>
      <w:r w:rsidR="0043360A" w:rsidRPr="00127224">
        <w:rPr>
          <w:b/>
          <w:color w:val="4F81BD" w:themeColor="accent1"/>
          <w:sz w:val="30"/>
        </w:rPr>
        <w:t xml:space="preserve">Report </w:t>
      </w:r>
      <w:r>
        <w:rPr>
          <w:b/>
          <w:color w:val="4F81BD" w:themeColor="accent1"/>
          <w:sz w:val="30"/>
        </w:rPr>
        <w:t>to Trust Board</w:t>
      </w:r>
    </w:p>
    <w:p w14:paraId="45C685B9" w14:textId="77777777" w:rsidR="008511D6" w:rsidRPr="000E645A" w:rsidRDefault="008511D6" w:rsidP="005F5260">
      <w:pPr>
        <w:ind w:right="687"/>
        <w:rPr>
          <w:b/>
          <w:color w:val="4F81BD" w:themeColor="accent1"/>
          <w:sz w:val="28"/>
          <w:szCs w:val="28"/>
        </w:rPr>
      </w:pPr>
      <w:r w:rsidRPr="000E645A">
        <w:rPr>
          <w:b/>
          <w:color w:val="4F81BD" w:themeColor="accent1"/>
          <w:sz w:val="28"/>
          <w:szCs w:val="28"/>
        </w:rPr>
        <w:t>Introduction</w:t>
      </w:r>
    </w:p>
    <w:p w14:paraId="6C04DFC6" w14:textId="18AEAB6C" w:rsidR="003762AB" w:rsidRDefault="003762AB" w:rsidP="000E645A">
      <w:pPr>
        <w:spacing w:after="120"/>
        <w:ind w:right="687"/>
        <w:rPr>
          <w:noProof/>
          <w:color w:val="000000"/>
          <w:sz w:val="24"/>
          <w:szCs w:val="24"/>
        </w:rPr>
      </w:pPr>
      <w:r w:rsidRPr="006B6E62">
        <w:rPr>
          <w:noProof/>
          <w:color w:val="000000"/>
          <w:sz w:val="24"/>
          <w:szCs w:val="24"/>
        </w:rPr>
        <w:t xml:space="preserve">This six monthly report provides assurance from the Director of Infection Prevention and Control (DIPaC) that the trust has a robust, effective and proactive </w:t>
      </w:r>
      <w:r w:rsidR="000915F3" w:rsidRPr="006B6E62">
        <w:rPr>
          <w:noProof/>
          <w:color w:val="000000"/>
          <w:sz w:val="24"/>
          <w:szCs w:val="24"/>
        </w:rPr>
        <w:t>I</w:t>
      </w:r>
      <w:r w:rsidRPr="006B6E62">
        <w:rPr>
          <w:noProof/>
          <w:color w:val="000000"/>
          <w:sz w:val="24"/>
          <w:szCs w:val="24"/>
        </w:rPr>
        <w:t xml:space="preserve">nfection </w:t>
      </w:r>
      <w:r w:rsidR="000915F3" w:rsidRPr="006B6E62">
        <w:rPr>
          <w:noProof/>
          <w:color w:val="000000"/>
          <w:sz w:val="24"/>
          <w:szCs w:val="24"/>
        </w:rPr>
        <w:t>P</w:t>
      </w:r>
      <w:r w:rsidRPr="006B6E62">
        <w:rPr>
          <w:noProof/>
          <w:color w:val="000000"/>
          <w:sz w:val="24"/>
          <w:szCs w:val="24"/>
        </w:rPr>
        <w:t xml:space="preserve">revention and </w:t>
      </w:r>
      <w:r w:rsidR="000915F3" w:rsidRPr="006B6E62">
        <w:rPr>
          <w:noProof/>
          <w:color w:val="000000"/>
          <w:sz w:val="24"/>
          <w:szCs w:val="24"/>
        </w:rPr>
        <w:t>C</w:t>
      </w:r>
      <w:r w:rsidRPr="006B6E62">
        <w:rPr>
          <w:noProof/>
          <w:color w:val="000000"/>
          <w:sz w:val="24"/>
          <w:szCs w:val="24"/>
        </w:rPr>
        <w:t xml:space="preserve">ontrol </w:t>
      </w:r>
      <w:r w:rsidR="000915F3" w:rsidRPr="006B6E62">
        <w:rPr>
          <w:noProof/>
          <w:color w:val="000000"/>
          <w:sz w:val="24"/>
          <w:szCs w:val="24"/>
        </w:rPr>
        <w:t xml:space="preserve">(IPC) </w:t>
      </w:r>
      <w:r w:rsidRPr="006B6E62">
        <w:rPr>
          <w:noProof/>
          <w:color w:val="000000"/>
          <w:sz w:val="24"/>
          <w:szCs w:val="24"/>
        </w:rPr>
        <w:t xml:space="preserve">strategy and work programme in place, that demonstrates compliance with the Health and Social Care Act 2008 (updated July 2015) also referred to as the Hygiene Code. </w:t>
      </w:r>
    </w:p>
    <w:p w14:paraId="7FF3151D" w14:textId="2B7DF34C" w:rsidR="005C2928" w:rsidRDefault="005C2928" w:rsidP="000E645A">
      <w:pPr>
        <w:spacing w:after="120"/>
        <w:ind w:right="687"/>
        <w:rPr>
          <w:noProof/>
          <w:color w:val="000000"/>
          <w:sz w:val="24"/>
          <w:szCs w:val="24"/>
        </w:rPr>
      </w:pPr>
    </w:p>
    <w:p w14:paraId="19EB6488" w14:textId="2AD95D2E" w:rsidR="005C2928" w:rsidRPr="005C2928" w:rsidRDefault="005C2928" w:rsidP="005C2928">
      <w:pPr>
        <w:ind w:right="687"/>
        <w:rPr>
          <w:b/>
          <w:color w:val="4F81BD" w:themeColor="accent1"/>
          <w:sz w:val="28"/>
          <w:szCs w:val="28"/>
        </w:rPr>
      </w:pPr>
      <w:r>
        <w:rPr>
          <w:b/>
          <w:color w:val="4F81BD" w:themeColor="accent1"/>
          <w:sz w:val="28"/>
          <w:szCs w:val="28"/>
        </w:rPr>
        <w:t>Background</w:t>
      </w:r>
    </w:p>
    <w:p w14:paraId="12099968" w14:textId="56ADD851" w:rsidR="00FF6B00" w:rsidRDefault="003762AB" w:rsidP="008511D6">
      <w:pPr>
        <w:spacing w:after="120"/>
        <w:ind w:right="687"/>
        <w:rPr>
          <w:noProof/>
          <w:color w:val="000000"/>
          <w:sz w:val="24"/>
          <w:szCs w:val="24"/>
        </w:rPr>
      </w:pPr>
      <w:r w:rsidRPr="006B6E62">
        <w:rPr>
          <w:noProof/>
          <w:color w:val="000000"/>
          <w:sz w:val="24"/>
          <w:szCs w:val="24"/>
        </w:rPr>
        <w:t>The Infection Prevention and Control (IP</w:t>
      </w:r>
      <w:r w:rsidR="001F69F3" w:rsidRPr="006B6E62">
        <w:rPr>
          <w:noProof/>
          <w:color w:val="000000"/>
          <w:sz w:val="24"/>
          <w:szCs w:val="24"/>
        </w:rPr>
        <w:t xml:space="preserve">C) team is currently </w:t>
      </w:r>
      <w:r w:rsidR="007344B6">
        <w:rPr>
          <w:noProof/>
          <w:color w:val="000000"/>
          <w:sz w:val="24"/>
          <w:szCs w:val="24"/>
        </w:rPr>
        <w:t>has</w:t>
      </w:r>
      <w:r w:rsidR="001F69F3" w:rsidRPr="006B6E62">
        <w:rPr>
          <w:noProof/>
          <w:color w:val="000000"/>
          <w:sz w:val="24"/>
          <w:szCs w:val="24"/>
        </w:rPr>
        <w:t xml:space="preserve"> </w:t>
      </w:r>
      <w:r w:rsidR="001D318C" w:rsidRPr="006B6E62">
        <w:rPr>
          <w:noProof/>
          <w:color w:val="000000"/>
          <w:sz w:val="24"/>
          <w:szCs w:val="24"/>
        </w:rPr>
        <w:t>5.</w:t>
      </w:r>
      <w:r w:rsidR="0042313A">
        <w:rPr>
          <w:noProof/>
          <w:color w:val="000000"/>
          <w:sz w:val="24"/>
          <w:szCs w:val="24"/>
        </w:rPr>
        <w:t>1</w:t>
      </w:r>
      <w:r w:rsidRPr="006B6E62">
        <w:rPr>
          <w:noProof/>
          <w:color w:val="000000"/>
          <w:sz w:val="24"/>
          <w:szCs w:val="24"/>
        </w:rPr>
        <w:t xml:space="preserve"> W</w:t>
      </w:r>
      <w:r w:rsidR="007344B6">
        <w:rPr>
          <w:noProof/>
          <w:color w:val="000000"/>
          <w:sz w:val="24"/>
          <w:szCs w:val="24"/>
        </w:rPr>
        <w:t xml:space="preserve">hole </w:t>
      </w:r>
      <w:r w:rsidRPr="006B6E62">
        <w:rPr>
          <w:noProof/>
          <w:color w:val="000000"/>
          <w:sz w:val="24"/>
          <w:szCs w:val="24"/>
        </w:rPr>
        <w:t>T</w:t>
      </w:r>
      <w:r w:rsidR="007344B6">
        <w:rPr>
          <w:noProof/>
          <w:color w:val="000000"/>
          <w:sz w:val="24"/>
          <w:szCs w:val="24"/>
        </w:rPr>
        <w:t xml:space="preserve">ime </w:t>
      </w:r>
      <w:r w:rsidRPr="006B6E62">
        <w:rPr>
          <w:noProof/>
          <w:color w:val="000000"/>
          <w:sz w:val="24"/>
          <w:szCs w:val="24"/>
        </w:rPr>
        <w:t>E</w:t>
      </w:r>
      <w:r w:rsidR="007344B6">
        <w:rPr>
          <w:noProof/>
          <w:color w:val="000000"/>
          <w:sz w:val="24"/>
          <w:szCs w:val="24"/>
        </w:rPr>
        <w:t>quivalent (WTE)</w:t>
      </w:r>
      <w:r w:rsidRPr="006B6E62">
        <w:rPr>
          <w:noProof/>
          <w:color w:val="000000"/>
          <w:sz w:val="24"/>
          <w:szCs w:val="24"/>
        </w:rPr>
        <w:t xml:space="preserve"> Infection Prevention and Control Nurses,</w:t>
      </w:r>
      <w:r w:rsidR="00677F05" w:rsidRPr="006B6E62">
        <w:rPr>
          <w:noProof/>
          <w:color w:val="000000"/>
          <w:sz w:val="24"/>
          <w:szCs w:val="24"/>
        </w:rPr>
        <w:t xml:space="preserve"> </w:t>
      </w:r>
      <w:r w:rsidRPr="006B6E62">
        <w:rPr>
          <w:noProof/>
          <w:color w:val="000000"/>
          <w:sz w:val="24"/>
          <w:szCs w:val="24"/>
        </w:rPr>
        <w:t>supported and managed by the Ass</w:t>
      </w:r>
      <w:r w:rsidR="007344B6">
        <w:rPr>
          <w:noProof/>
          <w:color w:val="000000"/>
          <w:sz w:val="24"/>
          <w:szCs w:val="24"/>
        </w:rPr>
        <w:t>istant</w:t>
      </w:r>
      <w:r w:rsidRPr="006B6E62">
        <w:rPr>
          <w:noProof/>
          <w:color w:val="000000"/>
          <w:sz w:val="24"/>
          <w:szCs w:val="24"/>
        </w:rPr>
        <w:t xml:space="preserve"> Director of Nursing and </w:t>
      </w:r>
      <w:r w:rsidR="007344B6">
        <w:rPr>
          <w:noProof/>
          <w:color w:val="000000"/>
          <w:sz w:val="24"/>
          <w:szCs w:val="24"/>
        </w:rPr>
        <w:t>Quality</w:t>
      </w:r>
      <w:r w:rsidR="008511D6" w:rsidRPr="006B6E62">
        <w:rPr>
          <w:noProof/>
          <w:color w:val="000000"/>
          <w:sz w:val="24"/>
          <w:szCs w:val="24"/>
        </w:rPr>
        <w:t>/Deputy Director of Infection Prevention and Control (DDIPaC)</w:t>
      </w:r>
      <w:r w:rsidRPr="006B6E62">
        <w:rPr>
          <w:noProof/>
          <w:color w:val="000000"/>
          <w:sz w:val="24"/>
          <w:szCs w:val="24"/>
        </w:rPr>
        <w:t xml:space="preserve">. Recruitment into the IPC team </w:t>
      </w:r>
      <w:r w:rsidR="00D05188">
        <w:rPr>
          <w:noProof/>
          <w:color w:val="000000"/>
          <w:sz w:val="24"/>
          <w:szCs w:val="24"/>
        </w:rPr>
        <w:t xml:space="preserve">will take place in the new year due to </w:t>
      </w:r>
      <w:r w:rsidR="0042313A">
        <w:rPr>
          <w:noProof/>
          <w:color w:val="000000"/>
          <w:sz w:val="24"/>
          <w:szCs w:val="24"/>
        </w:rPr>
        <w:t>two team members retiring (one had previously retired and returned) which will take the team to 3.7</w:t>
      </w:r>
      <w:r w:rsidR="007344B6">
        <w:rPr>
          <w:noProof/>
          <w:color w:val="000000"/>
          <w:sz w:val="24"/>
          <w:szCs w:val="24"/>
        </w:rPr>
        <w:t xml:space="preserve"> </w:t>
      </w:r>
      <w:r w:rsidR="0042313A">
        <w:rPr>
          <w:noProof/>
          <w:color w:val="000000"/>
          <w:sz w:val="24"/>
          <w:szCs w:val="24"/>
        </w:rPr>
        <w:t>WTE</w:t>
      </w:r>
      <w:r w:rsidR="003D34BA">
        <w:rPr>
          <w:noProof/>
          <w:color w:val="000000"/>
          <w:sz w:val="24"/>
          <w:szCs w:val="24"/>
        </w:rPr>
        <w:t xml:space="preserve"> IPC nurses and </w:t>
      </w:r>
      <w:r w:rsidR="007344B6">
        <w:rPr>
          <w:noProof/>
          <w:color w:val="000000"/>
          <w:sz w:val="24"/>
          <w:szCs w:val="24"/>
        </w:rPr>
        <w:t xml:space="preserve">a </w:t>
      </w:r>
      <w:r w:rsidRPr="006B6E62">
        <w:rPr>
          <w:noProof/>
          <w:color w:val="000000"/>
          <w:sz w:val="24"/>
          <w:szCs w:val="24"/>
        </w:rPr>
        <w:t>0.8 WTE</w:t>
      </w:r>
      <w:r w:rsidR="003D34BA">
        <w:rPr>
          <w:noProof/>
          <w:color w:val="000000"/>
          <w:sz w:val="24"/>
          <w:szCs w:val="24"/>
        </w:rPr>
        <w:t xml:space="preserve"> IPC administrator</w:t>
      </w:r>
      <w:r w:rsidR="00FF6B00" w:rsidRPr="006B6E62">
        <w:rPr>
          <w:noProof/>
          <w:color w:val="000000"/>
          <w:sz w:val="24"/>
          <w:szCs w:val="24"/>
        </w:rPr>
        <w:t>.</w:t>
      </w:r>
    </w:p>
    <w:p w14:paraId="1DCB0496" w14:textId="0A34F208" w:rsidR="00605C2B" w:rsidRDefault="00605C2B" w:rsidP="008511D6">
      <w:pPr>
        <w:spacing w:after="120"/>
        <w:ind w:right="687"/>
        <w:rPr>
          <w:noProof/>
          <w:color w:val="000000"/>
          <w:sz w:val="24"/>
          <w:szCs w:val="24"/>
        </w:rPr>
      </w:pPr>
      <w:r w:rsidRPr="000915F3">
        <w:rPr>
          <w:sz w:val="24"/>
          <w:szCs w:val="24"/>
        </w:rPr>
        <w:t>The Infection Prevention and Control Board Assurance Framework (BAF) was updated on the 12</w:t>
      </w:r>
      <w:r w:rsidR="007344B6">
        <w:rPr>
          <w:sz w:val="24"/>
          <w:szCs w:val="24"/>
        </w:rPr>
        <w:t xml:space="preserve"> February </w:t>
      </w:r>
      <w:r w:rsidRPr="000915F3">
        <w:rPr>
          <w:sz w:val="24"/>
          <w:szCs w:val="24"/>
        </w:rPr>
        <w:t>2021.   The revised document added/updated a further 32 Key Lines of Enquiry (KL</w:t>
      </w:r>
      <w:r>
        <w:rPr>
          <w:sz w:val="24"/>
          <w:szCs w:val="24"/>
        </w:rPr>
        <w:t>o</w:t>
      </w:r>
      <w:r w:rsidRPr="000915F3">
        <w:rPr>
          <w:sz w:val="24"/>
          <w:szCs w:val="24"/>
        </w:rPr>
        <w:t xml:space="preserve">Es).   The BAF was </w:t>
      </w:r>
      <w:r w:rsidR="00055200" w:rsidRPr="000915F3">
        <w:rPr>
          <w:sz w:val="24"/>
          <w:szCs w:val="24"/>
        </w:rPr>
        <w:t>reviewed,</w:t>
      </w:r>
      <w:r w:rsidRPr="000915F3">
        <w:rPr>
          <w:sz w:val="24"/>
          <w:szCs w:val="24"/>
        </w:rPr>
        <w:t xml:space="preserve"> and information and reports embedded within the </w:t>
      </w:r>
      <w:r>
        <w:rPr>
          <w:sz w:val="24"/>
          <w:szCs w:val="24"/>
        </w:rPr>
        <w:t>self-</w:t>
      </w:r>
      <w:r w:rsidR="00E70EDB">
        <w:rPr>
          <w:sz w:val="24"/>
          <w:szCs w:val="24"/>
        </w:rPr>
        <w:t>assessment.</w:t>
      </w:r>
      <w:r w:rsidRPr="000915F3">
        <w:rPr>
          <w:sz w:val="24"/>
          <w:szCs w:val="24"/>
        </w:rPr>
        <w:t xml:space="preserve">  </w:t>
      </w:r>
      <w:r>
        <w:rPr>
          <w:sz w:val="24"/>
          <w:szCs w:val="24"/>
        </w:rPr>
        <w:t xml:space="preserve">The BAF self-assessments and subsequent updates have been shared with </w:t>
      </w:r>
      <w:r w:rsidR="007344B6">
        <w:rPr>
          <w:sz w:val="24"/>
          <w:szCs w:val="24"/>
        </w:rPr>
        <w:t xml:space="preserve">Trust and </w:t>
      </w:r>
      <w:r>
        <w:rPr>
          <w:sz w:val="24"/>
          <w:szCs w:val="24"/>
        </w:rPr>
        <w:t xml:space="preserve">both </w:t>
      </w:r>
      <w:r w:rsidRPr="000915F3">
        <w:rPr>
          <w:sz w:val="24"/>
          <w:szCs w:val="24"/>
        </w:rPr>
        <w:t>NHS</w:t>
      </w:r>
      <w:r w:rsidR="007344B6">
        <w:rPr>
          <w:sz w:val="24"/>
          <w:szCs w:val="24"/>
        </w:rPr>
        <w:t xml:space="preserve"> </w:t>
      </w:r>
      <w:r w:rsidRPr="000915F3">
        <w:rPr>
          <w:sz w:val="24"/>
          <w:szCs w:val="24"/>
        </w:rPr>
        <w:t>E</w:t>
      </w:r>
      <w:r w:rsidR="007344B6">
        <w:rPr>
          <w:sz w:val="24"/>
          <w:szCs w:val="24"/>
        </w:rPr>
        <w:t xml:space="preserve">ngland </w:t>
      </w:r>
      <w:r w:rsidRPr="000915F3">
        <w:rPr>
          <w:sz w:val="24"/>
          <w:szCs w:val="24"/>
        </w:rPr>
        <w:t>&amp;</w:t>
      </w:r>
      <w:r w:rsidR="007344B6">
        <w:rPr>
          <w:sz w:val="24"/>
          <w:szCs w:val="24"/>
        </w:rPr>
        <w:t xml:space="preserve"> </w:t>
      </w:r>
      <w:r w:rsidRPr="000915F3">
        <w:rPr>
          <w:sz w:val="24"/>
          <w:szCs w:val="24"/>
        </w:rPr>
        <w:t>I</w:t>
      </w:r>
      <w:r w:rsidR="007344B6">
        <w:rPr>
          <w:sz w:val="24"/>
          <w:szCs w:val="24"/>
        </w:rPr>
        <w:t>mprovement (NHSE &amp; I)</w:t>
      </w:r>
      <w:r w:rsidRPr="000915F3">
        <w:rPr>
          <w:sz w:val="24"/>
          <w:szCs w:val="24"/>
        </w:rPr>
        <w:t xml:space="preserve"> IPC lead</w:t>
      </w:r>
      <w:r>
        <w:rPr>
          <w:sz w:val="24"/>
          <w:szCs w:val="24"/>
        </w:rPr>
        <w:t>s and Care Quality Commission (CQC) as detailed in previous Trust board 6-month IPC report</w:t>
      </w:r>
      <w:r w:rsidR="007344B6">
        <w:rPr>
          <w:sz w:val="24"/>
          <w:szCs w:val="24"/>
        </w:rPr>
        <w:t xml:space="preserve">s, </w:t>
      </w:r>
      <w:r>
        <w:rPr>
          <w:sz w:val="24"/>
          <w:szCs w:val="24"/>
        </w:rPr>
        <w:t xml:space="preserve">all </w:t>
      </w:r>
      <w:r w:rsidR="007344B6">
        <w:rPr>
          <w:sz w:val="24"/>
          <w:szCs w:val="24"/>
        </w:rPr>
        <w:t xml:space="preserve">BAF </w:t>
      </w:r>
      <w:r>
        <w:rPr>
          <w:sz w:val="24"/>
          <w:szCs w:val="24"/>
        </w:rPr>
        <w:t>actions</w:t>
      </w:r>
      <w:r w:rsidR="007344B6">
        <w:rPr>
          <w:sz w:val="24"/>
          <w:szCs w:val="24"/>
        </w:rPr>
        <w:t xml:space="preserve"> </w:t>
      </w:r>
      <w:r>
        <w:rPr>
          <w:sz w:val="24"/>
          <w:szCs w:val="24"/>
        </w:rPr>
        <w:t>completed.</w:t>
      </w:r>
    </w:p>
    <w:p w14:paraId="154EE29B" w14:textId="77777777" w:rsidR="0043360A" w:rsidRPr="00B971F3" w:rsidRDefault="0043360A" w:rsidP="008511D6">
      <w:pPr>
        <w:spacing w:after="120"/>
        <w:ind w:right="687"/>
        <w:rPr>
          <w:b/>
          <w:color w:val="4F81BD" w:themeColor="accent1"/>
          <w:sz w:val="16"/>
          <w:szCs w:val="16"/>
        </w:rPr>
      </w:pPr>
    </w:p>
    <w:p w14:paraId="0E581427" w14:textId="77777777" w:rsidR="0043360A" w:rsidRDefault="0043360A" w:rsidP="008511D6">
      <w:pPr>
        <w:spacing w:after="120"/>
        <w:ind w:right="687"/>
        <w:rPr>
          <w:b/>
          <w:color w:val="4F81BD" w:themeColor="accent1"/>
          <w:sz w:val="28"/>
        </w:rPr>
      </w:pPr>
      <w:r w:rsidRPr="00E2366B">
        <w:rPr>
          <w:b/>
          <w:color w:val="4F81BD" w:themeColor="accent1"/>
          <w:sz w:val="28"/>
        </w:rPr>
        <w:t>Purpose of the report</w:t>
      </w:r>
    </w:p>
    <w:p w14:paraId="6409C65A" w14:textId="77777777" w:rsidR="003762AB" w:rsidRDefault="003762AB" w:rsidP="008511D6">
      <w:pPr>
        <w:spacing w:after="120"/>
        <w:ind w:right="687"/>
        <w:rPr>
          <w:rFonts w:eastAsia="Arial"/>
          <w:bCs/>
          <w:sz w:val="24"/>
          <w:szCs w:val="24"/>
        </w:rPr>
      </w:pPr>
      <w:r w:rsidRPr="006B6E62">
        <w:rPr>
          <w:sz w:val="24"/>
          <w:szCs w:val="24"/>
        </w:rPr>
        <w:t>The aim of this report is to provide the Trust Board with assurance there is</w:t>
      </w:r>
      <w:r w:rsidRPr="006B6E62">
        <w:rPr>
          <w:noProof/>
          <w:color w:val="000000"/>
          <w:sz w:val="24"/>
          <w:szCs w:val="24"/>
        </w:rPr>
        <w:t xml:space="preserve"> a robust, effective and proactive infection prevention and control programme in place, that demonstrates compliance with</w:t>
      </w:r>
      <w:r w:rsidRPr="000915F3">
        <w:rPr>
          <w:noProof/>
          <w:color w:val="000000"/>
          <w:sz w:val="24"/>
          <w:szCs w:val="24"/>
        </w:rPr>
        <w:t xml:space="preserve"> the Health and Social Care Act 2008 (updated July 2015) and to assure the board</w:t>
      </w:r>
      <w:r w:rsidRPr="000915F3">
        <w:rPr>
          <w:rFonts w:eastAsia="Arial"/>
          <w:bCs/>
          <w:sz w:val="24"/>
          <w:szCs w:val="24"/>
        </w:rPr>
        <w:t xml:space="preserve"> that all IPC measures taken are in line with government COVID-19 IPC guidance.</w:t>
      </w:r>
    </w:p>
    <w:p w14:paraId="660B4EA6" w14:textId="0D14B51F" w:rsidR="005A0186" w:rsidRDefault="00605C2B" w:rsidP="005A0186">
      <w:pPr>
        <w:spacing w:after="120"/>
        <w:ind w:right="687"/>
        <w:rPr>
          <w:noProof/>
          <w:color w:val="000000"/>
          <w:sz w:val="24"/>
          <w:szCs w:val="24"/>
        </w:rPr>
      </w:pPr>
      <w:r>
        <w:rPr>
          <w:noProof/>
          <w:color w:val="000000"/>
          <w:sz w:val="24"/>
          <w:szCs w:val="24"/>
        </w:rPr>
        <w:t>In addition t</w:t>
      </w:r>
      <w:r w:rsidR="005A0186" w:rsidRPr="006B6E62">
        <w:rPr>
          <w:noProof/>
          <w:color w:val="000000"/>
          <w:sz w:val="24"/>
          <w:szCs w:val="24"/>
        </w:rPr>
        <w:t>he report provides update</w:t>
      </w:r>
      <w:r>
        <w:rPr>
          <w:noProof/>
          <w:color w:val="000000"/>
          <w:sz w:val="24"/>
          <w:szCs w:val="24"/>
        </w:rPr>
        <w:t>s</w:t>
      </w:r>
      <w:r w:rsidR="005A0186" w:rsidRPr="006B6E62">
        <w:rPr>
          <w:noProof/>
          <w:color w:val="000000"/>
          <w:sz w:val="24"/>
          <w:szCs w:val="24"/>
        </w:rPr>
        <w:t xml:space="preserve"> on</w:t>
      </w:r>
      <w:r w:rsidR="005A0186">
        <w:rPr>
          <w:noProof/>
          <w:color w:val="000000"/>
          <w:sz w:val="24"/>
          <w:szCs w:val="24"/>
        </w:rPr>
        <w:t>;</w:t>
      </w:r>
    </w:p>
    <w:p w14:paraId="503E1A43" w14:textId="3E460F19" w:rsidR="006A1895" w:rsidRPr="005A0186" w:rsidRDefault="00605C2B" w:rsidP="006A1895">
      <w:pPr>
        <w:pStyle w:val="ListParagraph"/>
        <w:numPr>
          <w:ilvl w:val="0"/>
          <w:numId w:val="22"/>
        </w:numPr>
        <w:spacing w:after="120"/>
        <w:ind w:right="687"/>
        <w:rPr>
          <w:noProof/>
          <w:color w:val="000000"/>
          <w:sz w:val="24"/>
          <w:szCs w:val="24"/>
        </w:rPr>
      </w:pPr>
      <w:r>
        <w:rPr>
          <w:noProof/>
          <w:color w:val="000000"/>
          <w:sz w:val="24"/>
          <w:szCs w:val="24"/>
        </w:rPr>
        <w:t>Outcome and a</w:t>
      </w:r>
      <w:r w:rsidR="006A1895" w:rsidRPr="005A0186">
        <w:rPr>
          <w:noProof/>
          <w:color w:val="000000"/>
          <w:sz w:val="24"/>
          <w:szCs w:val="24"/>
        </w:rPr>
        <w:t xml:space="preserve">ctions  following  </w:t>
      </w:r>
      <w:r>
        <w:rPr>
          <w:noProof/>
          <w:color w:val="000000"/>
          <w:sz w:val="24"/>
          <w:szCs w:val="24"/>
        </w:rPr>
        <w:t xml:space="preserve">the </w:t>
      </w:r>
      <w:r w:rsidR="006A1895" w:rsidRPr="005A0186">
        <w:rPr>
          <w:noProof/>
          <w:color w:val="000000"/>
          <w:sz w:val="24"/>
          <w:szCs w:val="24"/>
        </w:rPr>
        <w:t xml:space="preserve">NHS England &amp; Improvement (NHSE&amp;I) Infection Prevention Control (IPC) visit </w:t>
      </w:r>
      <w:r>
        <w:rPr>
          <w:noProof/>
          <w:color w:val="000000"/>
          <w:sz w:val="24"/>
          <w:szCs w:val="24"/>
        </w:rPr>
        <w:t>o</w:t>
      </w:r>
      <w:r w:rsidR="006A1895" w:rsidRPr="005A0186">
        <w:rPr>
          <w:noProof/>
          <w:color w:val="000000"/>
          <w:sz w:val="24"/>
          <w:szCs w:val="24"/>
        </w:rPr>
        <w:t xml:space="preserve">n </w:t>
      </w:r>
      <w:r>
        <w:rPr>
          <w:noProof/>
          <w:color w:val="000000"/>
          <w:sz w:val="24"/>
          <w:szCs w:val="24"/>
        </w:rPr>
        <w:t xml:space="preserve">14 </w:t>
      </w:r>
      <w:r w:rsidR="006A1895">
        <w:rPr>
          <w:noProof/>
          <w:color w:val="000000"/>
          <w:sz w:val="24"/>
          <w:szCs w:val="24"/>
        </w:rPr>
        <w:t>October</w:t>
      </w:r>
      <w:r w:rsidR="006A1895" w:rsidRPr="005A0186">
        <w:rPr>
          <w:noProof/>
          <w:color w:val="000000"/>
          <w:sz w:val="24"/>
          <w:szCs w:val="24"/>
        </w:rPr>
        <w:t xml:space="preserve"> 2021</w:t>
      </w:r>
      <w:r>
        <w:rPr>
          <w:noProof/>
          <w:color w:val="000000"/>
          <w:sz w:val="24"/>
          <w:szCs w:val="24"/>
        </w:rPr>
        <w:t>.</w:t>
      </w:r>
    </w:p>
    <w:p w14:paraId="5AD51BFB" w14:textId="32D71C07" w:rsidR="005A0186" w:rsidRPr="005A0186" w:rsidRDefault="00605C2B" w:rsidP="005A0186">
      <w:pPr>
        <w:pStyle w:val="ListParagraph"/>
        <w:numPr>
          <w:ilvl w:val="0"/>
          <w:numId w:val="22"/>
        </w:numPr>
        <w:spacing w:after="120"/>
        <w:ind w:right="687"/>
        <w:rPr>
          <w:noProof/>
          <w:color w:val="000000"/>
          <w:sz w:val="24"/>
          <w:szCs w:val="24"/>
        </w:rPr>
      </w:pPr>
      <w:r>
        <w:rPr>
          <w:noProof/>
          <w:color w:val="000000"/>
          <w:sz w:val="24"/>
          <w:szCs w:val="24"/>
        </w:rPr>
        <w:t>I</w:t>
      </w:r>
      <w:r w:rsidR="005A0186" w:rsidRPr="005A0186">
        <w:rPr>
          <w:noProof/>
          <w:color w:val="000000"/>
          <w:sz w:val="24"/>
          <w:szCs w:val="24"/>
        </w:rPr>
        <w:t>nformation, quality improvement learning and actions for compliance in regard to Covid-19 outbreaks and  nosocomial Covid-19</w:t>
      </w:r>
      <w:r>
        <w:rPr>
          <w:noProof/>
          <w:color w:val="000000"/>
          <w:sz w:val="24"/>
          <w:szCs w:val="24"/>
        </w:rPr>
        <w:t>.</w:t>
      </w:r>
      <w:r w:rsidR="005A0186" w:rsidRPr="005A0186">
        <w:rPr>
          <w:noProof/>
          <w:color w:val="000000"/>
          <w:sz w:val="24"/>
          <w:szCs w:val="24"/>
        </w:rPr>
        <w:t xml:space="preserve"> </w:t>
      </w:r>
    </w:p>
    <w:p w14:paraId="3C9F58AE" w14:textId="254BA278" w:rsidR="005A0186" w:rsidRDefault="005A0186" w:rsidP="005A0186">
      <w:pPr>
        <w:pStyle w:val="ListParagraph"/>
        <w:numPr>
          <w:ilvl w:val="0"/>
          <w:numId w:val="22"/>
        </w:numPr>
        <w:spacing w:after="120"/>
        <w:ind w:right="687"/>
        <w:rPr>
          <w:noProof/>
          <w:color w:val="000000"/>
          <w:sz w:val="24"/>
          <w:szCs w:val="24"/>
        </w:rPr>
      </w:pPr>
      <w:r w:rsidRPr="005A0186">
        <w:rPr>
          <w:noProof/>
          <w:color w:val="000000"/>
          <w:sz w:val="24"/>
          <w:szCs w:val="24"/>
        </w:rPr>
        <w:lastRenderedPageBreak/>
        <w:t xml:space="preserve">Actions and compliance for the </w:t>
      </w:r>
      <w:r w:rsidR="006A1895">
        <w:rPr>
          <w:noProof/>
          <w:color w:val="000000"/>
          <w:sz w:val="24"/>
          <w:szCs w:val="24"/>
        </w:rPr>
        <w:t>notification of Legionella Anisa in the water systems at Coalville Community Hospital in November</w:t>
      </w:r>
      <w:r w:rsidRPr="005A0186">
        <w:rPr>
          <w:noProof/>
          <w:color w:val="000000"/>
          <w:sz w:val="24"/>
          <w:szCs w:val="24"/>
        </w:rPr>
        <w:t xml:space="preserve"> 2021.</w:t>
      </w:r>
    </w:p>
    <w:p w14:paraId="75AC2EAA" w14:textId="43A2186F" w:rsidR="00605C2B" w:rsidRPr="005A0186" w:rsidRDefault="004B21EB" w:rsidP="005A0186">
      <w:pPr>
        <w:pStyle w:val="ListParagraph"/>
        <w:numPr>
          <w:ilvl w:val="0"/>
          <w:numId w:val="22"/>
        </w:numPr>
        <w:spacing w:after="120"/>
        <w:ind w:right="687"/>
        <w:rPr>
          <w:noProof/>
          <w:color w:val="000000"/>
          <w:sz w:val="24"/>
          <w:szCs w:val="24"/>
        </w:rPr>
      </w:pPr>
      <w:r>
        <w:rPr>
          <w:noProof/>
          <w:color w:val="000000"/>
          <w:sz w:val="24"/>
          <w:szCs w:val="24"/>
        </w:rPr>
        <w:t>Podiatry decontamination update</w:t>
      </w:r>
    </w:p>
    <w:p w14:paraId="248BF45D" w14:textId="592EB15B" w:rsidR="00965D2F" w:rsidRDefault="00965D2F" w:rsidP="008511D6">
      <w:pPr>
        <w:spacing w:after="120"/>
        <w:ind w:right="687"/>
        <w:rPr>
          <w:rFonts w:eastAsia="Arial"/>
          <w:bCs/>
          <w:sz w:val="24"/>
          <w:szCs w:val="24"/>
        </w:rPr>
      </w:pPr>
    </w:p>
    <w:p w14:paraId="6F56E70B" w14:textId="77777777" w:rsidR="00055200" w:rsidRDefault="00055200" w:rsidP="008511D6">
      <w:pPr>
        <w:spacing w:after="120"/>
        <w:ind w:right="687"/>
        <w:rPr>
          <w:rFonts w:eastAsia="Arial"/>
          <w:bCs/>
          <w:sz w:val="24"/>
          <w:szCs w:val="24"/>
        </w:rPr>
      </w:pPr>
    </w:p>
    <w:p w14:paraId="282A4C35" w14:textId="77777777" w:rsidR="008511D6" w:rsidRPr="000915F3" w:rsidRDefault="008511D6" w:rsidP="00453DD1">
      <w:pPr>
        <w:spacing w:after="120"/>
        <w:rPr>
          <w:rFonts w:eastAsia="Arial"/>
          <w:bCs/>
          <w:sz w:val="24"/>
          <w:szCs w:val="24"/>
        </w:rPr>
      </w:pPr>
      <w:r w:rsidRPr="000E645A">
        <w:rPr>
          <w:b/>
          <w:color w:val="4F81BD" w:themeColor="accent1"/>
          <w:sz w:val="28"/>
          <w:szCs w:val="28"/>
        </w:rPr>
        <w:t>Analysis of the issue</w:t>
      </w:r>
    </w:p>
    <w:p w14:paraId="74DED7B2" w14:textId="57A98D29" w:rsidR="001527C1" w:rsidRPr="003D34BA" w:rsidRDefault="008511D6" w:rsidP="00453DD1">
      <w:pPr>
        <w:spacing w:after="120"/>
        <w:ind w:right="687"/>
        <w:rPr>
          <w:rStyle w:val="Emphasis"/>
          <w:rFonts w:cstheme="minorBidi"/>
          <w:i w:val="0"/>
          <w:sz w:val="24"/>
          <w:szCs w:val="24"/>
        </w:rPr>
      </w:pPr>
      <w:r>
        <w:rPr>
          <w:b/>
          <w:sz w:val="24"/>
          <w:szCs w:val="24"/>
        </w:rPr>
        <w:t>1</w:t>
      </w:r>
      <w:r w:rsidR="000E2B82" w:rsidRPr="000915F3">
        <w:rPr>
          <w:b/>
          <w:sz w:val="24"/>
          <w:szCs w:val="24"/>
        </w:rPr>
        <w:t>.</w:t>
      </w:r>
      <w:r w:rsidR="000E2B82" w:rsidRPr="000915F3">
        <w:rPr>
          <w:b/>
          <w:sz w:val="24"/>
          <w:szCs w:val="24"/>
        </w:rPr>
        <w:tab/>
      </w:r>
      <w:r w:rsidR="001D318C" w:rsidRPr="000915F3">
        <w:rPr>
          <w:sz w:val="24"/>
          <w:szCs w:val="24"/>
        </w:rPr>
        <w:t xml:space="preserve"> </w:t>
      </w:r>
      <w:r w:rsidR="00F95702">
        <w:rPr>
          <w:rStyle w:val="Emphasis"/>
          <w:rFonts w:cs="Arial"/>
          <w:b/>
          <w:i w:val="0"/>
          <w:iCs/>
          <w:sz w:val="24"/>
          <w:szCs w:val="24"/>
          <w:shd w:val="clear" w:color="auto" w:fill="FFFFFF"/>
        </w:rPr>
        <w:t xml:space="preserve">NHS </w:t>
      </w:r>
      <w:r w:rsidR="001527C1" w:rsidRPr="000E645A">
        <w:rPr>
          <w:rStyle w:val="Emphasis"/>
          <w:rFonts w:cs="Arial"/>
          <w:b/>
          <w:i w:val="0"/>
          <w:iCs/>
          <w:sz w:val="24"/>
          <w:szCs w:val="24"/>
          <w:shd w:val="clear" w:color="auto" w:fill="FFFFFF"/>
        </w:rPr>
        <w:t xml:space="preserve">England &amp; Improvement (NHSE&amp; I) IPC visit and action plan </w:t>
      </w:r>
    </w:p>
    <w:p w14:paraId="0895B23B" w14:textId="41E537E1" w:rsidR="00104613" w:rsidRPr="000915F3" w:rsidRDefault="003D34BA" w:rsidP="00C21560">
      <w:pPr>
        <w:spacing w:after="120"/>
        <w:ind w:left="720" w:right="687" w:hanging="720"/>
        <w:rPr>
          <w:sz w:val="24"/>
          <w:szCs w:val="24"/>
          <w:lang w:val="en-US"/>
        </w:rPr>
      </w:pPr>
      <w:r>
        <w:rPr>
          <w:sz w:val="24"/>
          <w:szCs w:val="24"/>
        </w:rPr>
        <w:t>1</w:t>
      </w:r>
      <w:r w:rsidR="00825D9D" w:rsidRPr="000915F3">
        <w:rPr>
          <w:sz w:val="24"/>
          <w:szCs w:val="24"/>
        </w:rPr>
        <w:t>.1</w:t>
      </w:r>
      <w:r w:rsidR="00825D9D" w:rsidRPr="000915F3">
        <w:rPr>
          <w:sz w:val="24"/>
          <w:szCs w:val="24"/>
        </w:rPr>
        <w:tab/>
      </w:r>
      <w:r w:rsidR="00825D9D">
        <w:rPr>
          <w:sz w:val="24"/>
          <w:szCs w:val="24"/>
        </w:rPr>
        <w:t xml:space="preserve">Following the NHS E &amp; I IPC visit on </w:t>
      </w:r>
      <w:r w:rsidR="00C21560">
        <w:rPr>
          <w:sz w:val="24"/>
          <w:szCs w:val="24"/>
        </w:rPr>
        <w:t>the</w:t>
      </w:r>
      <w:r w:rsidR="004B21EB">
        <w:rPr>
          <w:sz w:val="24"/>
          <w:szCs w:val="24"/>
        </w:rPr>
        <w:t xml:space="preserve"> 14</w:t>
      </w:r>
      <w:r w:rsidR="00C21560">
        <w:rPr>
          <w:sz w:val="24"/>
          <w:szCs w:val="24"/>
        </w:rPr>
        <w:t xml:space="preserve"> October 2021</w:t>
      </w:r>
      <w:r w:rsidR="00825D9D">
        <w:rPr>
          <w:sz w:val="24"/>
          <w:szCs w:val="24"/>
        </w:rPr>
        <w:t xml:space="preserve"> the Trust was rated a</w:t>
      </w:r>
      <w:r w:rsidR="00C21560">
        <w:rPr>
          <w:sz w:val="24"/>
          <w:szCs w:val="24"/>
        </w:rPr>
        <w:t xml:space="preserve">s GREEN. </w:t>
      </w:r>
      <w:r w:rsidR="00825D9D" w:rsidRPr="000915F3">
        <w:rPr>
          <w:sz w:val="24"/>
          <w:szCs w:val="24"/>
        </w:rPr>
        <w:t xml:space="preserve"> </w:t>
      </w:r>
      <w:r w:rsidR="004B21EB">
        <w:rPr>
          <w:sz w:val="24"/>
          <w:szCs w:val="24"/>
        </w:rPr>
        <w:t>Appendix 1 is a copy of the letter following the visit.</w:t>
      </w:r>
      <w:r w:rsidR="004B21EB" w:rsidRPr="004B21EB">
        <w:rPr>
          <w:sz w:val="24"/>
          <w:szCs w:val="24"/>
          <w:lang w:val="en-US"/>
        </w:rPr>
        <w:t xml:space="preserve"> </w:t>
      </w:r>
      <w:r w:rsidR="007344B6">
        <w:rPr>
          <w:sz w:val="24"/>
          <w:szCs w:val="24"/>
          <w:lang w:val="en-US"/>
        </w:rPr>
        <w:t>Overall,</w:t>
      </w:r>
      <w:r w:rsidR="004B21EB">
        <w:rPr>
          <w:sz w:val="24"/>
          <w:szCs w:val="24"/>
          <w:lang w:val="en-US"/>
        </w:rPr>
        <w:t xml:space="preserve"> the trust was commended on its governance arrangements and improved s</w:t>
      </w:r>
      <w:r w:rsidR="007344B6">
        <w:rPr>
          <w:sz w:val="24"/>
          <w:szCs w:val="24"/>
          <w:lang w:val="en-US"/>
        </w:rPr>
        <w:t>tandards</w:t>
      </w:r>
      <w:r w:rsidR="004B21EB">
        <w:rPr>
          <w:sz w:val="24"/>
          <w:szCs w:val="24"/>
          <w:lang w:val="en-US"/>
        </w:rPr>
        <w:t xml:space="preserve"> of infection prevention and control.  The response and welcome received from the staff in LPT was also acknowledged</w:t>
      </w:r>
      <w:r w:rsidR="007344B6">
        <w:rPr>
          <w:sz w:val="24"/>
          <w:szCs w:val="24"/>
          <w:lang w:val="en-US"/>
        </w:rPr>
        <w:t>.</w:t>
      </w:r>
    </w:p>
    <w:p w14:paraId="701631E0" w14:textId="505793AF" w:rsidR="003D34BA" w:rsidRDefault="004B21EB" w:rsidP="007344B6">
      <w:pPr>
        <w:spacing w:after="120"/>
        <w:ind w:left="720" w:right="687" w:hanging="720"/>
        <w:rPr>
          <w:sz w:val="24"/>
          <w:szCs w:val="24"/>
          <w:lang w:val="en-US"/>
        </w:rPr>
      </w:pPr>
      <w:r>
        <w:rPr>
          <w:sz w:val="24"/>
          <w:szCs w:val="24"/>
          <w:lang w:val="en-US"/>
        </w:rPr>
        <w:t>1.2</w:t>
      </w:r>
      <w:r>
        <w:rPr>
          <w:sz w:val="24"/>
          <w:szCs w:val="24"/>
          <w:lang w:val="en-US"/>
        </w:rPr>
        <w:tab/>
      </w:r>
      <w:r w:rsidR="00AF0D80" w:rsidRPr="00F95702">
        <w:rPr>
          <w:sz w:val="24"/>
          <w:szCs w:val="24"/>
          <w:lang w:val="en-US"/>
        </w:rPr>
        <w:t>A</w:t>
      </w:r>
      <w:r>
        <w:rPr>
          <w:sz w:val="24"/>
          <w:szCs w:val="24"/>
          <w:lang w:val="en-US"/>
        </w:rPr>
        <w:t xml:space="preserve"> small </w:t>
      </w:r>
      <w:r w:rsidR="00AF0D80" w:rsidRPr="00F95702">
        <w:rPr>
          <w:sz w:val="24"/>
          <w:szCs w:val="24"/>
          <w:lang w:val="en-US"/>
        </w:rPr>
        <w:t xml:space="preserve">number of </w:t>
      </w:r>
      <w:r w:rsidR="00C21560">
        <w:rPr>
          <w:sz w:val="24"/>
          <w:szCs w:val="24"/>
          <w:lang w:val="en-US"/>
        </w:rPr>
        <w:t>areas for improvement</w:t>
      </w:r>
      <w:r>
        <w:rPr>
          <w:sz w:val="24"/>
          <w:szCs w:val="24"/>
          <w:lang w:val="en-US"/>
        </w:rPr>
        <w:t xml:space="preserve"> </w:t>
      </w:r>
      <w:r w:rsidR="00C21560">
        <w:rPr>
          <w:sz w:val="24"/>
          <w:szCs w:val="24"/>
          <w:lang w:val="en-US"/>
        </w:rPr>
        <w:t xml:space="preserve">were </w:t>
      </w:r>
      <w:r w:rsidR="007344B6">
        <w:rPr>
          <w:sz w:val="24"/>
          <w:szCs w:val="24"/>
          <w:lang w:val="en-US"/>
        </w:rPr>
        <w:t>identified at</w:t>
      </w:r>
      <w:r>
        <w:rPr>
          <w:sz w:val="24"/>
          <w:szCs w:val="24"/>
          <w:lang w:val="en-US"/>
        </w:rPr>
        <w:t xml:space="preserve"> the visit </w:t>
      </w:r>
      <w:r w:rsidR="00C21560">
        <w:rPr>
          <w:sz w:val="24"/>
          <w:szCs w:val="24"/>
          <w:lang w:val="en-US"/>
        </w:rPr>
        <w:t>and a plan developed to address these (</w:t>
      </w:r>
      <w:r w:rsidR="007344B6">
        <w:rPr>
          <w:sz w:val="24"/>
          <w:szCs w:val="24"/>
          <w:lang w:val="en-US"/>
        </w:rPr>
        <w:t>A</w:t>
      </w:r>
      <w:r>
        <w:rPr>
          <w:sz w:val="24"/>
          <w:szCs w:val="24"/>
          <w:lang w:val="en-US"/>
        </w:rPr>
        <w:t>ppendix 2</w:t>
      </w:r>
      <w:r w:rsidR="00C21560">
        <w:rPr>
          <w:sz w:val="24"/>
          <w:szCs w:val="24"/>
          <w:lang w:val="en-US"/>
        </w:rPr>
        <w:t xml:space="preserve">). </w:t>
      </w:r>
    </w:p>
    <w:p w14:paraId="4AC99251" w14:textId="77777777" w:rsidR="007344B6" w:rsidRPr="007344B6" w:rsidRDefault="007344B6" w:rsidP="007344B6">
      <w:pPr>
        <w:spacing w:after="120"/>
        <w:ind w:left="720" w:right="687" w:hanging="720"/>
        <w:rPr>
          <w:sz w:val="24"/>
          <w:szCs w:val="24"/>
          <w:lang w:val="en-US"/>
        </w:rPr>
      </w:pPr>
    </w:p>
    <w:p w14:paraId="69BC722C" w14:textId="555BC59E" w:rsidR="00527547" w:rsidRPr="000915F3" w:rsidRDefault="00306DC5" w:rsidP="008511D6">
      <w:pPr>
        <w:spacing w:after="120"/>
        <w:ind w:right="687"/>
        <w:rPr>
          <w:rFonts w:cs="Arial"/>
          <w:b/>
          <w:sz w:val="24"/>
          <w:szCs w:val="24"/>
        </w:rPr>
      </w:pPr>
      <w:r>
        <w:rPr>
          <w:rFonts w:cs="Arial"/>
          <w:b/>
          <w:sz w:val="24"/>
          <w:szCs w:val="24"/>
        </w:rPr>
        <w:t>2</w:t>
      </w:r>
      <w:r w:rsidR="00AF0D80" w:rsidRPr="000915F3">
        <w:rPr>
          <w:rFonts w:cs="Arial"/>
          <w:b/>
          <w:sz w:val="24"/>
          <w:szCs w:val="24"/>
        </w:rPr>
        <w:t>.</w:t>
      </w:r>
      <w:r w:rsidR="00AF0D80" w:rsidRPr="000915F3">
        <w:rPr>
          <w:rFonts w:cs="Arial"/>
          <w:b/>
          <w:sz w:val="24"/>
          <w:szCs w:val="24"/>
        </w:rPr>
        <w:tab/>
      </w:r>
      <w:r w:rsidR="00C21560">
        <w:rPr>
          <w:rFonts w:cs="Arial"/>
          <w:b/>
          <w:sz w:val="24"/>
          <w:szCs w:val="24"/>
        </w:rPr>
        <w:t xml:space="preserve">Legionella Anisa identified in Coalville Community Hospital </w:t>
      </w:r>
      <w:r w:rsidR="002A75D3">
        <w:rPr>
          <w:rFonts w:cs="Arial"/>
          <w:b/>
          <w:sz w:val="24"/>
          <w:szCs w:val="24"/>
        </w:rPr>
        <w:t xml:space="preserve"> </w:t>
      </w:r>
    </w:p>
    <w:p w14:paraId="7F7204A8" w14:textId="3110C392" w:rsidR="00352195" w:rsidRPr="00BC3E0B" w:rsidRDefault="00306DC5" w:rsidP="00352195">
      <w:pPr>
        <w:spacing w:after="120"/>
        <w:ind w:left="720" w:hanging="720"/>
        <w:rPr>
          <w:rFonts w:cstheme="minorHAnsi"/>
          <w:sz w:val="24"/>
          <w:szCs w:val="24"/>
        </w:rPr>
      </w:pPr>
      <w:r>
        <w:rPr>
          <w:sz w:val="24"/>
          <w:szCs w:val="24"/>
        </w:rPr>
        <w:t>2</w:t>
      </w:r>
      <w:r w:rsidR="005F5260" w:rsidRPr="000915F3">
        <w:rPr>
          <w:sz w:val="24"/>
          <w:szCs w:val="24"/>
        </w:rPr>
        <w:t>.1</w:t>
      </w:r>
      <w:r w:rsidR="005F5260" w:rsidRPr="000915F3">
        <w:rPr>
          <w:sz w:val="24"/>
          <w:szCs w:val="24"/>
        </w:rPr>
        <w:tab/>
      </w:r>
      <w:r w:rsidR="00352195" w:rsidRPr="00BC3E0B">
        <w:rPr>
          <w:sz w:val="24"/>
          <w:szCs w:val="24"/>
        </w:rPr>
        <w:t xml:space="preserve">Precautionary water treatment work is now under way at </w:t>
      </w:r>
      <w:r w:rsidR="00352195">
        <w:rPr>
          <w:sz w:val="24"/>
          <w:szCs w:val="24"/>
        </w:rPr>
        <w:t>Coalville Community Hospital</w:t>
      </w:r>
      <w:r w:rsidR="007344B6">
        <w:rPr>
          <w:sz w:val="24"/>
          <w:szCs w:val="24"/>
        </w:rPr>
        <w:t xml:space="preserve"> (CCH)</w:t>
      </w:r>
      <w:r w:rsidR="00352195">
        <w:rPr>
          <w:sz w:val="24"/>
          <w:szCs w:val="24"/>
        </w:rPr>
        <w:t xml:space="preserve"> </w:t>
      </w:r>
      <w:r w:rsidR="00352195" w:rsidRPr="00BC3E0B">
        <w:rPr>
          <w:sz w:val="24"/>
          <w:szCs w:val="24"/>
        </w:rPr>
        <w:t>following testing</w:t>
      </w:r>
      <w:r w:rsidR="00352195">
        <w:rPr>
          <w:sz w:val="24"/>
          <w:szCs w:val="24"/>
        </w:rPr>
        <w:t xml:space="preserve"> after routine planned preventative management identified increased temperatures during the monitoring phase</w:t>
      </w:r>
      <w:r w:rsidR="00352195" w:rsidRPr="00BC3E0B">
        <w:rPr>
          <w:sz w:val="24"/>
          <w:szCs w:val="24"/>
        </w:rPr>
        <w:t>.</w:t>
      </w:r>
      <w:r w:rsidR="00352195">
        <w:rPr>
          <w:sz w:val="24"/>
          <w:szCs w:val="24"/>
        </w:rPr>
        <w:t xml:space="preserve"> </w:t>
      </w:r>
      <w:r w:rsidR="00352195" w:rsidRPr="00BC3E0B">
        <w:rPr>
          <w:sz w:val="24"/>
          <w:szCs w:val="24"/>
        </w:rPr>
        <w:t xml:space="preserve">Water samples taken from </w:t>
      </w:r>
      <w:r w:rsidR="00352195">
        <w:rPr>
          <w:sz w:val="24"/>
          <w:szCs w:val="24"/>
        </w:rPr>
        <w:t>CCH</w:t>
      </w:r>
      <w:r w:rsidR="00352195" w:rsidRPr="00BC3E0B">
        <w:rPr>
          <w:sz w:val="24"/>
          <w:szCs w:val="24"/>
        </w:rPr>
        <w:t xml:space="preserve"> indic</w:t>
      </w:r>
      <w:r w:rsidR="00352195">
        <w:rPr>
          <w:sz w:val="24"/>
          <w:szCs w:val="24"/>
        </w:rPr>
        <w:t xml:space="preserve">ated </w:t>
      </w:r>
      <w:r w:rsidR="00352195" w:rsidRPr="00BC3E0B">
        <w:rPr>
          <w:sz w:val="24"/>
          <w:szCs w:val="24"/>
        </w:rPr>
        <w:t xml:space="preserve">the presence of legionella. As a </w:t>
      </w:r>
      <w:r w:rsidR="004B21EB" w:rsidRPr="00BC3E0B">
        <w:rPr>
          <w:sz w:val="24"/>
          <w:szCs w:val="24"/>
        </w:rPr>
        <w:t>precaution, immediate</w:t>
      </w:r>
      <w:r w:rsidR="00352195" w:rsidRPr="00BC3E0B">
        <w:rPr>
          <w:sz w:val="24"/>
          <w:szCs w:val="24"/>
        </w:rPr>
        <w:t xml:space="preserve"> action across the whole building</w:t>
      </w:r>
      <w:r w:rsidR="00352195">
        <w:rPr>
          <w:sz w:val="24"/>
          <w:szCs w:val="24"/>
        </w:rPr>
        <w:t xml:space="preserve"> was undertaken </w:t>
      </w:r>
      <w:r w:rsidR="00352195" w:rsidRPr="00BC3E0B">
        <w:rPr>
          <w:sz w:val="24"/>
          <w:szCs w:val="24"/>
        </w:rPr>
        <w:t xml:space="preserve">with advice and support from our </w:t>
      </w:r>
      <w:r w:rsidR="007344B6">
        <w:rPr>
          <w:sz w:val="24"/>
          <w:szCs w:val="24"/>
        </w:rPr>
        <w:t xml:space="preserve">Trust </w:t>
      </w:r>
      <w:r w:rsidR="00352195" w:rsidRPr="00BC3E0B">
        <w:rPr>
          <w:sz w:val="24"/>
          <w:szCs w:val="24"/>
        </w:rPr>
        <w:t xml:space="preserve">water safety group and an independent water advisor (the authorising engineer).   </w:t>
      </w:r>
      <w:r w:rsidR="007344B6">
        <w:rPr>
          <w:sz w:val="24"/>
          <w:szCs w:val="24"/>
        </w:rPr>
        <w:t>Further detail is provided under the water management section</w:t>
      </w:r>
      <w:r w:rsidR="0045413C">
        <w:rPr>
          <w:sz w:val="24"/>
          <w:szCs w:val="24"/>
        </w:rPr>
        <w:t xml:space="preserve"> 7.</w:t>
      </w:r>
    </w:p>
    <w:p w14:paraId="5B56CC0A" w14:textId="77777777" w:rsidR="005A1B35" w:rsidRDefault="005A1B35" w:rsidP="000C23C9">
      <w:pPr>
        <w:pStyle w:val="BodyText"/>
        <w:spacing w:after="120" w:line="276" w:lineRule="auto"/>
        <w:ind w:left="720" w:right="-46" w:hanging="620"/>
      </w:pPr>
    </w:p>
    <w:p w14:paraId="2BDE9385" w14:textId="2468DE02" w:rsidR="00677F05" w:rsidRPr="002038FA" w:rsidRDefault="00306DC5" w:rsidP="002038FA">
      <w:pPr>
        <w:spacing w:after="120"/>
        <w:rPr>
          <w:b/>
          <w:sz w:val="24"/>
          <w:szCs w:val="24"/>
        </w:rPr>
      </w:pPr>
      <w:r>
        <w:rPr>
          <w:b/>
          <w:sz w:val="24"/>
          <w:szCs w:val="24"/>
        </w:rPr>
        <w:t>3</w:t>
      </w:r>
      <w:r w:rsidR="00527547" w:rsidRPr="000915F3">
        <w:rPr>
          <w:b/>
          <w:sz w:val="24"/>
          <w:szCs w:val="24"/>
        </w:rPr>
        <w:t>.</w:t>
      </w:r>
      <w:r w:rsidR="00527547" w:rsidRPr="000915F3">
        <w:rPr>
          <w:b/>
          <w:sz w:val="24"/>
          <w:szCs w:val="24"/>
        </w:rPr>
        <w:tab/>
      </w:r>
      <w:r w:rsidR="001527C1" w:rsidRPr="000915F3">
        <w:rPr>
          <w:b/>
          <w:sz w:val="24"/>
          <w:szCs w:val="24"/>
        </w:rPr>
        <w:t>COVID-19 pandemic</w:t>
      </w:r>
    </w:p>
    <w:p w14:paraId="14CE20C6" w14:textId="6F138C87" w:rsidR="00677F05" w:rsidRPr="000915F3" w:rsidRDefault="00306DC5" w:rsidP="002038FA">
      <w:pPr>
        <w:spacing w:after="120"/>
        <w:ind w:left="720" w:hanging="720"/>
        <w:rPr>
          <w:sz w:val="24"/>
          <w:szCs w:val="24"/>
        </w:rPr>
      </w:pPr>
      <w:r>
        <w:rPr>
          <w:sz w:val="24"/>
          <w:szCs w:val="24"/>
        </w:rPr>
        <w:t>3</w:t>
      </w:r>
      <w:r w:rsidR="001527C1" w:rsidRPr="000915F3">
        <w:rPr>
          <w:sz w:val="24"/>
          <w:szCs w:val="24"/>
        </w:rPr>
        <w:t>.1</w:t>
      </w:r>
      <w:r w:rsidR="001527C1" w:rsidRPr="000915F3">
        <w:rPr>
          <w:sz w:val="24"/>
          <w:szCs w:val="24"/>
        </w:rPr>
        <w:tab/>
      </w:r>
      <w:r w:rsidR="00677F05" w:rsidRPr="000915F3">
        <w:rPr>
          <w:sz w:val="24"/>
          <w:szCs w:val="24"/>
        </w:rPr>
        <w:t>The Covid</w:t>
      </w:r>
      <w:r w:rsidR="00502B09">
        <w:rPr>
          <w:sz w:val="24"/>
          <w:szCs w:val="24"/>
        </w:rPr>
        <w:t>-19</w:t>
      </w:r>
      <w:r w:rsidR="00677F05" w:rsidRPr="000915F3">
        <w:rPr>
          <w:sz w:val="24"/>
          <w:szCs w:val="24"/>
        </w:rPr>
        <w:t xml:space="preserve"> pandemic continues into its </w:t>
      </w:r>
      <w:r w:rsidR="0096762B">
        <w:rPr>
          <w:sz w:val="24"/>
          <w:szCs w:val="24"/>
        </w:rPr>
        <w:t>21</w:t>
      </w:r>
      <w:r w:rsidR="004B21EB" w:rsidRPr="0096762B">
        <w:rPr>
          <w:sz w:val="24"/>
          <w:szCs w:val="24"/>
          <w:vertAlign w:val="superscript"/>
        </w:rPr>
        <w:t>st</w:t>
      </w:r>
      <w:r w:rsidR="004B21EB">
        <w:rPr>
          <w:sz w:val="24"/>
          <w:szCs w:val="24"/>
        </w:rPr>
        <w:t xml:space="preserve"> </w:t>
      </w:r>
      <w:r w:rsidR="004B21EB" w:rsidRPr="000915F3">
        <w:rPr>
          <w:sz w:val="24"/>
          <w:szCs w:val="24"/>
        </w:rPr>
        <w:t>month</w:t>
      </w:r>
      <w:r w:rsidR="00677F05" w:rsidRPr="000915F3">
        <w:rPr>
          <w:sz w:val="24"/>
          <w:szCs w:val="24"/>
        </w:rPr>
        <w:t xml:space="preserve"> since being declared </w:t>
      </w:r>
      <w:r w:rsidR="00200E99">
        <w:rPr>
          <w:sz w:val="24"/>
          <w:szCs w:val="24"/>
        </w:rPr>
        <w:t xml:space="preserve">initially </w:t>
      </w:r>
      <w:r w:rsidR="00677F05" w:rsidRPr="000915F3">
        <w:rPr>
          <w:sz w:val="24"/>
          <w:szCs w:val="24"/>
        </w:rPr>
        <w:t>as a national level 4 incident within the United Kingdom.</w:t>
      </w:r>
    </w:p>
    <w:p w14:paraId="42CBFC09" w14:textId="53588C6E" w:rsidR="001527C1" w:rsidRPr="000915F3" w:rsidRDefault="00306DC5" w:rsidP="008511D6">
      <w:pPr>
        <w:spacing w:after="120"/>
        <w:ind w:left="720" w:hanging="720"/>
        <w:rPr>
          <w:sz w:val="24"/>
          <w:szCs w:val="24"/>
        </w:rPr>
      </w:pPr>
      <w:r>
        <w:rPr>
          <w:sz w:val="24"/>
          <w:szCs w:val="24"/>
        </w:rPr>
        <w:t>3</w:t>
      </w:r>
      <w:r w:rsidR="00677F05" w:rsidRPr="000915F3">
        <w:rPr>
          <w:sz w:val="24"/>
          <w:szCs w:val="24"/>
        </w:rPr>
        <w:t>.2</w:t>
      </w:r>
      <w:r w:rsidR="00677F05" w:rsidRPr="000915F3">
        <w:rPr>
          <w:sz w:val="24"/>
          <w:szCs w:val="24"/>
        </w:rPr>
        <w:tab/>
      </w:r>
      <w:r w:rsidR="001527C1" w:rsidRPr="000915F3">
        <w:rPr>
          <w:sz w:val="24"/>
          <w:szCs w:val="24"/>
        </w:rPr>
        <w:t>C</w:t>
      </w:r>
      <w:r w:rsidR="000C23C9">
        <w:rPr>
          <w:sz w:val="24"/>
          <w:szCs w:val="24"/>
        </w:rPr>
        <w:t>ovid</w:t>
      </w:r>
      <w:r w:rsidR="001527C1" w:rsidRPr="000915F3">
        <w:rPr>
          <w:sz w:val="24"/>
          <w:szCs w:val="24"/>
        </w:rPr>
        <w:t>-19 is an infectious disease caused by a newly discovered coronavirus. Coronaviruses are a family of viruses that cause diseases in animals. Seven, including C</w:t>
      </w:r>
      <w:r w:rsidR="000C23C9">
        <w:rPr>
          <w:sz w:val="24"/>
          <w:szCs w:val="24"/>
        </w:rPr>
        <w:t>ovid</w:t>
      </w:r>
      <w:r w:rsidR="001527C1" w:rsidRPr="000915F3">
        <w:rPr>
          <w:sz w:val="24"/>
          <w:szCs w:val="24"/>
        </w:rPr>
        <w:t>-19 have made the jump to humans.</w:t>
      </w:r>
    </w:p>
    <w:p w14:paraId="2690B046" w14:textId="5E17A0C9" w:rsidR="001527C1" w:rsidRPr="000915F3" w:rsidRDefault="00306DC5" w:rsidP="008511D6">
      <w:pPr>
        <w:spacing w:after="120"/>
        <w:ind w:left="720" w:hanging="720"/>
        <w:rPr>
          <w:sz w:val="24"/>
          <w:szCs w:val="24"/>
        </w:rPr>
      </w:pPr>
      <w:r>
        <w:rPr>
          <w:sz w:val="24"/>
          <w:szCs w:val="24"/>
        </w:rPr>
        <w:t>3</w:t>
      </w:r>
      <w:r w:rsidR="00527547" w:rsidRPr="000915F3">
        <w:rPr>
          <w:sz w:val="24"/>
          <w:szCs w:val="24"/>
        </w:rPr>
        <w:t>.3</w:t>
      </w:r>
      <w:r w:rsidR="001527C1" w:rsidRPr="000915F3">
        <w:rPr>
          <w:sz w:val="24"/>
          <w:szCs w:val="24"/>
        </w:rPr>
        <w:tab/>
        <w:t>C</w:t>
      </w:r>
      <w:r w:rsidR="000C23C9">
        <w:rPr>
          <w:sz w:val="24"/>
          <w:szCs w:val="24"/>
        </w:rPr>
        <w:t>ovid</w:t>
      </w:r>
      <w:r w:rsidR="001527C1" w:rsidRPr="000915F3">
        <w:rPr>
          <w:sz w:val="24"/>
          <w:szCs w:val="24"/>
        </w:rPr>
        <w:t xml:space="preserve">-19 is closely related to Severe Acute Respiratory Syndrome (SARS) which swept around the world in 2002 to 2003. </w:t>
      </w:r>
    </w:p>
    <w:p w14:paraId="17C74074" w14:textId="7FDEC98C" w:rsidR="00677F05" w:rsidRPr="000915F3" w:rsidRDefault="00306DC5" w:rsidP="000C23C9">
      <w:pPr>
        <w:pStyle w:val="NormalWeb"/>
        <w:spacing w:before="0" w:beforeAutospacing="0" w:after="120" w:afterAutospacing="0" w:line="276" w:lineRule="auto"/>
        <w:ind w:left="720" w:hanging="720"/>
        <w:rPr>
          <w:rFonts w:asciiTheme="minorHAnsi" w:hAnsiTheme="minorHAnsi" w:cs="Arial"/>
        </w:rPr>
      </w:pPr>
      <w:r>
        <w:rPr>
          <w:rFonts w:asciiTheme="minorHAnsi" w:hAnsiTheme="minorHAnsi" w:cs="Arial"/>
        </w:rPr>
        <w:t>3</w:t>
      </w:r>
      <w:r w:rsidR="005A1B35" w:rsidRPr="000915F3">
        <w:rPr>
          <w:rFonts w:asciiTheme="minorHAnsi" w:hAnsiTheme="minorHAnsi" w:cs="Arial"/>
        </w:rPr>
        <w:t>.</w:t>
      </w:r>
      <w:r w:rsidR="00502B09">
        <w:rPr>
          <w:rFonts w:asciiTheme="minorHAnsi" w:hAnsiTheme="minorHAnsi" w:cs="Arial"/>
        </w:rPr>
        <w:t>4</w:t>
      </w:r>
      <w:r w:rsidR="005A1B35" w:rsidRPr="000915F3">
        <w:rPr>
          <w:rFonts w:asciiTheme="minorHAnsi" w:hAnsiTheme="minorHAnsi" w:cs="Arial"/>
        </w:rPr>
        <w:tab/>
      </w:r>
      <w:r w:rsidR="00502B09">
        <w:rPr>
          <w:rFonts w:asciiTheme="minorHAnsi" w:hAnsiTheme="minorHAnsi" w:cs="Arial"/>
        </w:rPr>
        <w:t>National g</w:t>
      </w:r>
      <w:r w:rsidR="001527C1" w:rsidRPr="000915F3">
        <w:rPr>
          <w:rFonts w:asciiTheme="minorHAnsi" w:hAnsiTheme="minorHAnsi" w:cs="Arial"/>
        </w:rPr>
        <w:t xml:space="preserve">uidelines and </w:t>
      </w:r>
      <w:r w:rsidR="004B21EB" w:rsidRPr="000915F3">
        <w:rPr>
          <w:rFonts w:asciiTheme="minorHAnsi" w:hAnsiTheme="minorHAnsi" w:cs="Arial"/>
        </w:rPr>
        <w:t>communications issued</w:t>
      </w:r>
      <w:r w:rsidR="00677F05" w:rsidRPr="000915F3">
        <w:rPr>
          <w:rFonts w:asciiTheme="minorHAnsi" w:hAnsiTheme="minorHAnsi" w:cs="Arial"/>
        </w:rPr>
        <w:t xml:space="preserve"> continue be</w:t>
      </w:r>
      <w:r w:rsidR="001527C1" w:rsidRPr="000915F3">
        <w:rPr>
          <w:rFonts w:asciiTheme="minorHAnsi" w:hAnsiTheme="minorHAnsi" w:cs="Arial"/>
        </w:rPr>
        <w:t xml:space="preserve"> logged through the Trust Incident Control Centre</w:t>
      </w:r>
      <w:r w:rsidR="004B21EB">
        <w:rPr>
          <w:rFonts w:asciiTheme="minorHAnsi" w:hAnsiTheme="minorHAnsi" w:cs="Arial"/>
        </w:rPr>
        <w:t xml:space="preserve"> and or Clinical Reference Group</w:t>
      </w:r>
      <w:r w:rsidR="001527C1" w:rsidRPr="000915F3">
        <w:rPr>
          <w:rFonts w:asciiTheme="minorHAnsi" w:hAnsiTheme="minorHAnsi" w:cs="Arial"/>
        </w:rPr>
        <w:t xml:space="preserve"> and action cards for staff </w:t>
      </w:r>
      <w:r w:rsidR="004B21EB">
        <w:rPr>
          <w:rFonts w:asciiTheme="minorHAnsi" w:hAnsiTheme="minorHAnsi" w:cs="Arial"/>
        </w:rPr>
        <w:t>guidance</w:t>
      </w:r>
      <w:r w:rsidR="00677F05" w:rsidRPr="000915F3">
        <w:rPr>
          <w:rFonts w:asciiTheme="minorHAnsi" w:hAnsiTheme="minorHAnsi" w:cs="Arial"/>
        </w:rPr>
        <w:t xml:space="preserve"> are updated </w:t>
      </w:r>
      <w:r w:rsidR="001527C1" w:rsidRPr="000915F3">
        <w:rPr>
          <w:rFonts w:asciiTheme="minorHAnsi" w:hAnsiTheme="minorHAnsi" w:cs="Arial"/>
        </w:rPr>
        <w:t xml:space="preserve">to </w:t>
      </w:r>
      <w:r w:rsidR="0045413C" w:rsidRPr="000915F3">
        <w:rPr>
          <w:rFonts w:asciiTheme="minorHAnsi" w:hAnsiTheme="minorHAnsi" w:cs="Arial"/>
        </w:rPr>
        <w:t>ensure as</w:t>
      </w:r>
      <w:r w:rsidR="001527C1" w:rsidRPr="000915F3">
        <w:rPr>
          <w:rFonts w:asciiTheme="minorHAnsi" w:hAnsiTheme="minorHAnsi" w:cs="Arial"/>
        </w:rPr>
        <w:t xml:space="preserve"> a Trust we have responded in an evidence-based way to maintain the safety of patients, staff, volunteers and contractors.</w:t>
      </w:r>
      <w:r w:rsidR="00677F05" w:rsidRPr="000915F3">
        <w:rPr>
          <w:rFonts w:asciiTheme="minorHAnsi" w:hAnsiTheme="minorHAnsi" w:cs="Arial"/>
        </w:rPr>
        <w:t xml:space="preserve"> A weekly Covid</w:t>
      </w:r>
      <w:r w:rsidR="00502B09">
        <w:rPr>
          <w:rFonts w:asciiTheme="minorHAnsi" w:hAnsiTheme="minorHAnsi" w:cs="Arial"/>
        </w:rPr>
        <w:t>-19</w:t>
      </w:r>
      <w:r w:rsidR="00677F05" w:rsidRPr="000915F3">
        <w:rPr>
          <w:rFonts w:asciiTheme="minorHAnsi" w:hAnsiTheme="minorHAnsi" w:cs="Arial"/>
        </w:rPr>
        <w:t xml:space="preserve"> bulletin is emailed out on a Wednesday afternoon with all recent updated </w:t>
      </w:r>
      <w:r w:rsidR="00502B09">
        <w:rPr>
          <w:rFonts w:asciiTheme="minorHAnsi" w:hAnsiTheme="minorHAnsi" w:cs="Arial"/>
        </w:rPr>
        <w:t xml:space="preserve">guidance, advice and news </w:t>
      </w:r>
      <w:r w:rsidR="00883DA2" w:rsidRPr="000915F3">
        <w:rPr>
          <w:rFonts w:asciiTheme="minorHAnsi" w:hAnsiTheme="minorHAnsi" w:cs="Arial"/>
        </w:rPr>
        <w:t>and sent</w:t>
      </w:r>
      <w:r w:rsidR="00677F05" w:rsidRPr="000915F3">
        <w:rPr>
          <w:rFonts w:asciiTheme="minorHAnsi" w:hAnsiTheme="minorHAnsi" w:cs="Arial"/>
        </w:rPr>
        <w:t xml:space="preserve"> to all staff within the trust.</w:t>
      </w:r>
    </w:p>
    <w:p w14:paraId="52005F82" w14:textId="5ED2EE8C" w:rsidR="009C255F" w:rsidRPr="000915F3" w:rsidRDefault="00306DC5" w:rsidP="000C23C9">
      <w:pPr>
        <w:pStyle w:val="NormalWeb"/>
        <w:spacing w:before="0" w:beforeAutospacing="0" w:after="120" w:afterAutospacing="0" w:line="276" w:lineRule="auto"/>
        <w:ind w:left="720" w:hanging="720"/>
        <w:rPr>
          <w:rFonts w:asciiTheme="minorHAnsi" w:hAnsiTheme="minorHAnsi" w:cs="Arial"/>
        </w:rPr>
      </w:pPr>
      <w:r>
        <w:rPr>
          <w:rFonts w:asciiTheme="minorHAnsi" w:hAnsiTheme="minorHAnsi" w:cs="Arial"/>
        </w:rPr>
        <w:t>3</w:t>
      </w:r>
      <w:r w:rsidR="00527547" w:rsidRPr="000915F3">
        <w:rPr>
          <w:rFonts w:asciiTheme="minorHAnsi" w:hAnsiTheme="minorHAnsi" w:cs="Arial"/>
        </w:rPr>
        <w:t>.</w:t>
      </w:r>
      <w:r w:rsidR="00502B09">
        <w:rPr>
          <w:rFonts w:asciiTheme="minorHAnsi" w:hAnsiTheme="minorHAnsi" w:cs="Arial"/>
        </w:rPr>
        <w:t>5</w:t>
      </w:r>
      <w:r w:rsidR="00527547" w:rsidRPr="000915F3">
        <w:rPr>
          <w:rFonts w:asciiTheme="minorHAnsi" w:hAnsiTheme="minorHAnsi" w:cs="Arial"/>
        </w:rPr>
        <w:tab/>
      </w:r>
      <w:r w:rsidR="00437F65" w:rsidRPr="000915F3">
        <w:rPr>
          <w:rFonts w:asciiTheme="minorHAnsi" w:hAnsiTheme="minorHAnsi" w:cs="Arial"/>
        </w:rPr>
        <w:t>L</w:t>
      </w:r>
      <w:r w:rsidR="00677F05" w:rsidRPr="000915F3">
        <w:rPr>
          <w:rFonts w:asciiTheme="minorHAnsi" w:hAnsiTheme="minorHAnsi" w:cs="Arial"/>
        </w:rPr>
        <w:t xml:space="preserve">ateral flow testing for all staff within LPT </w:t>
      </w:r>
      <w:r w:rsidR="00437F65" w:rsidRPr="000915F3">
        <w:rPr>
          <w:rFonts w:asciiTheme="minorHAnsi" w:hAnsiTheme="minorHAnsi" w:cs="Arial"/>
        </w:rPr>
        <w:t>continues to be supported and has been successful in identifying a number of staff who had a positive result despite being asymptomatic</w:t>
      </w:r>
      <w:r w:rsidR="00677F05" w:rsidRPr="000915F3">
        <w:rPr>
          <w:rFonts w:asciiTheme="minorHAnsi" w:hAnsiTheme="minorHAnsi" w:cs="Arial"/>
        </w:rPr>
        <w:t xml:space="preserve">. </w:t>
      </w:r>
    </w:p>
    <w:p w14:paraId="735CCEFF" w14:textId="22CC530C" w:rsidR="005A1B35" w:rsidRPr="00A37EF4" w:rsidRDefault="00306DC5" w:rsidP="008511D6">
      <w:pPr>
        <w:pStyle w:val="NormalWeb"/>
        <w:spacing w:before="0" w:beforeAutospacing="0" w:after="120" w:afterAutospacing="0" w:line="276" w:lineRule="auto"/>
        <w:ind w:left="720" w:hanging="720"/>
        <w:rPr>
          <w:rFonts w:ascii="Calibri" w:hAnsi="Calibri"/>
        </w:rPr>
      </w:pPr>
      <w:r>
        <w:rPr>
          <w:rFonts w:asciiTheme="minorHAnsi" w:hAnsiTheme="minorHAnsi" w:cs="Arial"/>
        </w:rPr>
        <w:lastRenderedPageBreak/>
        <w:t>3</w:t>
      </w:r>
      <w:r w:rsidR="00527547" w:rsidRPr="000915F3">
        <w:rPr>
          <w:rFonts w:asciiTheme="minorHAnsi" w:hAnsiTheme="minorHAnsi" w:cs="Arial"/>
        </w:rPr>
        <w:t>.</w:t>
      </w:r>
      <w:r w:rsidR="00502B09">
        <w:rPr>
          <w:rFonts w:asciiTheme="minorHAnsi" w:hAnsiTheme="minorHAnsi" w:cs="Arial"/>
        </w:rPr>
        <w:t>6</w:t>
      </w:r>
      <w:r w:rsidR="00527547" w:rsidRPr="000915F3">
        <w:rPr>
          <w:rFonts w:asciiTheme="minorHAnsi" w:hAnsiTheme="minorHAnsi" w:cs="Arial"/>
        </w:rPr>
        <w:tab/>
      </w:r>
      <w:bookmarkStart w:id="0" w:name="_Hlk89436979"/>
      <w:r w:rsidR="005A1B35" w:rsidRPr="00A37EF4">
        <w:rPr>
          <w:rFonts w:ascii="Calibri" w:hAnsi="Calibri"/>
        </w:rPr>
        <w:t xml:space="preserve">LPT figures for Covid 30 March 2020 until </w:t>
      </w:r>
      <w:r w:rsidR="0096762B" w:rsidRPr="00A37EF4">
        <w:rPr>
          <w:rFonts w:ascii="Calibri" w:hAnsi="Calibri"/>
        </w:rPr>
        <w:t>30 November</w:t>
      </w:r>
      <w:r w:rsidR="005A1B35" w:rsidRPr="00A37EF4">
        <w:rPr>
          <w:rFonts w:ascii="Calibri" w:hAnsi="Calibri"/>
        </w:rPr>
        <w:t xml:space="preserve"> 2021 are:</w:t>
      </w:r>
    </w:p>
    <w:p w14:paraId="4A7E057F" w14:textId="3B240C72" w:rsidR="005A1B35" w:rsidRPr="00A37EF4" w:rsidRDefault="005A1B35" w:rsidP="004B21EB">
      <w:pPr>
        <w:pStyle w:val="NormalWeb"/>
        <w:numPr>
          <w:ilvl w:val="0"/>
          <w:numId w:val="29"/>
        </w:numPr>
        <w:spacing w:before="0" w:beforeAutospacing="0" w:after="0" w:afterAutospacing="0"/>
        <w:rPr>
          <w:rFonts w:ascii="Calibri" w:hAnsi="Calibri"/>
        </w:rPr>
      </w:pPr>
      <w:bookmarkStart w:id="1" w:name="_Hlk89351655"/>
      <w:r w:rsidRPr="00A37EF4">
        <w:rPr>
          <w:rFonts w:ascii="Calibri" w:hAnsi="Calibri"/>
        </w:rPr>
        <w:t>Total number of positive cases – </w:t>
      </w:r>
      <w:r w:rsidR="00A5009D" w:rsidRPr="00A37EF4">
        <w:rPr>
          <w:rFonts w:ascii="Calibri" w:hAnsi="Calibri"/>
        </w:rPr>
        <w:t>726</w:t>
      </w:r>
    </w:p>
    <w:p w14:paraId="5FA5B286" w14:textId="70E982EE" w:rsidR="005A1B35" w:rsidRPr="00A37EF4" w:rsidRDefault="005A1B35" w:rsidP="004B21EB">
      <w:pPr>
        <w:pStyle w:val="NormalWeb"/>
        <w:numPr>
          <w:ilvl w:val="0"/>
          <w:numId w:val="29"/>
        </w:numPr>
        <w:spacing w:before="0" w:beforeAutospacing="0" w:after="0" w:afterAutospacing="0"/>
        <w:rPr>
          <w:rFonts w:ascii="Calibri" w:hAnsi="Calibri"/>
        </w:rPr>
      </w:pPr>
      <w:r w:rsidRPr="00A37EF4">
        <w:rPr>
          <w:rFonts w:ascii="Calibri" w:hAnsi="Calibri"/>
        </w:rPr>
        <w:t xml:space="preserve">Total number of positive cases on the day of admission – </w:t>
      </w:r>
      <w:r w:rsidR="00A5009D" w:rsidRPr="00A37EF4">
        <w:rPr>
          <w:rFonts w:ascii="Calibri" w:hAnsi="Calibri"/>
        </w:rPr>
        <w:t>424</w:t>
      </w:r>
    </w:p>
    <w:p w14:paraId="72BEB344" w14:textId="0CA0E9A1" w:rsidR="005A1B35" w:rsidRPr="00A37EF4" w:rsidRDefault="005A1B35" w:rsidP="004B21EB">
      <w:pPr>
        <w:pStyle w:val="NormalWeb"/>
        <w:numPr>
          <w:ilvl w:val="0"/>
          <w:numId w:val="29"/>
        </w:numPr>
        <w:spacing w:before="0" w:beforeAutospacing="0" w:after="0" w:afterAutospacing="0"/>
        <w:rPr>
          <w:rFonts w:ascii="Calibri" w:hAnsi="Calibri"/>
        </w:rPr>
      </w:pPr>
      <w:r w:rsidRPr="00A37EF4">
        <w:rPr>
          <w:rFonts w:ascii="Calibri" w:hAnsi="Calibri"/>
        </w:rPr>
        <w:t xml:space="preserve">Total number of cases positive after admission – </w:t>
      </w:r>
      <w:r w:rsidR="00A5009D" w:rsidRPr="00A37EF4">
        <w:rPr>
          <w:rFonts w:ascii="Calibri" w:hAnsi="Calibri"/>
        </w:rPr>
        <w:t>302</w:t>
      </w:r>
    </w:p>
    <w:bookmarkEnd w:id="1"/>
    <w:p w14:paraId="18F029D2" w14:textId="77777777" w:rsidR="005A1B35" w:rsidRPr="00A37EF4" w:rsidRDefault="005A1B35" w:rsidP="008511D6">
      <w:pPr>
        <w:pStyle w:val="NormalWeb"/>
        <w:spacing w:before="0" w:beforeAutospacing="0" w:after="120" w:afterAutospacing="0" w:line="276" w:lineRule="auto"/>
        <w:ind w:left="720"/>
        <w:rPr>
          <w:rFonts w:ascii="Calibri" w:hAnsi="Calibri"/>
        </w:rPr>
      </w:pPr>
    </w:p>
    <w:p w14:paraId="50812957" w14:textId="47B0101B" w:rsidR="005A1B35" w:rsidRPr="00A37EF4" w:rsidRDefault="005A1B35" w:rsidP="008511D6">
      <w:pPr>
        <w:pStyle w:val="NormalWeb"/>
        <w:spacing w:before="0" w:beforeAutospacing="0" w:after="120" w:afterAutospacing="0" w:line="276" w:lineRule="auto"/>
        <w:ind w:left="720"/>
        <w:rPr>
          <w:rFonts w:ascii="Calibri" w:hAnsi="Calibri"/>
        </w:rPr>
      </w:pPr>
      <w:bookmarkStart w:id="2" w:name="_Hlk89351802"/>
      <w:r w:rsidRPr="00A37EF4">
        <w:rPr>
          <w:rFonts w:ascii="Calibri" w:hAnsi="Calibri"/>
        </w:rPr>
        <w:t xml:space="preserve">The positives after admission are broken down as </w:t>
      </w:r>
      <w:r w:rsidR="004B21EB" w:rsidRPr="00A37EF4">
        <w:rPr>
          <w:rFonts w:ascii="Calibri" w:hAnsi="Calibri"/>
        </w:rPr>
        <w:t>follows: -</w:t>
      </w:r>
    </w:p>
    <w:p w14:paraId="061BD676" w14:textId="378CE752" w:rsidR="005A1B35" w:rsidRPr="00A37EF4" w:rsidRDefault="005A1B35" w:rsidP="004B21EB">
      <w:pPr>
        <w:pStyle w:val="NormalWeb"/>
        <w:numPr>
          <w:ilvl w:val="0"/>
          <w:numId w:val="30"/>
        </w:numPr>
        <w:spacing w:before="0" w:beforeAutospacing="0" w:after="0" w:afterAutospacing="0" w:line="276" w:lineRule="auto"/>
        <w:rPr>
          <w:rFonts w:ascii="Calibri" w:hAnsi="Calibri"/>
        </w:rPr>
      </w:pPr>
      <w:r w:rsidRPr="00A37EF4">
        <w:rPr>
          <w:rFonts w:ascii="Calibri" w:hAnsi="Calibri"/>
        </w:rPr>
        <w:t>Positive result within 2 days (Community onset) - </w:t>
      </w:r>
      <w:r w:rsidR="00A37EF4" w:rsidRPr="00A37EF4">
        <w:rPr>
          <w:rFonts w:ascii="Calibri" w:hAnsi="Calibri"/>
        </w:rPr>
        <w:t>31</w:t>
      </w:r>
    </w:p>
    <w:p w14:paraId="74FF16E6" w14:textId="59049DB4" w:rsidR="005A1B35" w:rsidRPr="00A37EF4" w:rsidRDefault="005A1B35" w:rsidP="004B21EB">
      <w:pPr>
        <w:pStyle w:val="NormalWeb"/>
        <w:numPr>
          <w:ilvl w:val="0"/>
          <w:numId w:val="30"/>
        </w:numPr>
        <w:spacing w:before="0" w:beforeAutospacing="0" w:after="0" w:afterAutospacing="0" w:line="276" w:lineRule="auto"/>
        <w:rPr>
          <w:rFonts w:ascii="Calibri" w:hAnsi="Calibri"/>
        </w:rPr>
      </w:pPr>
      <w:r w:rsidRPr="00A37EF4">
        <w:rPr>
          <w:rFonts w:ascii="Calibri" w:hAnsi="Calibri"/>
        </w:rPr>
        <w:t>Positive result between 3 and 7 days (Indeterminate Healthcare association) - </w:t>
      </w:r>
      <w:r w:rsidR="00A37EF4" w:rsidRPr="00A37EF4">
        <w:rPr>
          <w:rFonts w:ascii="Calibri" w:hAnsi="Calibri"/>
        </w:rPr>
        <w:t>75</w:t>
      </w:r>
    </w:p>
    <w:p w14:paraId="791E71EF" w14:textId="510019C3" w:rsidR="005A1B35" w:rsidRPr="00A37EF4" w:rsidRDefault="005A1B35" w:rsidP="004B21EB">
      <w:pPr>
        <w:pStyle w:val="NormalWeb"/>
        <w:numPr>
          <w:ilvl w:val="0"/>
          <w:numId w:val="30"/>
        </w:numPr>
        <w:spacing w:before="0" w:beforeAutospacing="0" w:after="0" w:afterAutospacing="0" w:line="276" w:lineRule="auto"/>
        <w:rPr>
          <w:rFonts w:ascii="Calibri" w:hAnsi="Calibri"/>
        </w:rPr>
      </w:pPr>
      <w:r w:rsidRPr="00A37EF4">
        <w:rPr>
          <w:rFonts w:ascii="Calibri" w:hAnsi="Calibri"/>
        </w:rPr>
        <w:t>Positive result between 8 and 14 days (Probable Healthcare Onset) - </w:t>
      </w:r>
      <w:r w:rsidR="00A37EF4" w:rsidRPr="00A37EF4">
        <w:rPr>
          <w:rFonts w:ascii="Calibri" w:hAnsi="Calibri"/>
        </w:rPr>
        <w:t>55</w:t>
      </w:r>
    </w:p>
    <w:p w14:paraId="2005CBBF" w14:textId="77858CA5" w:rsidR="005A1B35" w:rsidRDefault="005A1B35" w:rsidP="004B21EB">
      <w:pPr>
        <w:pStyle w:val="NormalWeb"/>
        <w:numPr>
          <w:ilvl w:val="0"/>
          <w:numId w:val="30"/>
        </w:numPr>
        <w:spacing w:before="0" w:beforeAutospacing="0" w:after="0" w:afterAutospacing="0" w:line="276" w:lineRule="auto"/>
        <w:rPr>
          <w:rFonts w:ascii="Calibri" w:hAnsi="Calibri"/>
        </w:rPr>
      </w:pPr>
      <w:r w:rsidRPr="00A37EF4">
        <w:rPr>
          <w:rFonts w:ascii="Calibri" w:hAnsi="Calibri"/>
        </w:rPr>
        <w:t xml:space="preserve">Positive result 15 days or later (Definite Healthcare association) </w:t>
      </w:r>
      <w:r w:rsidR="004B21EB">
        <w:rPr>
          <w:rFonts w:ascii="Calibri" w:hAnsi="Calibri"/>
        </w:rPr>
        <w:t>–</w:t>
      </w:r>
      <w:r w:rsidRPr="00A37EF4">
        <w:rPr>
          <w:rFonts w:ascii="Calibri" w:hAnsi="Calibri"/>
        </w:rPr>
        <w:t xml:space="preserve"> </w:t>
      </w:r>
      <w:bookmarkEnd w:id="2"/>
      <w:r w:rsidR="00A37EF4" w:rsidRPr="00A37EF4">
        <w:rPr>
          <w:rFonts w:ascii="Calibri" w:hAnsi="Calibri"/>
        </w:rPr>
        <w:t>141</w:t>
      </w:r>
    </w:p>
    <w:p w14:paraId="10A3E7D2" w14:textId="55BDBCC4" w:rsidR="004B21EB" w:rsidRDefault="004B21EB" w:rsidP="004B21EB">
      <w:pPr>
        <w:pStyle w:val="NormalWeb"/>
        <w:spacing w:before="0" w:beforeAutospacing="0" w:after="0" w:afterAutospacing="0" w:line="276" w:lineRule="auto"/>
        <w:rPr>
          <w:rFonts w:ascii="Calibri" w:hAnsi="Calibri"/>
        </w:rPr>
      </w:pPr>
    </w:p>
    <w:p w14:paraId="4C57327B" w14:textId="24530B36" w:rsidR="00C124AD" w:rsidRDefault="00306DC5" w:rsidP="004B21EB">
      <w:pPr>
        <w:pStyle w:val="NormalWeb"/>
        <w:spacing w:before="0" w:beforeAutospacing="0" w:after="0" w:afterAutospacing="0" w:line="276" w:lineRule="auto"/>
        <w:rPr>
          <w:rFonts w:ascii="Calibri" w:hAnsi="Calibri"/>
        </w:rPr>
      </w:pPr>
      <w:r>
        <w:rPr>
          <w:rFonts w:ascii="Calibri" w:hAnsi="Calibri"/>
        </w:rPr>
        <w:t>3</w:t>
      </w:r>
      <w:r w:rsidR="004B21EB">
        <w:rPr>
          <w:rFonts w:ascii="Calibri" w:hAnsi="Calibri"/>
        </w:rPr>
        <w:t>.7</w:t>
      </w:r>
      <w:r w:rsidR="004B21EB">
        <w:rPr>
          <w:rFonts w:ascii="Calibri" w:hAnsi="Calibri"/>
        </w:rPr>
        <w:tab/>
        <w:t xml:space="preserve">Covid-19 outbreaks </w:t>
      </w:r>
    </w:p>
    <w:p w14:paraId="3D2F913D" w14:textId="77777777" w:rsidR="00C124AD" w:rsidRDefault="00C124AD" w:rsidP="004B21EB">
      <w:pPr>
        <w:pStyle w:val="NormalWeb"/>
        <w:spacing w:before="0" w:beforeAutospacing="0" w:after="0" w:afterAutospacing="0" w:line="276" w:lineRule="auto"/>
        <w:rPr>
          <w:rFonts w:ascii="Calibri" w:hAnsi="Calibri"/>
        </w:rPr>
      </w:pPr>
    </w:p>
    <w:p w14:paraId="6AFF8A36" w14:textId="33739EDF" w:rsidR="004B21EB" w:rsidRDefault="00C124AD" w:rsidP="004B21EB">
      <w:pPr>
        <w:pStyle w:val="NormalWeb"/>
        <w:spacing w:before="0" w:beforeAutospacing="0" w:after="0" w:afterAutospacing="0" w:line="276" w:lineRule="auto"/>
        <w:rPr>
          <w:rFonts w:ascii="Calibri" w:hAnsi="Calibri"/>
        </w:rPr>
      </w:pPr>
      <w:r>
        <w:rPr>
          <w:rFonts w:ascii="Calibri" w:hAnsi="Calibri"/>
        </w:rPr>
        <w:t xml:space="preserve">They have been </w:t>
      </w:r>
      <w:r w:rsidR="007D1846">
        <w:rPr>
          <w:rFonts w:ascii="Calibri" w:hAnsi="Calibri"/>
        </w:rPr>
        <w:t>six Covid-19</w:t>
      </w:r>
      <w:r>
        <w:rPr>
          <w:rFonts w:ascii="Calibri" w:hAnsi="Calibri"/>
        </w:rPr>
        <w:t xml:space="preserve"> Outbreaks between 1 July 2021 and 30 November 2021, the following information identifies the locations and numbers of patients and staff </w:t>
      </w:r>
      <w:r w:rsidR="007D1846">
        <w:rPr>
          <w:rFonts w:ascii="Calibri" w:hAnsi="Calibri"/>
        </w:rPr>
        <w:t>affected</w:t>
      </w:r>
      <w:r>
        <w:rPr>
          <w:rFonts w:ascii="Calibri" w:hAnsi="Calibri"/>
        </w:rPr>
        <w:t>.</w:t>
      </w:r>
    </w:p>
    <w:p w14:paraId="2A007F63" w14:textId="412B49B3" w:rsidR="00187229" w:rsidRDefault="00187229" w:rsidP="004B21EB">
      <w:pPr>
        <w:pStyle w:val="NormalWeb"/>
        <w:spacing w:before="0" w:beforeAutospacing="0" w:after="0" w:afterAutospacing="0" w:line="276" w:lineRule="auto"/>
        <w:rPr>
          <w:rFonts w:ascii="Calibri" w:hAnsi="Calibri"/>
        </w:rPr>
      </w:pPr>
    </w:p>
    <w:tbl>
      <w:tblPr>
        <w:tblStyle w:val="TableGrid"/>
        <w:tblW w:w="0" w:type="auto"/>
        <w:tblLook w:val="04A0" w:firstRow="1" w:lastRow="0" w:firstColumn="1" w:lastColumn="0" w:noHBand="0" w:noVBand="1"/>
      </w:tblPr>
      <w:tblGrid>
        <w:gridCol w:w="3256"/>
        <w:gridCol w:w="1701"/>
        <w:gridCol w:w="1559"/>
        <w:gridCol w:w="1843"/>
        <w:gridCol w:w="1559"/>
      </w:tblGrid>
      <w:tr w:rsidR="00551E50" w14:paraId="1FAD1D9A" w14:textId="77777777" w:rsidTr="00187229">
        <w:tc>
          <w:tcPr>
            <w:tcW w:w="3256" w:type="dxa"/>
          </w:tcPr>
          <w:p w14:paraId="6EB82FB4" w14:textId="590072AF" w:rsidR="00187229" w:rsidRDefault="00187229" w:rsidP="004B21EB">
            <w:pPr>
              <w:pStyle w:val="NormalWeb"/>
              <w:spacing w:before="0" w:beforeAutospacing="0" w:after="0" w:afterAutospacing="0" w:line="276" w:lineRule="auto"/>
              <w:rPr>
                <w:rFonts w:ascii="Calibri" w:hAnsi="Calibri"/>
              </w:rPr>
            </w:pPr>
            <w:r>
              <w:rPr>
                <w:rFonts w:ascii="Calibri" w:hAnsi="Calibri"/>
              </w:rPr>
              <w:t>Area</w:t>
            </w:r>
          </w:p>
        </w:tc>
        <w:tc>
          <w:tcPr>
            <w:tcW w:w="1701" w:type="dxa"/>
          </w:tcPr>
          <w:p w14:paraId="2B0B1177" w14:textId="2CC4C87F" w:rsidR="00187229" w:rsidRDefault="00187229" w:rsidP="004B21EB">
            <w:pPr>
              <w:pStyle w:val="NormalWeb"/>
              <w:spacing w:before="0" w:beforeAutospacing="0" w:after="0" w:afterAutospacing="0" w:line="276" w:lineRule="auto"/>
              <w:rPr>
                <w:rFonts w:ascii="Calibri" w:hAnsi="Calibri"/>
              </w:rPr>
            </w:pPr>
            <w:r>
              <w:rPr>
                <w:rFonts w:ascii="Calibri" w:hAnsi="Calibri"/>
              </w:rPr>
              <w:t>Date identified</w:t>
            </w:r>
          </w:p>
        </w:tc>
        <w:tc>
          <w:tcPr>
            <w:tcW w:w="1559" w:type="dxa"/>
          </w:tcPr>
          <w:p w14:paraId="62A9CC7C" w14:textId="343E72A8" w:rsidR="00187229" w:rsidRDefault="00187229" w:rsidP="004B21EB">
            <w:pPr>
              <w:pStyle w:val="NormalWeb"/>
              <w:spacing w:before="0" w:beforeAutospacing="0" w:after="0" w:afterAutospacing="0" w:line="276" w:lineRule="auto"/>
              <w:rPr>
                <w:rFonts w:ascii="Calibri" w:hAnsi="Calibri"/>
              </w:rPr>
            </w:pPr>
            <w:r>
              <w:rPr>
                <w:rFonts w:ascii="Calibri" w:hAnsi="Calibri"/>
              </w:rPr>
              <w:t>Date closed</w:t>
            </w:r>
          </w:p>
        </w:tc>
        <w:tc>
          <w:tcPr>
            <w:tcW w:w="1843" w:type="dxa"/>
          </w:tcPr>
          <w:p w14:paraId="26E397C0" w14:textId="6452289D" w:rsidR="00187229" w:rsidRDefault="00187229" w:rsidP="004B21EB">
            <w:pPr>
              <w:pStyle w:val="NormalWeb"/>
              <w:spacing w:before="0" w:beforeAutospacing="0" w:after="0" w:afterAutospacing="0" w:line="276" w:lineRule="auto"/>
              <w:rPr>
                <w:rFonts w:ascii="Calibri" w:hAnsi="Calibri"/>
              </w:rPr>
            </w:pPr>
            <w:r>
              <w:rPr>
                <w:rFonts w:ascii="Calibri" w:hAnsi="Calibri"/>
              </w:rPr>
              <w:t>Patient numbers</w:t>
            </w:r>
          </w:p>
        </w:tc>
        <w:tc>
          <w:tcPr>
            <w:tcW w:w="1559" w:type="dxa"/>
          </w:tcPr>
          <w:p w14:paraId="04416DC8" w14:textId="48138F57" w:rsidR="00187229" w:rsidRDefault="00187229" w:rsidP="004B21EB">
            <w:pPr>
              <w:pStyle w:val="NormalWeb"/>
              <w:spacing w:before="0" w:beforeAutospacing="0" w:after="0" w:afterAutospacing="0" w:line="276" w:lineRule="auto"/>
              <w:rPr>
                <w:rFonts w:ascii="Calibri" w:hAnsi="Calibri"/>
              </w:rPr>
            </w:pPr>
            <w:r>
              <w:rPr>
                <w:rFonts w:ascii="Calibri" w:hAnsi="Calibri"/>
              </w:rPr>
              <w:t xml:space="preserve">Staff Numbers </w:t>
            </w:r>
          </w:p>
        </w:tc>
      </w:tr>
      <w:tr w:rsidR="00551E50" w14:paraId="1070FF10" w14:textId="77777777" w:rsidTr="00187229">
        <w:tc>
          <w:tcPr>
            <w:tcW w:w="3256" w:type="dxa"/>
          </w:tcPr>
          <w:p w14:paraId="654AB4D5" w14:textId="4DAC975F" w:rsidR="00187229" w:rsidRDefault="00187229" w:rsidP="004B21EB">
            <w:pPr>
              <w:pStyle w:val="NormalWeb"/>
              <w:spacing w:before="0" w:beforeAutospacing="0" w:after="0" w:afterAutospacing="0" w:line="276" w:lineRule="auto"/>
              <w:rPr>
                <w:rFonts w:ascii="Calibri" w:hAnsi="Calibri"/>
              </w:rPr>
            </w:pPr>
            <w:r>
              <w:rPr>
                <w:rFonts w:ascii="Calibri" w:hAnsi="Calibri"/>
              </w:rPr>
              <w:t>C</w:t>
            </w:r>
            <w:r w:rsidR="007D1846">
              <w:rPr>
                <w:rFonts w:ascii="Calibri" w:hAnsi="Calibri"/>
              </w:rPr>
              <w:t xml:space="preserve">ommunity </w:t>
            </w:r>
            <w:r>
              <w:rPr>
                <w:rFonts w:ascii="Calibri" w:hAnsi="Calibri"/>
              </w:rPr>
              <w:t>M</w:t>
            </w:r>
            <w:r w:rsidR="007D1846">
              <w:rPr>
                <w:rFonts w:ascii="Calibri" w:hAnsi="Calibri"/>
              </w:rPr>
              <w:t xml:space="preserve">ental </w:t>
            </w:r>
            <w:r>
              <w:rPr>
                <w:rFonts w:ascii="Calibri" w:hAnsi="Calibri"/>
              </w:rPr>
              <w:t>H</w:t>
            </w:r>
            <w:r w:rsidR="007D1846">
              <w:rPr>
                <w:rFonts w:ascii="Calibri" w:hAnsi="Calibri"/>
              </w:rPr>
              <w:t xml:space="preserve">ealth </w:t>
            </w:r>
            <w:r>
              <w:rPr>
                <w:rFonts w:ascii="Calibri" w:hAnsi="Calibri"/>
              </w:rPr>
              <w:t>T</w:t>
            </w:r>
            <w:r w:rsidR="007D1846">
              <w:rPr>
                <w:rFonts w:ascii="Calibri" w:hAnsi="Calibri"/>
              </w:rPr>
              <w:t>eam</w:t>
            </w:r>
            <w:r>
              <w:rPr>
                <w:rFonts w:ascii="Calibri" w:hAnsi="Calibri"/>
              </w:rPr>
              <w:t xml:space="preserve"> (liaison based at UHL</w:t>
            </w:r>
          </w:p>
          <w:p w14:paraId="455F8D21" w14:textId="6A6BF757" w:rsidR="00187229" w:rsidRDefault="00187229" w:rsidP="004B21EB">
            <w:pPr>
              <w:pStyle w:val="NormalWeb"/>
              <w:spacing w:before="0" w:beforeAutospacing="0" w:after="0" w:afterAutospacing="0" w:line="276" w:lineRule="auto"/>
              <w:rPr>
                <w:rFonts w:ascii="Calibri" w:hAnsi="Calibri"/>
              </w:rPr>
            </w:pPr>
            <w:r>
              <w:rPr>
                <w:rFonts w:ascii="Calibri" w:hAnsi="Calibri"/>
              </w:rPr>
              <w:t>Staff only</w:t>
            </w:r>
          </w:p>
        </w:tc>
        <w:tc>
          <w:tcPr>
            <w:tcW w:w="1701" w:type="dxa"/>
          </w:tcPr>
          <w:p w14:paraId="7DB605DF" w14:textId="54D5374F" w:rsidR="00187229" w:rsidRDefault="00187229" w:rsidP="004B21EB">
            <w:pPr>
              <w:pStyle w:val="NormalWeb"/>
              <w:spacing w:before="0" w:beforeAutospacing="0" w:after="0" w:afterAutospacing="0" w:line="276" w:lineRule="auto"/>
              <w:rPr>
                <w:rFonts w:ascii="Calibri" w:hAnsi="Calibri"/>
              </w:rPr>
            </w:pPr>
            <w:r>
              <w:rPr>
                <w:rFonts w:ascii="Calibri" w:hAnsi="Calibri"/>
              </w:rPr>
              <w:t>09/08/21</w:t>
            </w:r>
          </w:p>
        </w:tc>
        <w:tc>
          <w:tcPr>
            <w:tcW w:w="1559" w:type="dxa"/>
          </w:tcPr>
          <w:p w14:paraId="4B0C48E0" w14:textId="133FCCC7" w:rsidR="00187229" w:rsidRDefault="00187229" w:rsidP="004B21EB">
            <w:pPr>
              <w:pStyle w:val="NormalWeb"/>
              <w:spacing w:before="0" w:beforeAutospacing="0" w:after="0" w:afterAutospacing="0" w:line="276" w:lineRule="auto"/>
              <w:rPr>
                <w:rFonts w:ascii="Calibri" w:hAnsi="Calibri"/>
              </w:rPr>
            </w:pPr>
            <w:r>
              <w:rPr>
                <w:rFonts w:ascii="Calibri" w:hAnsi="Calibri"/>
              </w:rPr>
              <w:t>07/08/21</w:t>
            </w:r>
          </w:p>
        </w:tc>
        <w:tc>
          <w:tcPr>
            <w:tcW w:w="1843" w:type="dxa"/>
          </w:tcPr>
          <w:p w14:paraId="17695695" w14:textId="241BC001" w:rsidR="00187229" w:rsidRDefault="00187229" w:rsidP="004B21EB">
            <w:pPr>
              <w:pStyle w:val="NormalWeb"/>
              <w:spacing w:before="0" w:beforeAutospacing="0" w:after="0" w:afterAutospacing="0" w:line="276" w:lineRule="auto"/>
              <w:rPr>
                <w:rFonts w:ascii="Calibri" w:hAnsi="Calibri"/>
              </w:rPr>
            </w:pPr>
            <w:r>
              <w:rPr>
                <w:rFonts w:ascii="Calibri" w:hAnsi="Calibri"/>
              </w:rPr>
              <w:t>0</w:t>
            </w:r>
          </w:p>
        </w:tc>
        <w:tc>
          <w:tcPr>
            <w:tcW w:w="1559" w:type="dxa"/>
          </w:tcPr>
          <w:p w14:paraId="3F2B52F1" w14:textId="19D4E648" w:rsidR="00187229" w:rsidRDefault="00187229" w:rsidP="004B21EB">
            <w:pPr>
              <w:pStyle w:val="NormalWeb"/>
              <w:spacing w:before="0" w:beforeAutospacing="0" w:after="0" w:afterAutospacing="0" w:line="276" w:lineRule="auto"/>
              <w:rPr>
                <w:rFonts w:ascii="Calibri" w:hAnsi="Calibri"/>
              </w:rPr>
            </w:pPr>
            <w:r>
              <w:rPr>
                <w:rFonts w:ascii="Calibri" w:hAnsi="Calibri"/>
              </w:rPr>
              <w:t>3</w:t>
            </w:r>
          </w:p>
        </w:tc>
      </w:tr>
      <w:tr w:rsidR="00551E50" w14:paraId="36BD80F8" w14:textId="77777777" w:rsidTr="00187229">
        <w:tc>
          <w:tcPr>
            <w:tcW w:w="3256" w:type="dxa"/>
          </w:tcPr>
          <w:p w14:paraId="03CC431D" w14:textId="1A57EE36" w:rsidR="00187229" w:rsidRDefault="00187229" w:rsidP="004B21EB">
            <w:pPr>
              <w:pStyle w:val="NormalWeb"/>
              <w:spacing w:before="0" w:beforeAutospacing="0" w:after="0" w:afterAutospacing="0" w:line="276" w:lineRule="auto"/>
              <w:rPr>
                <w:rFonts w:ascii="Calibri" w:hAnsi="Calibri"/>
              </w:rPr>
            </w:pPr>
            <w:r>
              <w:rPr>
                <w:rFonts w:ascii="Calibri" w:hAnsi="Calibri"/>
              </w:rPr>
              <w:t>Beacon Unit</w:t>
            </w:r>
          </w:p>
        </w:tc>
        <w:tc>
          <w:tcPr>
            <w:tcW w:w="1701" w:type="dxa"/>
          </w:tcPr>
          <w:p w14:paraId="7AA944EA" w14:textId="77777777" w:rsidR="00187229" w:rsidRDefault="00187229" w:rsidP="004B21EB">
            <w:pPr>
              <w:pStyle w:val="NormalWeb"/>
              <w:spacing w:before="0" w:beforeAutospacing="0" w:after="0" w:afterAutospacing="0" w:line="276" w:lineRule="auto"/>
              <w:rPr>
                <w:rFonts w:ascii="Calibri" w:hAnsi="Calibri"/>
              </w:rPr>
            </w:pPr>
            <w:r>
              <w:rPr>
                <w:rFonts w:ascii="Calibri" w:hAnsi="Calibri"/>
              </w:rPr>
              <w:t>24/08/21</w:t>
            </w:r>
          </w:p>
          <w:p w14:paraId="4E3773CB" w14:textId="7A4D1847" w:rsidR="00187229" w:rsidRDefault="00187229" w:rsidP="004B21EB">
            <w:pPr>
              <w:pStyle w:val="NormalWeb"/>
              <w:spacing w:before="0" w:beforeAutospacing="0" w:after="0" w:afterAutospacing="0" w:line="276" w:lineRule="auto"/>
              <w:rPr>
                <w:rFonts w:ascii="Calibri" w:hAnsi="Calibri"/>
              </w:rPr>
            </w:pPr>
          </w:p>
        </w:tc>
        <w:tc>
          <w:tcPr>
            <w:tcW w:w="1559" w:type="dxa"/>
          </w:tcPr>
          <w:p w14:paraId="40621ECB" w14:textId="65B868D4" w:rsidR="00187229" w:rsidRDefault="00187229" w:rsidP="004B21EB">
            <w:pPr>
              <w:pStyle w:val="NormalWeb"/>
              <w:spacing w:before="0" w:beforeAutospacing="0" w:after="0" w:afterAutospacing="0" w:line="276" w:lineRule="auto"/>
              <w:rPr>
                <w:rFonts w:ascii="Calibri" w:hAnsi="Calibri"/>
              </w:rPr>
            </w:pPr>
            <w:r>
              <w:rPr>
                <w:rFonts w:ascii="Calibri" w:hAnsi="Calibri"/>
              </w:rPr>
              <w:t>25/09/21</w:t>
            </w:r>
          </w:p>
        </w:tc>
        <w:tc>
          <w:tcPr>
            <w:tcW w:w="1843" w:type="dxa"/>
          </w:tcPr>
          <w:p w14:paraId="44DBB014" w14:textId="3DEB66B3" w:rsidR="00187229" w:rsidRDefault="00187229" w:rsidP="004B21EB">
            <w:pPr>
              <w:pStyle w:val="NormalWeb"/>
              <w:spacing w:before="0" w:beforeAutospacing="0" w:after="0" w:afterAutospacing="0" w:line="276" w:lineRule="auto"/>
              <w:rPr>
                <w:rFonts w:ascii="Calibri" w:hAnsi="Calibri"/>
              </w:rPr>
            </w:pPr>
            <w:r>
              <w:rPr>
                <w:rFonts w:ascii="Calibri" w:hAnsi="Calibri"/>
              </w:rPr>
              <w:t>2</w:t>
            </w:r>
          </w:p>
        </w:tc>
        <w:tc>
          <w:tcPr>
            <w:tcW w:w="1559" w:type="dxa"/>
          </w:tcPr>
          <w:p w14:paraId="3AFECBCD" w14:textId="24BE2353" w:rsidR="00187229" w:rsidRDefault="00187229" w:rsidP="004B21EB">
            <w:pPr>
              <w:pStyle w:val="NormalWeb"/>
              <w:spacing w:before="0" w:beforeAutospacing="0" w:after="0" w:afterAutospacing="0" w:line="276" w:lineRule="auto"/>
              <w:rPr>
                <w:rFonts w:ascii="Calibri" w:hAnsi="Calibri"/>
              </w:rPr>
            </w:pPr>
            <w:r>
              <w:rPr>
                <w:rFonts w:ascii="Calibri" w:hAnsi="Calibri"/>
              </w:rPr>
              <w:t>2</w:t>
            </w:r>
          </w:p>
        </w:tc>
      </w:tr>
      <w:tr w:rsidR="00551E50" w14:paraId="381DE04D" w14:textId="77777777" w:rsidTr="00187229">
        <w:tc>
          <w:tcPr>
            <w:tcW w:w="3256" w:type="dxa"/>
          </w:tcPr>
          <w:p w14:paraId="2E918983" w14:textId="77777777" w:rsidR="00187229" w:rsidRDefault="00187229" w:rsidP="004B21EB">
            <w:pPr>
              <w:pStyle w:val="NormalWeb"/>
              <w:spacing w:before="0" w:beforeAutospacing="0" w:after="0" w:afterAutospacing="0" w:line="276" w:lineRule="auto"/>
              <w:rPr>
                <w:rFonts w:ascii="Calibri" w:hAnsi="Calibri"/>
              </w:rPr>
            </w:pPr>
            <w:r>
              <w:rPr>
                <w:rFonts w:ascii="Calibri" w:hAnsi="Calibri"/>
              </w:rPr>
              <w:t>CMHT Hawthorne centre</w:t>
            </w:r>
          </w:p>
          <w:p w14:paraId="56654623" w14:textId="71FDC6E0" w:rsidR="00187229" w:rsidRDefault="00187229" w:rsidP="004B21EB">
            <w:pPr>
              <w:pStyle w:val="NormalWeb"/>
              <w:spacing w:before="0" w:beforeAutospacing="0" w:after="0" w:afterAutospacing="0" w:line="276" w:lineRule="auto"/>
              <w:rPr>
                <w:rFonts w:ascii="Calibri" w:hAnsi="Calibri"/>
              </w:rPr>
            </w:pPr>
            <w:r>
              <w:rPr>
                <w:rFonts w:ascii="Calibri" w:hAnsi="Calibri"/>
              </w:rPr>
              <w:t>Staff only</w:t>
            </w:r>
          </w:p>
        </w:tc>
        <w:tc>
          <w:tcPr>
            <w:tcW w:w="1701" w:type="dxa"/>
          </w:tcPr>
          <w:p w14:paraId="0640886E" w14:textId="2D4D4557" w:rsidR="00187229" w:rsidRDefault="00187229" w:rsidP="004B21EB">
            <w:pPr>
              <w:pStyle w:val="NormalWeb"/>
              <w:spacing w:before="0" w:beforeAutospacing="0" w:after="0" w:afterAutospacing="0" w:line="276" w:lineRule="auto"/>
              <w:rPr>
                <w:rFonts w:ascii="Calibri" w:hAnsi="Calibri"/>
              </w:rPr>
            </w:pPr>
            <w:r>
              <w:rPr>
                <w:rFonts w:ascii="Calibri" w:hAnsi="Calibri"/>
              </w:rPr>
              <w:t>25/08/21</w:t>
            </w:r>
          </w:p>
        </w:tc>
        <w:tc>
          <w:tcPr>
            <w:tcW w:w="1559" w:type="dxa"/>
          </w:tcPr>
          <w:p w14:paraId="74BEA406" w14:textId="103F23FB" w:rsidR="00187229" w:rsidRDefault="00187229" w:rsidP="004B21EB">
            <w:pPr>
              <w:pStyle w:val="NormalWeb"/>
              <w:spacing w:before="0" w:beforeAutospacing="0" w:after="0" w:afterAutospacing="0" w:line="276" w:lineRule="auto"/>
              <w:rPr>
                <w:rFonts w:ascii="Calibri" w:hAnsi="Calibri"/>
              </w:rPr>
            </w:pPr>
            <w:r>
              <w:rPr>
                <w:rFonts w:ascii="Calibri" w:hAnsi="Calibri"/>
              </w:rPr>
              <w:t>22/09/21</w:t>
            </w:r>
          </w:p>
        </w:tc>
        <w:tc>
          <w:tcPr>
            <w:tcW w:w="1843" w:type="dxa"/>
          </w:tcPr>
          <w:p w14:paraId="400CA198" w14:textId="37197DDC" w:rsidR="00187229" w:rsidRDefault="00187229" w:rsidP="004B21EB">
            <w:pPr>
              <w:pStyle w:val="NormalWeb"/>
              <w:spacing w:before="0" w:beforeAutospacing="0" w:after="0" w:afterAutospacing="0" w:line="276" w:lineRule="auto"/>
              <w:rPr>
                <w:rFonts w:ascii="Calibri" w:hAnsi="Calibri"/>
              </w:rPr>
            </w:pPr>
            <w:r>
              <w:rPr>
                <w:rFonts w:ascii="Calibri" w:hAnsi="Calibri"/>
              </w:rPr>
              <w:t>0</w:t>
            </w:r>
          </w:p>
        </w:tc>
        <w:tc>
          <w:tcPr>
            <w:tcW w:w="1559" w:type="dxa"/>
          </w:tcPr>
          <w:p w14:paraId="3FA01298" w14:textId="34F636D4" w:rsidR="00187229" w:rsidRDefault="00187229" w:rsidP="004B21EB">
            <w:pPr>
              <w:pStyle w:val="NormalWeb"/>
              <w:spacing w:before="0" w:beforeAutospacing="0" w:after="0" w:afterAutospacing="0" w:line="276" w:lineRule="auto"/>
              <w:rPr>
                <w:rFonts w:ascii="Calibri" w:hAnsi="Calibri"/>
              </w:rPr>
            </w:pPr>
            <w:r>
              <w:rPr>
                <w:rFonts w:ascii="Calibri" w:hAnsi="Calibri"/>
              </w:rPr>
              <w:t>2</w:t>
            </w:r>
          </w:p>
        </w:tc>
      </w:tr>
      <w:tr w:rsidR="00551E50" w14:paraId="43156519" w14:textId="77777777" w:rsidTr="00187229">
        <w:tc>
          <w:tcPr>
            <w:tcW w:w="3256" w:type="dxa"/>
          </w:tcPr>
          <w:p w14:paraId="28B71447" w14:textId="77777777" w:rsidR="00187229" w:rsidRDefault="00187229" w:rsidP="004B21EB">
            <w:pPr>
              <w:pStyle w:val="NormalWeb"/>
              <w:spacing w:before="0" w:beforeAutospacing="0" w:after="0" w:afterAutospacing="0" w:line="276" w:lineRule="auto"/>
              <w:rPr>
                <w:rFonts w:ascii="Calibri" w:hAnsi="Calibri"/>
              </w:rPr>
            </w:pPr>
            <w:r>
              <w:rPr>
                <w:rFonts w:ascii="Calibri" w:hAnsi="Calibri"/>
              </w:rPr>
              <w:t>Willows Cedar ward</w:t>
            </w:r>
          </w:p>
          <w:p w14:paraId="50D8F061" w14:textId="67B1BD46" w:rsidR="00187229" w:rsidRDefault="00187229" w:rsidP="004B21EB">
            <w:pPr>
              <w:pStyle w:val="NormalWeb"/>
              <w:spacing w:before="0" w:beforeAutospacing="0" w:after="0" w:afterAutospacing="0" w:line="276" w:lineRule="auto"/>
              <w:rPr>
                <w:rFonts w:ascii="Calibri" w:hAnsi="Calibri"/>
              </w:rPr>
            </w:pPr>
          </w:p>
        </w:tc>
        <w:tc>
          <w:tcPr>
            <w:tcW w:w="1701" w:type="dxa"/>
          </w:tcPr>
          <w:p w14:paraId="2D8A9ADF" w14:textId="751A4BDB" w:rsidR="00187229" w:rsidRDefault="00187229" w:rsidP="004B21EB">
            <w:pPr>
              <w:pStyle w:val="NormalWeb"/>
              <w:spacing w:before="0" w:beforeAutospacing="0" w:after="0" w:afterAutospacing="0" w:line="276" w:lineRule="auto"/>
              <w:rPr>
                <w:rFonts w:ascii="Calibri" w:hAnsi="Calibri"/>
              </w:rPr>
            </w:pPr>
            <w:r>
              <w:rPr>
                <w:rFonts w:ascii="Calibri" w:hAnsi="Calibri"/>
              </w:rPr>
              <w:t>31/08/21</w:t>
            </w:r>
          </w:p>
        </w:tc>
        <w:tc>
          <w:tcPr>
            <w:tcW w:w="1559" w:type="dxa"/>
          </w:tcPr>
          <w:p w14:paraId="39642A7D" w14:textId="1F017497" w:rsidR="00187229" w:rsidRDefault="00187229" w:rsidP="004B21EB">
            <w:pPr>
              <w:pStyle w:val="NormalWeb"/>
              <w:spacing w:before="0" w:beforeAutospacing="0" w:after="0" w:afterAutospacing="0" w:line="276" w:lineRule="auto"/>
              <w:rPr>
                <w:rFonts w:ascii="Calibri" w:hAnsi="Calibri"/>
              </w:rPr>
            </w:pPr>
            <w:r>
              <w:rPr>
                <w:rFonts w:ascii="Calibri" w:hAnsi="Calibri"/>
              </w:rPr>
              <w:t>08/10/21</w:t>
            </w:r>
          </w:p>
        </w:tc>
        <w:tc>
          <w:tcPr>
            <w:tcW w:w="1843" w:type="dxa"/>
          </w:tcPr>
          <w:p w14:paraId="7D465013" w14:textId="1310DF04" w:rsidR="00187229" w:rsidRDefault="00187229" w:rsidP="004B21EB">
            <w:pPr>
              <w:pStyle w:val="NormalWeb"/>
              <w:spacing w:before="0" w:beforeAutospacing="0" w:after="0" w:afterAutospacing="0" w:line="276" w:lineRule="auto"/>
              <w:rPr>
                <w:rFonts w:ascii="Calibri" w:hAnsi="Calibri"/>
              </w:rPr>
            </w:pPr>
            <w:r>
              <w:rPr>
                <w:rFonts w:ascii="Calibri" w:hAnsi="Calibri"/>
              </w:rPr>
              <w:t>2</w:t>
            </w:r>
          </w:p>
        </w:tc>
        <w:tc>
          <w:tcPr>
            <w:tcW w:w="1559" w:type="dxa"/>
          </w:tcPr>
          <w:p w14:paraId="0D7AEC68" w14:textId="026093C0" w:rsidR="00187229" w:rsidRDefault="00187229" w:rsidP="004B21EB">
            <w:pPr>
              <w:pStyle w:val="NormalWeb"/>
              <w:spacing w:before="0" w:beforeAutospacing="0" w:after="0" w:afterAutospacing="0" w:line="276" w:lineRule="auto"/>
              <w:rPr>
                <w:rFonts w:ascii="Calibri" w:hAnsi="Calibri"/>
              </w:rPr>
            </w:pPr>
            <w:r>
              <w:rPr>
                <w:rFonts w:ascii="Calibri" w:hAnsi="Calibri"/>
              </w:rPr>
              <w:t>4</w:t>
            </w:r>
          </w:p>
        </w:tc>
      </w:tr>
      <w:tr w:rsidR="00551E50" w14:paraId="3394ADFD" w14:textId="77777777" w:rsidTr="00187229">
        <w:tc>
          <w:tcPr>
            <w:tcW w:w="3256" w:type="dxa"/>
          </w:tcPr>
          <w:p w14:paraId="24BA1181" w14:textId="77777777" w:rsidR="00187229" w:rsidRDefault="00187229" w:rsidP="00187229">
            <w:pPr>
              <w:pStyle w:val="NormalWeb"/>
              <w:tabs>
                <w:tab w:val="left" w:pos="1453"/>
              </w:tabs>
              <w:spacing w:before="0" w:beforeAutospacing="0" w:after="0" w:afterAutospacing="0" w:line="276" w:lineRule="auto"/>
              <w:rPr>
                <w:rFonts w:ascii="Calibri" w:hAnsi="Calibri"/>
              </w:rPr>
            </w:pPr>
            <w:r>
              <w:rPr>
                <w:rFonts w:ascii="Calibri" w:hAnsi="Calibri"/>
              </w:rPr>
              <w:t>Mill Lodge</w:t>
            </w:r>
            <w:r>
              <w:rPr>
                <w:rFonts w:ascii="Calibri" w:hAnsi="Calibri"/>
              </w:rPr>
              <w:tab/>
            </w:r>
          </w:p>
          <w:p w14:paraId="0FB09523" w14:textId="580DCE8E" w:rsidR="00187229" w:rsidRDefault="00187229" w:rsidP="001533B5">
            <w:pPr>
              <w:pStyle w:val="NormalWeb"/>
              <w:tabs>
                <w:tab w:val="left" w:pos="1453"/>
              </w:tabs>
              <w:spacing w:before="0" w:beforeAutospacing="0" w:after="0" w:afterAutospacing="0" w:line="276" w:lineRule="auto"/>
              <w:rPr>
                <w:rFonts w:ascii="Calibri" w:hAnsi="Calibri"/>
              </w:rPr>
            </w:pPr>
          </w:p>
        </w:tc>
        <w:tc>
          <w:tcPr>
            <w:tcW w:w="1701" w:type="dxa"/>
          </w:tcPr>
          <w:p w14:paraId="045613F2" w14:textId="65A5252F" w:rsidR="00187229" w:rsidRDefault="00187229" w:rsidP="004B21EB">
            <w:pPr>
              <w:pStyle w:val="NormalWeb"/>
              <w:spacing w:before="0" w:beforeAutospacing="0" w:after="0" w:afterAutospacing="0" w:line="276" w:lineRule="auto"/>
              <w:rPr>
                <w:rFonts w:ascii="Calibri" w:hAnsi="Calibri"/>
              </w:rPr>
            </w:pPr>
            <w:r>
              <w:rPr>
                <w:rFonts w:ascii="Calibri" w:hAnsi="Calibri"/>
              </w:rPr>
              <w:t>06/10/21</w:t>
            </w:r>
          </w:p>
        </w:tc>
        <w:tc>
          <w:tcPr>
            <w:tcW w:w="1559" w:type="dxa"/>
          </w:tcPr>
          <w:p w14:paraId="7547CF2D" w14:textId="1FA8A523" w:rsidR="00187229" w:rsidRDefault="00187229" w:rsidP="004B21EB">
            <w:pPr>
              <w:pStyle w:val="NormalWeb"/>
              <w:spacing w:before="0" w:beforeAutospacing="0" w:after="0" w:afterAutospacing="0" w:line="276" w:lineRule="auto"/>
              <w:rPr>
                <w:rFonts w:ascii="Calibri" w:hAnsi="Calibri"/>
              </w:rPr>
            </w:pPr>
            <w:r>
              <w:rPr>
                <w:rFonts w:ascii="Calibri" w:hAnsi="Calibri"/>
              </w:rPr>
              <w:t>17/11/21</w:t>
            </w:r>
          </w:p>
        </w:tc>
        <w:tc>
          <w:tcPr>
            <w:tcW w:w="1843" w:type="dxa"/>
          </w:tcPr>
          <w:p w14:paraId="693805A8" w14:textId="52D8DC92" w:rsidR="00187229" w:rsidRDefault="00187229" w:rsidP="004B21EB">
            <w:pPr>
              <w:pStyle w:val="NormalWeb"/>
              <w:spacing w:before="0" w:beforeAutospacing="0" w:after="0" w:afterAutospacing="0" w:line="276" w:lineRule="auto"/>
              <w:rPr>
                <w:rFonts w:ascii="Calibri" w:hAnsi="Calibri"/>
              </w:rPr>
            </w:pPr>
            <w:r>
              <w:rPr>
                <w:rFonts w:ascii="Calibri" w:hAnsi="Calibri"/>
              </w:rPr>
              <w:t>8</w:t>
            </w:r>
          </w:p>
        </w:tc>
        <w:tc>
          <w:tcPr>
            <w:tcW w:w="1559" w:type="dxa"/>
          </w:tcPr>
          <w:p w14:paraId="253DFA44" w14:textId="1DAB81C3" w:rsidR="00187229" w:rsidRDefault="00187229" w:rsidP="004B21EB">
            <w:pPr>
              <w:pStyle w:val="NormalWeb"/>
              <w:spacing w:before="0" w:beforeAutospacing="0" w:after="0" w:afterAutospacing="0" w:line="276" w:lineRule="auto"/>
              <w:rPr>
                <w:rFonts w:ascii="Calibri" w:hAnsi="Calibri"/>
              </w:rPr>
            </w:pPr>
            <w:r>
              <w:rPr>
                <w:rFonts w:ascii="Calibri" w:hAnsi="Calibri"/>
              </w:rPr>
              <w:t>7</w:t>
            </w:r>
          </w:p>
        </w:tc>
      </w:tr>
      <w:tr w:rsidR="00551E50" w14:paraId="35237C47" w14:textId="77777777" w:rsidTr="00187229">
        <w:tc>
          <w:tcPr>
            <w:tcW w:w="3256" w:type="dxa"/>
          </w:tcPr>
          <w:p w14:paraId="36C616D5" w14:textId="77777777" w:rsidR="00187229" w:rsidRDefault="00187229" w:rsidP="004B21EB">
            <w:pPr>
              <w:pStyle w:val="NormalWeb"/>
              <w:spacing w:before="0" w:beforeAutospacing="0" w:after="0" w:afterAutospacing="0" w:line="276" w:lineRule="auto"/>
              <w:rPr>
                <w:rFonts w:ascii="Calibri" w:hAnsi="Calibri"/>
              </w:rPr>
            </w:pPr>
            <w:r>
              <w:rPr>
                <w:rFonts w:ascii="Calibri" w:hAnsi="Calibri"/>
              </w:rPr>
              <w:t xml:space="preserve">Coalville Ward 4 </w:t>
            </w:r>
          </w:p>
          <w:p w14:paraId="5E6389C7" w14:textId="499D68B0" w:rsidR="00187229" w:rsidRDefault="00187229" w:rsidP="004B21EB">
            <w:pPr>
              <w:pStyle w:val="NormalWeb"/>
              <w:spacing w:before="0" w:beforeAutospacing="0" w:after="0" w:afterAutospacing="0" w:line="276" w:lineRule="auto"/>
              <w:rPr>
                <w:rFonts w:ascii="Calibri" w:hAnsi="Calibri"/>
              </w:rPr>
            </w:pPr>
          </w:p>
        </w:tc>
        <w:tc>
          <w:tcPr>
            <w:tcW w:w="1701" w:type="dxa"/>
          </w:tcPr>
          <w:p w14:paraId="2BA97807" w14:textId="1A270B24" w:rsidR="00187229" w:rsidRDefault="00187229" w:rsidP="004B21EB">
            <w:pPr>
              <w:pStyle w:val="NormalWeb"/>
              <w:spacing w:before="0" w:beforeAutospacing="0" w:after="0" w:afterAutospacing="0" w:line="276" w:lineRule="auto"/>
              <w:rPr>
                <w:rFonts w:ascii="Calibri" w:hAnsi="Calibri"/>
              </w:rPr>
            </w:pPr>
            <w:r>
              <w:rPr>
                <w:rFonts w:ascii="Calibri" w:hAnsi="Calibri"/>
              </w:rPr>
              <w:t>14/10/21</w:t>
            </w:r>
          </w:p>
        </w:tc>
        <w:tc>
          <w:tcPr>
            <w:tcW w:w="1559" w:type="dxa"/>
          </w:tcPr>
          <w:p w14:paraId="1F6E6B21" w14:textId="28B093BB" w:rsidR="00187229" w:rsidRDefault="00187229" w:rsidP="004B21EB">
            <w:pPr>
              <w:pStyle w:val="NormalWeb"/>
              <w:spacing w:before="0" w:beforeAutospacing="0" w:after="0" w:afterAutospacing="0" w:line="276" w:lineRule="auto"/>
              <w:rPr>
                <w:rFonts w:ascii="Calibri" w:hAnsi="Calibri"/>
              </w:rPr>
            </w:pPr>
            <w:r>
              <w:rPr>
                <w:rFonts w:ascii="Calibri" w:hAnsi="Calibri"/>
              </w:rPr>
              <w:t>25/11/21</w:t>
            </w:r>
          </w:p>
        </w:tc>
        <w:tc>
          <w:tcPr>
            <w:tcW w:w="1843" w:type="dxa"/>
          </w:tcPr>
          <w:p w14:paraId="1751D3EC" w14:textId="3B09577C" w:rsidR="00187229" w:rsidRDefault="00187229" w:rsidP="004B21EB">
            <w:pPr>
              <w:pStyle w:val="NormalWeb"/>
              <w:spacing w:before="0" w:beforeAutospacing="0" w:after="0" w:afterAutospacing="0" w:line="276" w:lineRule="auto"/>
              <w:rPr>
                <w:rFonts w:ascii="Calibri" w:hAnsi="Calibri"/>
              </w:rPr>
            </w:pPr>
            <w:r>
              <w:rPr>
                <w:rFonts w:ascii="Calibri" w:hAnsi="Calibri"/>
              </w:rPr>
              <w:t>7</w:t>
            </w:r>
          </w:p>
        </w:tc>
        <w:tc>
          <w:tcPr>
            <w:tcW w:w="1559" w:type="dxa"/>
          </w:tcPr>
          <w:p w14:paraId="393BBF67" w14:textId="030F8E29" w:rsidR="00187229" w:rsidRDefault="00187229" w:rsidP="004B21EB">
            <w:pPr>
              <w:pStyle w:val="NormalWeb"/>
              <w:spacing w:before="0" w:beforeAutospacing="0" w:after="0" w:afterAutospacing="0" w:line="276" w:lineRule="auto"/>
              <w:rPr>
                <w:rFonts w:ascii="Calibri" w:hAnsi="Calibri"/>
              </w:rPr>
            </w:pPr>
            <w:r>
              <w:rPr>
                <w:rFonts w:ascii="Calibri" w:hAnsi="Calibri"/>
              </w:rPr>
              <w:t>2</w:t>
            </w:r>
          </w:p>
        </w:tc>
      </w:tr>
    </w:tbl>
    <w:p w14:paraId="1C68ED72" w14:textId="77777777" w:rsidR="00187229" w:rsidRDefault="00187229" w:rsidP="004B21EB">
      <w:pPr>
        <w:pStyle w:val="NormalWeb"/>
        <w:spacing w:before="0" w:beforeAutospacing="0" w:after="0" w:afterAutospacing="0" w:line="276" w:lineRule="auto"/>
        <w:rPr>
          <w:rFonts w:ascii="Calibri" w:hAnsi="Calibri"/>
        </w:rPr>
      </w:pPr>
    </w:p>
    <w:p w14:paraId="2DB96FCA" w14:textId="2E73B808" w:rsidR="00CC1638" w:rsidRPr="00055200" w:rsidRDefault="00C124AD" w:rsidP="00CC1638">
      <w:pPr>
        <w:rPr>
          <w:sz w:val="24"/>
          <w:szCs w:val="24"/>
        </w:rPr>
      </w:pPr>
      <w:r w:rsidRPr="00055200">
        <w:rPr>
          <w:sz w:val="24"/>
          <w:szCs w:val="24"/>
        </w:rPr>
        <w:t>The outbreaks for Mill Lodge and Coalville ward 4 have been identified</w:t>
      </w:r>
      <w:r w:rsidR="00E93F37" w:rsidRPr="00055200">
        <w:rPr>
          <w:sz w:val="24"/>
          <w:szCs w:val="24"/>
        </w:rPr>
        <w:t xml:space="preserve"> as</w:t>
      </w:r>
      <w:r w:rsidR="007D1846">
        <w:rPr>
          <w:sz w:val="24"/>
          <w:szCs w:val="24"/>
        </w:rPr>
        <w:t xml:space="preserve"> </w:t>
      </w:r>
      <w:r w:rsidR="00E93F37" w:rsidRPr="00055200">
        <w:rPr>
          <w:sz w:val="24"/>
          <w:szCs w:val="24"/>
        </w:rPr>
        <w:t>Serious Incident</w:t>
      </w:r>
      <w:r w:rsidR="007D1846">
        <w:rPr>
          <w:sz w:val="24"/>
          <w:szCs w:val="24"/>
        </w:rPr>
        <w:t>s</w:t>
      </w:r>
      <w:r w:rsidR="00E93F37" w:rsidRPr="00055200">
        <w:rPr>
          <w:sz w:val="24"/>
          <w:szCs w:val="24"/>
        </w:rPr>
        <w:t xml:space="preserve"> (SI</w:t>
      </w:r>
      <w:r w:rsidR="007D1846">
        <w:rPr>
          <w:sz w:val="24"/>
          <w:szCs w:val="24"/>
        </w:rPr>
        <w:t>s</w:t>
      </w:r>
      <w:r w:rsidR="00E93F37" w:rsidRPr="00055200">
        <w:rPr>
          <w:sz w:val="24"/>
          <w:szCs w:val="24"/>
        </w:rPr>
        <w:t xml:space="preserve">) and are currently undergoing the required review </w:t>
      </w:r>
      <w:r w:rsidR="007D1846">
        <w:rPr>
          <w:sz w:val="24"/>
          <w:szCs w:val="24"/>
        </w:rPr>
        <w:t>investigation</w:t>
      </w:r>
      <w:r w:rsidR="00E93F37" w:rsidRPr="00055200">
        <w:rPr>
          <w:sz w:val="24"/>
          <w:szCs w:val="24"/>
        </w:rPr>
        <w:t xml:space="preserve"> processes to identify learning and </w:t>
      </w:r>
      <w:r w:rsidR="007D1846">
        <w:rPr>
          <w:sz w:val="24"/>
          <w:szCs w:val="24"/>
        </w:rPr>
        <w:t>actions to be shared widely to reduce the risk of further outbreaks</w:t>
      </w:r>
      <w:r w:rsidR="00E93F37" w:rsidRPr="00055200">
        <w:rPr>
          <w:sz w:val="24"/>
          <w:szCs w:val="24"/>
        </w:rPr>
        <w:t>.</w:t>
      </w:r>
    </w:p>
    <w:p w14:paraId="44C481C8" w14:textId="3016C314" w:rsidR="00551E50" w:rsidRPr="00055200" w:rsidRDefault="00551E50" w:rsidP="00551E50">
      <w:pPr>
        <w:rPr>
          <w:rFonts w:cstheme="minorHAnsi"/>
          <w:sz w:val="24"/>
          <w:szCs w:val="24"/>
        </w:rPr>
      </w:pPr>
      <w:r w:rsidRPr="00055200">
        <w:rPr>
          <w:rFonts w:cstheme="minorHAnsi"/>
          <w:sz w:val="24"/>
          <w:szCs w:val="24"/>
        </w:rPr>
        <w:t>Learning identified as part of the outbreak reviews (which will form a further learning board</w:t>
      </w:r>
      <w:r w:rsidR="00055200" w:rsidRPr="00055200">
        <w:rPr>
          <w:rFonts w:cstheme="minorHAnsi"/>
          <w:sz w:val="24"/>
          <w:szCs w:val="24"/>
        </w:rPr>
        <w:t>)</w:t>
      </w:r>
      <w:r w:rsidR="00055200">
        <w:rPr>
          <w:rFonts w:cstheme="minorHAnsi"/>
          <w:sz w:val="24"/>
          <w:szCs w:val="24"/>
        </w:rPr>
        <w:t xml:space="preserve"> included:</w:t>
      </w:r>
    </w:p>
    <w:p w14:paraId="41B3B916" w14:textId="77777777" w:rsidR="00551E50" w:rsidRPr="00055200" w:rsidRDefault="00551E50" w:rsidP="007D1846">
      <w:pPr>
        <w:pStyle w:val="ListParagraph"/>
        <w:numPr>
          <w:ilvl w:val="0"/>
          <w:numId w:val="32"/>
        </w:numPr>
        <w:spacing w:after="0" w:line="240" w:lineRule="auto"/>
        <w:ind w:left="720"/>
        <w:contextualSpacing w:val="0"/>
        <w:rPr>
          <w:rFonts w:cstheme="minorHAnsi"/>
          <w:sz w:val="24"/>
          <w:szCs w:val="24"/>
        </w:rPr>
      </w:pPr>
      <w:r w:rsidRPr="00055200">
        <w:rPr>
          <w:rFonts w:cstheme="minorHAnsi"/>
          <w:sz w:val="24"/>
          <w:szCs w:val="24"/>
        </w:rPr>
        <w:t>Staff must have daily LFT’s when working within an outbreak situation. This includes facilities and estates. When not in an outbreak, staff should be completing LFT’s twice weekly.</w:t>
      </w:r>
    </w:p>
    <w:p w14:paraId="26D05C42" w14:textId="77777777" w:rsidR="00551E50" w:rsidRPr="00055200" w:rsidRDefault="00551E50" w:rsidP="007D1846">
      <w:pPr>
        <w:pStyle w:val="ListParagraph"/>
        <w:numPr>
          <w:ilvl w:val="0"/>
          <w:numId w:val="32"/>
        </w:numPr>
        <w:spacing w:after="0" w:line="240" w:lineRule="auto"/>
        <w:ind w:left="720"/>
        <w:contextualSpacing w:val="0"/>
        <w:rPr>
          <w:rFonts w:cstheme="minorHAnsi"/>
          <w:sz w:val="24"/>
          <w:szCs w:val="24"/>
        </w:rPr>
      </w:pPr>
      <w:r w:rsidRPr="00055200">
        <w:rPr>
          <w:rFonts w:cstheme="minorHAnsi"/>
          <w:sz w:val="24"/>
          <w:szCs w:val="24"/>
        </w:rPr>
        <w:t>Screening and triaging of visitors</w:t>
      </w:r>
    </w:p>
    <w:p w14:paraId="22700C98" w14:textId="77777777" w:rsidR="00551E50" w:rsidRPr="00055200" w:rsidRDefault="00551E50" w:rsidP="007D1846">
      <w:pPr>
        <w:pStyle w:val="ListParagraph"/>
        <w:numPr>
          <w:ilvl w:val="0"/>
          <w:numId w:val="32"/>
        </w:numPr>
        <w:spacing w:after="0" w:line="240" w:lineRule="auto"/>
        <w:ind w:left="720"/>
        <w:contextualSpacing w:val="0"/>
        <w:rPr>
          <w:rFonts w:cstheme="minorHAnsi"/>
          <w:sz w:val="24"/>
          <w:szCs w:val="24"/>
        </w:rPr>
      </w:pPr>
      <w:r w:rsidRPr="00055200">
        <w:rPr>
          <w:rFonts w:cstheme="minorHAnsi"/>
          <w:sz w:val="24"/>
          <w:szCs w:val="24"/>
        </w:rPr>
        <w:t>Mask wearing in admin offices</w:t>
      </w:r>
    </w:p>
    <w:p w14:paraId="3F9FFB09" w14:textId="77777777" w:rsidR="00551E50" w:rsidRPr="00055200" w:rsidRDefault="00551E50" w:rsidP="007D1846">
      <w:pPr>
        <w:pStyle w:val="ListParagraph"/>
        <w:numPr>
          <w:ilvl w:val="0"/>
          <w:numId w:val="32"/>
        </w:numPr>
        <w:spacing w:after="0" w:line="240" w:lineRule="auto"/>
        <w:ind w:left="720"/>
        <w:contextualSpacing w:val="0"/>
        <w:rPr>
          <w:rFonts w:cstheme="minorHAnsi"/>
          <w:sz w:val="24"/>
          <w:szCs w:val="24"/>
        </w:rPr>
      </w:pPr>
      <w:r w:rsidRPr="00055200">
        <w:rPr>
          <w:rFonts w:cstheme="minorHAnsi"/>
          <w:sz w:val="24"/>
          <w:szCs w:val="24"/>
        </w:rPr>
        <w:t>Social distancing at work</w:t>
      </w:r>
    </w:p>
    <w:p w14:paraId="776E5D9C" w14:textId="77777777" w:rsidR="00551E50" w:rsidRPr="00055200" w:rsidRDefault="00551E50" w:rsidP="007D1846">
      <w:pPr>
        <w:pStyle w:val="ListParagraph"/>
        <w:numPr>
          <w:ilvl w:val="0"/>
          <w:numId w:val="32"/>
        </w:numPr>
        <w:spacing w:after="0" w:line="240" w:lineRule="auto"/>
        <w:ind w:left="720"/>
        <w:contextualSpacing w:val="0"/>
        <w:rPr>
          <w:rFonts w:cstheme="minorHAnsi"/>
          <w:sz w:val="24"/>
          <w:szCs w:val="24"/>
        </w:rPr>
      </w:pPr>
      <w:r w:rsidRPr="00055200">
        <w:rPr>
          <w:rFonts w:cstheme="minorHAnsi"/>
          <w:sz w:val="24"/>
          <w:szCs w:val="24"/>
        </w:rPr>
        <w:t>Keeping desks clear and wiping down between use</w:t>
      </w:r>
    </w:p>
    <w:p w14:paraId="600A259A" w14:textId="77777777" w:rsidR="00551E50" w:rsidRPr="00055200" w:rsidRDefault="00551E50" w:rsidP="007D1846">
      <w:pPr>
        <w:pStyle w:val="ListParagraph"/>
        <w:numPr>
          <w:ilvl w:val="0"/>
          <w:numId w:val="32"/>
        </w:numPr>
        <w:spacing w:after="0" w:line="240" w:lineRule="auto"/>
        <w:ind w:left="720"/>
        <w:contextualSpacing w:val="0"/>
        <w:rPr>
          <w:rFonts w:cstheme="minorHAnsi"/>
          <w:sz w:val="24"/>
          <w:szCs w:val="24"/>
        </w:rPr>
      </w:pPr>
      <w:r w:rsidRPr="00055200">
        <w:rPr>
          <w:rFonts w:cstheme="minorHAnsi"/>
          <w:sz w:val="24"/>
          <w:szCs w:val="24"/>
        </w:rPr>
        <w:t>Carrying out symptom checks with patients that have been in contact with positive staff members</w:t>
      </w:r>
    </w:p>
    <w:p w14:paraId="2EAD66DC" w14:textId="77777777" w:rsidR="00551E50" w:rsidRPr="00055200" w:rsidRDefault="00551E50" w:rsidP="007D1846">
      <w:pPr>
        <w:pStyle w:val="ListParagraph"/>
        <w:numPr>
          <w:ilvl w:val="0"/>
          <w:numId w:val="32"/>
        </w:numPr>
        <w:spacing w:after="0" w:line="240" w:lineRule="auto"/>
        <w:ind w:left="720"/>
        <w:contextualSpacing w:val="0"/>
        <w:rPr>
          <w:rFonts w:cstheme="minorHAnsi"/>
          <w:sz w:val="24"/>
          <w:szCs w:val="24"/>
        </w:rPr>
      </w:pPr>
      <w:r w:rsidRPr="00055200">
        <w:rPr>
          <w:rFonts w:cstheme="minorHAnsi"/>
          <w:sz w:val="24"/>
          <w:szCs w:val="24"/>
        </w:rPr>
        <w:t xml:space="preserve">Early visits from the IPC team in outbreak situations have been beneficial </w:t>
      </w:r>
    </w:p>
    <w:p w14:paraId="4D4FD917" w14:textId="77777777" w:rsidR="00551E50" w:rsidRPr="00055200" w:rsidRDefault="00551E50" w:rsidP="007D1846">
      <w:pPr>
        <w:pStyle w:val="ListParagraph"/>
        <w:numPr>
          <w:ilvl w:val="0"/>
          <w:numId w:val="32"/>
        </w:numPr>
        <w:spacing w:after="0" w:line="240" w:lineRule="auto"/>
        <w:ind w:left="720"/>
        <w:contextualSpacing w:val="0"/>
        <w:rPr>
          <w:rFonts w:cstheme="minorHAnsi"/>
          <w:sz w:val="24"/>
          <w:szCs w:val="24"/>
        </w:rPr>
      </w:pPr>
      <w:r w:rsidRPr="00055200">
        <w:rPr>
          <w:rFonts w:cstheme="minorHAnsi"/>
          <w:sz w:val="24"/>
          <w:szCs w:val="24"/>
        </w:rPr>
        <w:t>How we inform patients and their families that they have HCAI and how this is recorded</w:t>
      </w:r>
    </w:p>
    <w:p w14:paraId="6CC063B5" w14:textId="18768F92" w:rsidR="00551E50" w:rsidRPr="00055200" w:rsidRDefault="00551E50" w:rsidP="007D1846">
      <w:pPr>
        <w:pStyle w:val="ListParagraph"/>
        <w:numPr>
          <w:ilvl w:val="0"/>
          <w:numId w:val="32"/>
        </w:numPr>
        <w:spacing w:after="0" w:line="240" w:lineRule="auto"/>
        <w:ind w:left="720"/>
        <w:contextualSpacing w:val="0"/>
        <w:rPr>
          <w:rFonts w:cstheme="minorHAnsi"/>
          <w:sz w:val="24"/>
          <w:szCs w:val="24"/>
        </w:rPr>
      </w:pPr>
      <w:r w:rsidRPr="00055200">
        <w:rPr>
          <w:rFonts w:cstheme="minorHAnsi"/>
          <w:sz w:val="24"/>
          <w:szCs w:val="24"/>
        </w:rPr>
        <w:t>Recording the use of offering patients masks, even if their physical/mental health doesn’t allow and ensuring that this is recorded</w:t>
      </w:r>
    </w:p>
    <w:p w14:paraId="2BBE105D" w14:textId="77777777" w:rsidR="00551E50" w:rsidRPr="00055200" w:rsidRDefault="00551E50" w:rsidP="007D1846">
      <w:pPr>
        <w:pStyle w:val="ListParagraph"/>
        <w:numPr>
          <w:ilvl w:val="0"/>
          <w:numId w:val="32"/>
        </w:numPr>
        <w:spacing w:after="0" w:line="240" w:lineRule="auto"/>
        <w:ind w:left="720"/>
        <w:contextualSpacing w:val="0"/>
        <w:rPr>
          <w:rFonts w:cstheme="minorHAnsi"/>
          <w:sz w:val="24"/>
          <w:szCs w:val="24"/>
        </w:rPr>
      </w:pPr>
      <w:r w:rsidRPr="00055200">
        <w:rPr>
          <w:rFonts w:cstheme="minorHAnsi"/>
          <w:sz w:val="24"/>
          <w:szCs w:val="24"/>
        </w:rPr>
        <w:t>Sharing of equipment</w:t>
      </w:r>
    </w:p>
    <w:p w14:paraId="124C4A3F" w14:textId="21175795" w:rsidR="00CC1638" w:rsidRPr="00055200" w:rsidRDefault="00551E50" w:rsidP="007D1846">
      <w:pPr>
        <w:pStyle w:val="ListParagraph"/>
        <w:numPr>
          <w:ilvl w:val="0"/>
          <w:numId w:val="32"/>
        </w:numPr>
        <w:spacing w:after="0" w:line="240" w:lineRule="auto"/>
        <w:ind w:left="720"/>
        <w:contextualSpacing w:val="0"/>
        <w:rPr>
          <w:rFonts w:cstheme="minorHAnsi"/>
          <w:sz w:val="24"/>
          <w:szCs w:val="24"/>
        </w:rPr>
      </w:pPr>
      <w:r w:rsidRPr="00055200">
        <w:rPr>
          <w:rFonts w:cstheme="minorHAnsi"/>
          <w:sz w:val="24"/>
          <w:szCs w:val="24"/>
        </w:rPr>
        <w:t>Staff using shared areas during outbreak situations such as lockers</w:t>
      </w:r>
    </w:p>
    <w:p w14:paraId="09921BE1" w14:textId="77777777" w:rsidR="00F3335A" w:rsidRDefault="00F3335A" w:rsidP="00F3335A">
      <w:pPr>
        <w:rPr>
          <w:rFonts w:cstheme="minorHAnsi"/>
          <w:sz w:val="24"/>
          <w:szCs w:val="24"/>
        </w:rPr>
      </w:pPr>
    </w:p>
    <w:p w14:paraId="1C8CFAD0" w14:textId="1C115C03" w:rsidR="00306DC5" w:rsidRDefault="00F3335A" w:rsidP="00F3335A">
      <w:pPr>
        <w:ind w:left="720" w:hanging="720"/>
        <w:rPr>
          <w:sz w:val="24"/>
          <w:szCs w:val="24"/>
        </w:rPr>
      </w:pPr>
      <w:r>
        <w:rPr>
          <w:rFonts w:cstheme="minorHAnsi"/>
          <w:sz w:val="24"/>
          <w:szCs w:val="24"/>
        </w:rPr>
        <w:t>3.8</w:t>
      </w:r>
      <w:r>
        <w:rPr>
          <w:rFonts w:cstheme="minorHAnsi"/>
          <w:sz w:val="24"/>
          <w:szCs w:val="24"/>
        </w:rPr>
        <w:tab/>
      </w:r>
      <w:r w:rsidR="00306DC5" w:rsidRPr="00055200">
        <w:rPr>
          <w:rFonts w:cstheme="minorHAnsi"/>
          <w:sz w:val="24"/>
          <w:szCs w:val="24"/>
        </w:rPr>
        <w:t xml:space="preserve">Further guidance </w:t>
      </w:r>
      <w:r w:rsidR="004D05AA" w:rsidRPr="00055200">
        <w:rPr>
          <w:rFonts w:cstheme="minorHAnsi"/>
          <w:sz w:val="24"/>
          <w:szCs w:val="24"/>
        </w:rPr>
        <w:t>‘</w:t>
      </w:r>
      <w:r w:rsidR="004D05AA" w:rsidRPr="00055200">
        <w:rPr>
          <w:rFonts w:cstheme="minorHAnsi"/>
          <w:i/>
          <w:iCs/>
          <w:sz w:val="24"/>
          <w:szCs w:val="24"/>
        </w:rPr>
        <w:t>Infection prevention and control for season respiratory infections in health and care settings (including SARS-CoV-2) for winter 2021 to 2022</w:t>
      </w:r>
      <w:r w:rsidR="004D05AA" w:rsidRPr="00055200">
        <w:rPr>
          <w:rFonts w:cstheme="minorHAnsi"/>
          <w:sz w:val="24"/>
          <w:szCs w:val="24"/>
        </w:rPr>
        <w:t xml:space="preserve">’, </w:t>
      </w:r>
      <w:r w:rsidR="00306DC5" w:rsidRPr="00055200">
        <w:rPr>
          <w:rFonts w:cstheme="minorHAnsi"/>
          <w:sz w:val="24"/>
          <w:szCs w:val="24"/>
        </w:rPr>
        <w:t>was published by the government on the 24 November 21</w:t>
      </w:r>
      <w:r>
        <w:rPr>
          <w:rFonts w:cstheme="minorHAnsi"/>
          <w:sz w:val="24"/>
          <w:szCs w:val="24"/>
        </w:rPr>
        <w:t xml:space="preserve">. The guidance </w:t>
      </w:r>
      <w:r w:rsidR="00306DC5" w:rsidRPr="00055200">
        <w:rPr>
          <w:rFonts w:cstheme="minorHAnsi"/>
          <w:sz w:val="24"/>
          <w:szCs w:val="24"/>
        </w:rPr>
        <w:t xml:space="preserve">is </w:t>
      </w:r>
      <w:r>
        <w:rPr>
          <w:rFonts w:cstheme="minorHAnsi"/>
          <w:sz w:val="24"/>
          <w:szCs w:val="24"/>
        </w:rPr>
        <w:t xml:space="preserve">currently </w:t>
      </w:r>
      <w:r w:rsidR="00306DC5" w:rsidRPr="00055200">
        <w:rPr>
          <w:rFonts w:cstheme="minorHAnsi"/>
          <w:sz w:val="24"/>
          <w:szCs w:val="24"/>
        </w:rPr>
        <w:t xml:space="preserve">under review by the </w:t>
      </w:r>
      <w:r>
        <w:rPr>
          <w:rFonts w:cstheme="minorHAnsi"/>
          <w:sz w:val="24"/>
          <w:szCs w:val="24"/>
        </w:rPr>
        <w:t xml:space="preserve">IPC team, </w:t>
      </w:r>
      <w:r w:rsidR="00306DC5" w:rsidRPr="00055200">
        <w:rPr>
          <w:sz w:val="24"/>
          <w:szCs w:val="24"/>
        </w:rPr>
        <w:t xml:space="preserve">to be discussed at the IPC group </w:t>
      </w:r>
      <w:r>
        <w:rPr>
          <w:sz w:val="24"/>
          <w:szCs w:val="24"/>
        </w:rPr>
        <w:t xml:space="preserve">on 14 December 21 and a briefing to </w:t>
      </w:r>
      <w:r w:rsidR="00306DC5" w:rsidRPr="00055200">
        <w:rPr>
          <w:sz w:val="24"/>
          <w:szCs w:val="24"/>
        </w:rPr>
        <w:t xml:space="preserve">Operational Executive Board </w:t>
      </w:r>
      <w:r>
        <w:rPr>
          <w:sz w:val="24"/>
          <w:szCs w:val="24"/>
        </w:rPr>
        <w:t>on 17 December 21.</w:t>
      </w:r>
    </w:p>
    <w:p w14:paraId="446A6F3B" w14:textId="77777777" w:rsidR="002B6695" w:rsidRDefault="00F3335A" w:rsidP="002B6695">
      <w:pPr>
        <w:pStyle w:val="Default"/>
        <w:spacing w:after="200" w:line="276" w:lineRule="auto"/>
        <w:ind w:left="720" w:hanging="720"/>
        <w:rPr>
          <w:rFonts w:asciiTheme="minorHAnsi" w:hAnsiTheme="minorHAnsi" w:cstheme="minorHAnsi"/>
        </w:rPr>
      </w:pPr>
      <w:r>
        <w:rPr>
          <w:sz w:val="23"/>
          <w:szCs w:val="23"/>
        </w:rPr>
        <w:t>3.9</w:t>
      </w:r>
      <w:r>
        <w:rPr>
          <w:sz w:val="23"/>
          <w:szCs w:val="23"/>
        </w:rPr>
        <w:tab/>
      </w:r>
      <w:r w:rsidRPr="002B6695">
        <w:rPr>
          <w:rFonts w:asciiTheme="minorHAnsi" w:hAnsiTheme="minorHAnsi" w:cstheme="minorHAnsi"/>
        </w:rPr>
        <w:t xml:space="preserve">The UK Health Security Agency (UKHSA), formerly Public Health England (PHE), has up-to-date genomic definitions for all variants of concern (VOCs) and variants under investigation (VUIs). A UKHSA technical briefing issued on 30 November 2021 outlined </w:t>
      </w:r>
      <w:r w:rsidRPr="00F3335A">
        <w:rPr>
          <w:rFonts w:asciiTheme="minorHAnsi" w:hAnsiTheme="minorHAnsi" w:cstheme="minorHAnsi"/>
        </w:rPr>
        <w:t>there are 5 current VOCs and 7 VUIs. The World Health Organization (WHO) designated B.1.1.529 as a VOC, named Omicron, on 26 November 2021</w:t>
      </w:r>
      <w:r w:rsidR="00CB081C" w:rsidRPr="002B6695">
        <w:rPr>
          <w:rFonts w:asciiTheme="minorHAnsi" w:hAnsiTheme="minorHAnsi" w:cstheme="minorHAnsi"/>
        </w:rPr>
        <w:t>.</w:t>
      </w:r>
      <w:r w:rsidRPr="00F3335A">
        <w:rPr>
          <w:rFonts w:asciiTheme="minorHAnsi" w:hAnsiTheme="minorHAnsi" w:cstheme="minorHAnsi"/>
        </w:rPr>
        <w:t xml:space="preserve"> </w:t>
      </w:r>
    </w:p>
    <w:p w14:paraId="0F21C678" w14:textId="60AD5708" w:rsidR="002B6695" w:rsidRPr="002B6695" w:rsidRDefault="002B6695" w:rsidP="002B6695">
      <w:pPr>
        <w:pStyle w:val="Default"/>
        <w:spacing w:after="200" w:line="276" w:lineRule="auto"/>
        <w:ind w:left="720"/>
        <w:rPr>
          <w:rFonts w:asciiTheme="minorHAnsi" w:hAnsiTheme="minorHAnsi" w:cstheme="minorHAnsi"/>
        </w:rPr>
      </w:pPr>
      <w:r>
        <w:rPr>
          <w:rFonts w:asciiTheme="minorHAnsi" w:hAnsiTheme="minorHAnsi" w:cstheme="minorHAnsi"/>
        </w:rPr>
        <w:t>The UKHSA issued a</w:t>
      </w:r>
      <w:r>
        <w:rPr>
          <w:rFonts w:ascii="GDS Transport" w:hAnsi="GDS Transport"/>
          <w:lang w:val="en"/>
        </w:rPr>
        <w:t xml:space="preserve"> SARS-CoV-2 variant of concern: Omicron variant risk assessment on 8 December 2021. The risk assessment outlines that the Omicron variant is likely to outcompete the Delta variant in the UK. Is as least as transmissible as the Delta variant and there is not yet sufficient data to quantify either vaccine effectiveness or risk of re-infection.</w:t>
      </w:r>
    </w:p>
    <w:bookmarkEnd w:id="0"/>
    <w:p w14:paraId="5FDFCC19" w14:textId="124F6601" w:rsidR="00527547" w:rsidRPr="000915F3" w:rsidRDefault="00D05622" w:rsidP="008511D6">
      <w:pPr>
        <w:pStyle w:val="Default"/>
        <w:spacing w:after="120" w:line="276" w:lineRule="auto"/>
        <w:rPr>
          <w:rFonts w:asciiTheme="minorHAnsi" w:hAnsiTheme="minorHAnsi"/>
          <w:b/>
          <w:color w:val="auto"/>
        </w:rPr>
      </w:pPr>
      <w:r>
        <w:rPr>
          <w:rFonts w:asciiTheme="minorHAnsi" w:hAnsiTheme="minorHAnsi"/>
          <w:b/>
          <w:color w:val="auto"/>
        </w:rPr>
        <w:t>4</w:t>
      </w:r>
      <w:r w:rsidR="005A1B35" w:rsidRPr="000915F3">
        <w:rPr>
          <w:rFonts w:asciiTheme="minorHAnsi" w:hAnsiTheme="minorHAnsi"/>
          <w:b/>
          <w:color w:val="auto"/>
        </w:rPr>
        <w:t>.</w:t>
      </w:r>
      <w:r w:rsidR="005E4B08" w:rsidRPr="000915F3">
        <w:rPr>
          <w:rFonts w:asciiTheme="minorHAnsi" w:hAnsiTheme="minorHAnsi"/>
          <w:b/>
          <w:color w:val="auto"/>
        </w:rPr>
        <w:tab/>
      </w:r>
      <w:r w:rsidR="00527431" w:rsidRPr="000915F3">
        <w:rPr>
          <w:rFonts w:asciiTheme="minorHAnsi" w:hAnsiTheme="minorHAnsi"/>
          <w:b/>
          <w:color w:val="auto"/>
        </w:rPr>
        <w:t>Seas</w:t>
      </w:r>
      <w:r w:rsidR="00527431">
        <w:rPr>
          <w:rFonts w:asciiTheme="minorHAnsi" w:hAnsiTheme="minorHAnsi"/>
          <w:b/>
          <w:color w:val="auto"/>
        </w:rPr>
        <w:t xml:space="preserve">onal </w:t>
      </w:r>
      <w:r w:rsidR="00527431" w:rsidRPr="000915F3">
        <w:rPr>
          <w:rFonts w:asciiTheme="minorHAnsi" w:hAnsiTheme="minorHAnsi"/>
          <w:b/>
          <w:color w:val="auto"/>
        </w:rPr>
        <w:t>Flu</w:t>
      </w:r>
      <w:r w:rsidR="00527547" w:rsidRPr="000915F3">
        <w:rPr>
          <w:rFonts w:asciiTheme="minorHAnsi" w:hAnsiTheme="minorHAnsi"/>
          <w:b/>
          <w:color w:val="auto"/>
        </w:rPr>
        <w:t xml:space="preserve"> vaccination programme</w:t>
      </w:r>
    </w:p>
    <w:p w14:paraId="27A5CC73" w14:textId="315F7088" w:rsidR="00527547" w:rsidRPr="000915F3" w:rsidRDefault="00D05622" w:rsidP="008511D6">
      <w:pPr>
        <w:autoSpaceDE w:val="0"/>
        <w:autoSpaceDN w:val="0"/>
        <w:adjustRightInd w:val="0"/>
        <w:spacing w:after="120"/>
        <w:ind w:left="720" w:hanging="720"/>
        <w:rPr>
          <w:rFonts w:eastAsia="Times New Roman"/>
          <w:sz w:val="24"/>
          <w:szCs w:val="24"/>
        </w:rPr>
      </w:pPr>
      <w:r>
        <w:rPr>
          <w:rFonts w:eastAsia="Times New Roman"/>
          <w:sz w:val="24"/>
          <w:szCs w:val="24"/>
        </w:rPr>
        <w:t>4</w:t>
      </w:r>
      <w:r w:rsidR="005E4B08" w:rsidRPr="000915F3">
        <w:rPr>
          <w:rFonts w:eastAsia="Times New Roman"/>
          <w:sz w:val="24"/>
          <w:szCs w:val="24"/>
        </w:rPr>
        <w:t>.1</w:t>
      </w:r>
      <w:r w:rsidR="005E4B08" w:rsidRPr="000915F3">
        <w:rPr>
          <w:rFonts w:eastAsia="Times New Roman"/>
          <w:sz w:val="24"/>
          <w:szCs w:val="24"/>
        </w:rPr>
        <w:tab/>
      </w:r>
      <w:r w:rsidR="00527547" w:rsidRPr="000915F3">
        <w:rPr>
          <w:rFonts w:eastAsia="Times New Roman"/>
          <w:sz w:val="24"/>
          <w:szCs w:val="24"/>
        </w:rPr>
        <w:t xml:space="preserve">LPT is required to deliver an annual seasonal flu campaign, offering all staff the opportunity to have the seasonal flu vaccine. </w:t>
      </w:r>
    </w:p>
    <w:p w14:paraId="1EA12ACD" w14:textId="2B75EE65" w:rsidR="00E008F4" w:rsidRPr="000915F3" w:rsidRDefault="00D05622" w:rsidP="008511D6">
      <w:pPr>
        <w:spacing w:after="120"/>
        <w:ind w:left="720" w:hanging="720"/>
        <w:rPr>
          <w:rFonts w:cstheme="minorHAnsi"/>
          <w:sz w:val="24"/>
          <w:szCs w:val="24"/>
        </w:rPr>
      </w:pPr>
      <w:r>
        <w:rPr>
          <w:sz w:val="24"/>
          <w:szCs w:val="24"/>
        </w:rPr>
        <w:t>4</w:t>
      </w:r>
      <w:r w:rsidR="005E4B08" w:rsidRPr="000915F3">
        <w:rPr>
          <w:sz w:val="24"/>
          <w:szCs w:val="24"/>
        </w:rPr>
        <w:t>.2</w:t>
      </w:r>
      <w:r w:rsidR="005E4B08" w:rsidRPr="000915F3">
        <w:rPr>
          <w:sz w:val="24"/>
          <w:szCs w:val="24"/>
        </w:rPr>
        <w:tab/>
      </w:r>
      <w:r w:rsidR="00E008F4" w:rsidRPr="000915F3">
        <w:rPr>
          <w:rFonts w:cstheme="minorHAnsi"/>
          <w:sz w:val="24"/>
          <w:szCs w:val="24"/>
        </w:rPr>
        <w:t>For context, the flu vaccination programme runs between October and February every year.  This year the</w:t>
      </w:r>
      <w:r w:rsidR="0096762B">
        <w:rPr>
          <w:rFonts w:cstheme="minorHAnsi"/>
          <w:sz w:val="24"/>
          <w:szCs w:val="24"/>
        </w:rPr>
        <w:t xml:space="preserve"> flu vaccination programme is running alongside the Covid-19 vaccination and booster programme. </w:t>
      </w:r>
    </w:p>
    <w:p w14:paraId="27F3B7D7" w14:textId="43702C60" w:rsidR="00E008F4" w:rsidRPr="000915F3" w:rsidRDefault="00D05622" w:rsidP="008511D6">
      <w:pPr>
        <w:spacing w:after="120"/>
        <w:ind w:left="720" w:hanging="720"/>
        <w:rPr>
          <w:rFonts w:cstheme="minorHAnsi"/>
          <w:sz w:val="24"/>
          <w:szCs w:val="24"/>
        </w:rPr>
      </w:pPr>
      <w:r>
        <w:rPr>
          <w:rFonts w:cstheme="minorHAnsi"/>
          <w:sz w:val="24"/>
          <w:szCs w:val="24"/>
        </w:rPr>
        <w:t>4</w:t>
      </w:r>
      <w:r w:rsidR="001D44A4">
        <w:rPr>
          <w:rFonts w:cstheme="minorHAnsi"/>
          <w:sz w:val="24"/>
          <w:szCs w:val="24"/>
        </w:rPr>
        <w:t xml:space="preserve">.3 </w:t>
      </w:r>
      <w:r w:rsidR="001D44A4">
        <w:rPr>
          <w:rFonts w:cstheme="minorHAnsi"/>
          <w:sz w:val="24"/>
          <w:szCs w:val="24"/>
        </w:rPr>
        <w:tab/>
        <w:t>The figures below identify the current position of the trust for the uptake of the flu vaccine.</w:t>
      </w:r>
    </w:p>
    <w:tbl>
      <w:tblPr>
        <w:tblW w:w="9923" w:type="dxa"/>
        <w:tblLook w:val="04A0" w:firstRow="1" w:lastRow="0" w:firstColumn="1" w:lastColumn="0" w:noHBand="0" w:noVBand="1"/>
      </w:tblPr>
      <w:tblGrid>
        <w:gridCol w:w="1100"/>
        <w:gridCol w:w="1100"/>
        <w:gridCol w:w="1100"/>
        <w:gridCol w:w="1260"/>
        <w:gridCol w:w="1100"/>
        <w:gridCol w:w="1100"/>
        <w:gridCol w:w="3163"/>
      </w:tblGrid>
      <w:tr w:rsidR="001D44A4" w:rsidRPr="001D44A4" w14:paraId="6C183C19" w14:textId="77777777" w:rsidTr="001D44A4">
        <w:trPr>
          <w:trHeight w:val="470"/>
        </w:trPr>
        <w:tc>
          <w:tcPr>
            <w:tcW w:w="1100" w:type="dxa"/>
            <w:tcBorders>
              <w:top w:val="nil"/>
              <w:left w:val="nil"/>
              <w:bottom w:val="nil"/>
              <w:right w:val="nil"/>
            </w:tcBorders>
            <w:shd w:val="clear" w:color="000000" w:fill="ACB9CA"/>
            <w:noWrap/>
            <w:vAlign w:val="bottom"/>
            <w:hideMark/>
          </w:tcPr>
          <w:p w14:paraId="4D57A411" w14:textId="77777777" w:rsidR="001D44A4" w:rsidRPr="001D44A4" w:rsidRDefault="001D44A4" w:rsidP="001D44A4">
            <w:pPr>
              <w:spacing w:after="0" w:line="240" w:lineRule="auto"/>
              <w:rPr>
                <w:rFonts w:ascii="Calibri" w:eastAsia="Times New Roman" w:hAnsi="Calibri" w:cs="Calibri"/>
                <w:b/>
                <w:bCs/>
                <w:sz w:val="28"/>
                <w:szCs w:val="28"/>
                <w:lang w:eastAsia="en-GB"/>
              </w:rPr>
            </w:pPr>
            <w:r w:rsidRPr="001D44A4">
              <w:rPr>
                <w:rFonts w:ascii="Calibri" w:eastAsia="Times New Roman" w:hAnsi="Calibri" w:cs="Calibri"/>
                <w:b/>
                <w:bCs/>
                <w:sz w:val="28"/>
                <w:szCs w:val="28"/>
                <w:lang w:eastAsia="en-GB"/>
              </w:rPr>
              <w:t> </w:t>
            </w:r>
          </w:p>
        </w:tc>
        <w:tc>
          <w:tcPr>
            <w:tcW w:w="1100" w:type="dxa"/>
            <w:tcBorders>
              <w:top w:val="nil"/>
              <w:left w:val="nil"/>
              <w:bottom w:val="nil"/>
              <w:right w:val="nil"/>
            </w:tcBorders>
            <w:shd w:val="clear" w:color="000000" w:fill="ACB9CA"/>
            <w:noWrap/>
            <w:vAlign w:val="bottom"/>
            <w:hideMark/>
          </w:tcPr>
          <w:p w14:paraId="363E106B" w14:textId="77777777" w:rsidR="001D44A4" w:rsidRPr="001D44A4" w:rsidRDefault="001D44A4" w:rsidP="001D44A4">
            <w:pPr>
              <w:spacing w:after="0" w:line="240" w:lineRule="auto"/>
              <w:rPr>
                <w:rFonts w:ascii="Calibri" w:eastAsia="Times New Roman" w:hAnsi="Calibri" w:cs="Calibri"/>
                <w:b/>
                <w:bCs/>
                <w:sz w:val="28"/>
                <w:szCs w:val="28"/>
                <w:lang w:eastAsia="en-GB"/>
              </w:rPr>
            </w:pPr>
            <w:r w:rsidRPr="001D44A4">
              <w:rPr>
                <w:rFonts w:ascii="Calibri" w:eastAsia="Times New Roman" w:hAnsi="Calibri" w:cs="Calibri"/>
                <w:b/>
                <w:bCs/>
                <w:sz w:val="28"/>
                <w:szCs w:val="28"/>
                <w:lang w:eastAsia="en-GB"/>
              </w:rPr>
              <w:t> </w:t>
            </w:r>
          </w:p>
        </w:tc>
        <w:tc>
          <w:tcPr>
            <w:tcW w:w="1100" w:type="dxa"/>
            <w:tcBorders>
              <w:top w:val="nil"/>
              <w:left w:val="nil"/>
              <w:bottom w:val="nil"/>
              <w:right w:val="nil"/>
            </w:tcBorders>
            <w:shd w:val="clear" w:color="000000" w:fill="ACB9CA"/>
            <w:noWrap/>
            <w:vAlign w:val="bottom"/>
            <w:hideMark/>
          </w:tcPr>
          <w:p w14:paraId="0608B676" w14:textId="77777777" w:rsidR="001D44A4" w:rsidRPr="001D44A4" w:rsidRDefault="001D44A4" w:rsidP="001D44A4">
            <w:pPr>
              <w:spacing w:after="0" w:line="240" w:lineRule="auto"/>
              <w:rPr>
                <w:rFonts w:ascii="Calibri" w:eastAsia="Times New Roman" w:hAnsi="Calibri" w:cs="Calibri"/>
                <w:b/>
                <w:bCs/>
                <w:sz w:val="28"/>
                <w:szCs w:val="28"/>
                <w:lang w:eastAsia="en-GB"/>
              </w:rPr>
            </w:pPr>
            <w:r w:rsidRPr="001D44A4">
              <w:rPr>
                <w:rFonts w:ascii="Calibri" w:eastAsia="Times New Roman" w:hAnsi="Calibri" w:cs="Calibri"/>
                <w:b/>
                <w:bCs/>
                <w:sz w:val="28"/>
                <w:szCs w:val="28"/>
                <w:lang w:eastAsia="en-GB"/>
              </w:rPr>
              <w:t> </w:t>
            </w:r>
          </w:p>
        </w:tc>
        <w:tc>
          <w:tcPr>
            <w:tcW w:w="1260" w:type="dxa"/>
            <w:tcBorders>
              <w:top w:val="nil"/>
              <w:left w:val="nil"/>
              <w:bottom w:val="nil"/>
              <w:right w:val="nil"/>
            </w:tcBorders>
            <w:shd w:val="clear" w:color="000000" w:fill="ACB9CA"/>
            <w:noWrap/>
            <w:vAlign w:val="bottom"/>
            <w:hideMark/>
          </w:tcPr>
          <w:p w14:paraId="174C7B53" w14:textId="77777777" w:rsidR="001D44A4" w:rsidRPr="001D44A4" w:rsidRDefault="001D44A4" w:rsidP="001D44A4">
            <w:pPr>
              <w:spacing w:after="0" w:line="240" w:lineRule="auto"/>
              <w:rPr>
                <w:rFonts w:ascii="Calibri" w:eastAsia="Times New Roman" w:hAnsi="Calibri" w:cs="Calibri"/>
                <w:b/>
                <w:bCs/>
                <w:sz w:val="28"/>
                <w:szCs w:val="28"/>
                <w:lang w:eastAsia="en-GB"/>
              </w:rPr>
            </w:pPr>
            <w:r w:rsidRPr="001D44A4">
              <w:rPr>
                <w:rFonts w:ascii="Calibri" w:eastAsia="Times New Roman" w:hAnsi="Calibri" w:cs="Calibri"/>
                <w:b/>
                <w:bCs/>
                <w:sz w:val="28"/>
                <w:szCs w:val="28"/>
                <w:lang w:eastAsia="en-GB"/>
              </w:rPr>
              <w:t> </w:t>
            </w:r>
          </w:p>
        </w:tc>
        <w:tc>
          <w:tcPr>
            <w:tcW w:w="1100" w:type="dxa"/>
            <w:tcBorders>
              <w:top w:val="nil"/>
              <w:left w:val="nil"/>
              <w:bottom w:val="nil"/>
              <w:right w:val="nil"/>
            </w:tcBorders>
            <w:shd w:val="clear" w:color="000000" w:fill="ACB9CA"/>
            <w:noWrap/>
            <w:vAlign w:val="bottom"/>
            <w:hideMark/>
          </w:tcPr>
          <w:p w14:paraId="6C23EA4E" w14:textId="77777777" w:rsidR="001D44A4" w:rsidRPr="001D44A4" w:rsidRDefault="001D44A4" w:rsidP="001D44A4">
            <w:pPr>
              <w:spacing w:after="0" w:line="240" w:lineRule="auto"/>
              <w:rPr>
                <w:rFonts w:ascii="Calibri" w:eastAsia="Times New Roman" w:hAnsi="Calibri" w:cs="Calibri"/>
                <w:b/>
                <w:bCs/>
                <w:sz w:val="28"/>
                <w:szCs w:val="28"/>
                <w:lang w:eastAsia="en-GB"/>
              </w:rPr>
            </w:pPr>
            <w:r w:rsidRPr="001D44A4">
              <w:rPr>
                <w:rFonts w:ascii="Calibri" w:eastAsia="Times New Roman" w:hAnsi="Calibri" w:cs="Calibri"/>
                <w:b/>
                <w:bCs/>
                <w:sz w:val="28"/>
                <w:szCs w:val="28"/>
                <w:lang w:eastAsia="en-GB"/>
              </w:rPr>
              <w:t> </w:t>
            </w:r>
          </w:p>
        </w:tc>
        <w:tc>
          <w:tcPr>
            <w:tcW w:w="4263" w:type="dxa"/>
            <w:gridSpan w:val="2"/>
            <w:tcBorders>
              <w:top w:val="nil"/>
              <w:left w:val="nil"/>
              <w:bottom w:val="nil"/>
              <w:right w:val="nil"/>
            </w:tcBorders>
            <w:shd w:val="clear" w:color="000000" w:fill="ACB9CA"/>
            <w:noWrap/>
            <w:vAlign w:val="bottom"/>
            <w:hideMark/>
          </w:tcPr>
          <w:p w14:paraId="18861D21" w14:textId="77777777" w:rsidR="001D44A4" w:rsidRPr="001D44A4" w:rsidRDefault="001D44A4" w:rsidP="001D44A4">
            <w:pPr>
              <w:spacing w:after="0" w:line="240" w:lineRule="auto"/>
              <w:rPr>
                <w:rFonts w:ascii="Calibri" w:eastAsia="Times New Roman" w:hAnsi="Calibri" w:cs="Calibri"/>
                <w:b/>
                <w:bCs/>
                <w:sz w:val="28"/>
                <w:szCs w:val="28"/>
                <w:lang w:eastAsia="en-GB"/>
              </w:rPr>
            </w:pPr>
            <w:r w:rsidRPr="001D44A4">
              <w:rPr>
                <w:rFonts w:ascii="Calibri" w:eastAsia="Times New Roman" w:hAnsi="Calibri" w:cs="Calibri"/>
                <w:b/>
                <w:bCs/>
                <w:sz w:val="28"/>
                <w:szCs w:val="28"/>
                <w:lang w:eastAsia="en-GB"/>
              </w:rPr>
              <w:t xml:space="preserve">Accurate to 30 November 2021 </w:t>
            </w:r>
          </w:p>
        </w:tc>
      </w:tr>
      <w:tr w:rsidR="001D44A4" w:rsidRPr="001D44A4" w14:paraId="21F03FE5" w14:textId="77777777" w:rsidTr="001D44A4">
        <w:trPr>
          <w:trHeight w:val="290"/>
        </w:trPr>
        <w:tc>
          <w:tcPr>
            <w:tcW w:w="1100" w:type="dxa"/>
            <w:tcBorders>
              <w:top w:val="nil"/>
              <w:left w:val="nil"/>
              <w:bottom w:val="nil"/>
              <w:right w:val="nil"/>
            </w:tcBorders>
            <w:shd w:val="clear" w:color="auto" w:fill="auto"/>
            <w:noWrap/>
            <w:vAlign w:val="bottom"/>
            <w:hideMark/>
          </w:tcPr>
          <w:p w14:paraId="78C6855D" w14:textId="77777777" w:rsidR="001D44A4" w:rsidRPr="001D44A4" w:rsidRDefault="001D44A4" w:rsidP="001D44A4">
            <w:pPr>
              <w:spacing w:after="0" w:line="240" w:lineRule="auto"/>
              <w:rPr>
                <w:rFonts w:ascii="Calibri" w:eastAsia="Times New Roman" w:hAnsi="Calibri" w:cs="Calibri"/>
                <w:b/>
                <w:bCs/>
                <w:sz w:val="28"/>
                <w:szCs w:val="28"/>
                <w:lang w:eastAsia="en-GB"/>
              </w:rPr>
            </w:pPr>
          </w:p>
        </w:tc>
        <w:tc>
          <w:tcPr>
            <w:tcW w:w="1100" w:type="dxa"/>
            <w:tcBorders>
              <w:top w:val="nil"/>
              <w:left w:val="nil"/>
              <w:bottom w:val="nil"/>
              <w:right w:val="nil"/>
            </w:tcBorders>
            <w:shd w:val="clear" w:color="auto" w:fill="auto"/>
            <w:noWrap/>
            <w:vAlign w:val="bottom"/>
            <w:hideMark/>
          </w:tcPr>
          <w:p w14:paraId="72F72B68"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0F4920E8"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03801BF5"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64BD37E7"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4DDC227B"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3163" w:type="dxa"/>
            <w:tcBorders>
              <w:top w:val="nil"/>
              <w:left w:val="nil"/>
              <w:bottom w:val="nil"/>
              <w:right w:val="nil"/>
            </w:tcBorders>
            <w:shd w:val="clear" w:color="auto" w:fill="auto"/>
            <w:noWrap/>
            <w:vAlign w:val="bottom"/>
            <w:hideMark/>
          </w:tcPr>
          <w:p w14:paraId="1123B555"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r>
      <w:tr w:rsidR="001D44A4" w:rsidRPr="001D44A4" w14:paraId="21096A2C" w14:textId="77777777" w:rsidTr="001D44A4">
        <w:trPr>
          <w:trHeight w:val="290"/>
        </w:trPr>
        <w:tc>
          <w:tcPr>
            <w:tcW w:w="1100" w:type="dxa"/>
            <w:tcBorders>
              <w:top w:val="nil"/>
              <w:left w:val="nil"/>
              <w:bottom w:val="nil"/>
              <w:right w:val="nil"/>
            </w:tcBorders>
            <w:shd w:val="clear" w:color="auto" w:fill="auto"/>
            <w:noWrap/>
            <w:vAlign w:val="bottom"/>
            <w:hideMark/>
          </w:tcPr>
          <w:p w14:paraId="18CFE8A5"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7B1CBB1C"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184311B8"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600B6CB9"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3156EDD8"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4263" w:type="dxa"/>
            <w:gridSpan w:val="2"/>
            <w:tcBorders>
              <w:top w:val="single" w:sz="4" w:space="0" w:color="808080"/>
              <w:left w:val="nil"/>
              <w:bottom w:val="single" w:sz="4" w:space="0" w:color="808080"/>
              <w:right w:val="single" w:sz="4" w:space="0" w:color="808080"/>
            </w:tcBorders>
            <w:shd w:val="clear" w:color="000000" w:fill="ACB9CA"/>
            <w:noWrap/>
            <w:vAlign w:val="bottom"/>
            <w:hideMark/>
          </w:tcPr>
          <w:p w14:paraId="6AD8FA5B" w14:textId="77777777" w:rsidR="001D44A4" w:rsidRPr="001D44A4" w:rsidRDefault="001D44A4" w:rsidP="001D44A4">
            <w:pPr>
              <w:spacing w:after="0" w:line="240" w:lineRule="auto"/>
              <w:jc w:val="center"/>
              <w:rPr>
                <w:rFonts w:ascii="Calibri" w:eastAsia="Times New Roman" w:hAnsi="Calibri" w:cs="Calibri"/>
                <w:b/>
                <w:bCs/>
                <w:sz w:val="18"/>
                <w:szCs w:val="18"/>
                <w:lang w:eastAsia="en-GB"/>
              </w:rPr>
            </w:pPr>
            <w:r w:rsidRPr="001D44A4">
              <w:rPr>
                <w:rFonts w:ascii="Calibri" w:eastAsia="Times New Roman" w:hAnsi="Calibri" w:cs="Calibri"/>
                <w:b/>
                <w:bCs/>
                <w:sz w:val="18"/>
                <w:szCs w:val="18"/>
                <w:lang w:eastAsia="en-GB"/>
              </w:rPr>
              <w:t>Influenza</w:t>
            </w:r>
          </w:p>
        </w:tc>
      </w:tr>
      <w:tr w:rsidR="001D44A4" w:rsidRPr="001D44A4" w14:paraId="72259162" w14:textId="77777777" w:rsidTr="001D44A4">
        <w:trPr>
          <w:trHeight w:val="733"/>
        </w:trPr>
        <w:tc>
          <w:tcPr>
            <w:tcW w:w="1100" w:type="dxa"/>
            <w:tcBorders>
              <w:top w:val="single" w:sz="4" w:space="0" w:color="808080"/>
              <w:left w:val="single" w:sz="4" w:space="0" w:color="808080"/>
              <w:bottom w:val="single" w:sz="4" w:space="0" w:color="808080"/>
              <w:right w:val="nil"/>
            </w:tcBorders>
            <w:shd w:val="clear" w:color="000000" w:fill="ACB9CA"/>
            <w:vAlign w:val="center"/>
            <w:hideMark/>
          </w:tcPr>
          <w:p w14:paraId="013AF03B" w14:textId="77777777" w:rsidR="001D44A4" w:rsidRPr="001D44A4" w:rsidRDefault="001D44A4" w:rsidP="001D44A4">
            <w:pPr>
              <w:spacing w:after="0" w:line="240" w:lineRule="auto"/>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All staff</w:t>
            </w:r>
          </w:p>
        </w:tc>
        <w:tc>
          <w:tcPr>
            <w:tcW w:w="1100" w:type="dxa"/>
            <w:tcBorders>
              <w:top w:val="single" w:sz="4" w:space="0" w:color="808080"/>
              <w:left w:val="nil"/>
              <w:bottom w:val="single" w:sz="4" w:space="0" w:color="808080"/>
              <w:right w:val="nil"/>
            </w:tcBorders>
            <w:shd w:val="clear" w:color="000000" w:fill="ACB9CA"/>
            <w:vAlign w:val="center"/>
            <w:hideMark/>
          </w:tcPr>
          <w:p w14:paraId="4D1EBD88" w14:textId="77777777" w:rsidR="001D44A4" w:rsidRPr="001D44A4" w:rsidRDefault="001D44A4" w:rsidP="001D44A4">
            <w:pPr>
              <w:spacing w:after="0" w:line="240" w:lineRule="auto"/>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 </w:t>
            </w:r>
          </w:p>
        </w:tc>
        <w:tc>
          <w:tcPr>
            <w:tcW w:w="1100" w:type="dxa"/>
            <w:tcBorders>
              <w:top w:val="single" w:sz="4" w:space="0" w:color="808080"/>
              <w:left w:val="nil"/>
              <w:bottom w:val="single" w:sz="4" w:space="0" w:color="808080"/>
              <w:right w:val="nil"/>
            </w:tcBorders>
            <w:shd w:val="clear" w:color="000000" w:fill="ACB9CA"/>
            <w:vAlign w:val="center"/>
            <w:hideMark/>
          </w:tcPr>
          <w:p w14:paraId="2F59E9CB" w14:textId="77777777" w:rsidR="001D44A4" w:rsidRPr="001D44A4" w:rsidRDefault="001D44A4" w:rsidP="001D44A4">
            <w:pPr>
              <w:spacing w:after="0" w:line="240" w:lineRule="auto"/>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 </w:t>
            </w:r>
          </w:p>
        </w:tc>
        <w:tc>
          <w:tcPr>
            <w:tcW w:w="1260" w:type="dxa"/>
            <w:tcBorders>
              <w:top w:val="single" w:sz="4" w:space="0" w:color="808080"/>
              <w:left w:val="nil"/>
              <w:bottom w:val="single" w:sz="4" w:space="0" w:color="808080"/>
              <w:right w:val="nil"/>
            </w:tcBorders>
            <w:shd w:val="clear" w:color="000000" w:fill="ACB9CA"/>
            <w:vAlign w:val="center"/>
            <w:hideMark/>
          </w:tcPr>
          <w:p w14:paraId="276AD874" w14:textId="77777777" w:rsidR="001D44A4" w:rsidRPr="001D44A4" w:rsidRDefault="001D44A4" w:rsidP="001D44A4">
            <w:pPr>
              <w:spacing w:after="0" w:line="240" w:lineRule="auto"/>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 </w:t>
            </w:r>
          </w:p>
        </w:tc>
        <w:tc>
          <w:tcPr>
            <w:tcW w:w="1100" w:type="dxa"/>
            <w:tcBorders>
              <w:top w:val="single" w:sz="4" w:space="0" w:color="808080"/>
              <w:left w:val="single" w:sz="4" w:space="0" w:color="808080"/>
              <w:bottom w:val="single" w:sz="4" w:space="0" w:color="808080"/>
              <w:right w:val="single" w:sz="4" w:space="0" w:color="808080"/>
            </w:tcBorders>
            <w:shd w:val="clear" w:color="000000" w:fill="ACB9CA"/>
            <w:vAlign w:val="center"/>
            <w:hideMark/>
          </w:tcPr>
          <w:p w14:paraId="48FEAD76"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No. staff</w:t>
            </w:r>
          </w:p>
        </w:tc>
        <w:tc>
          <w:tcPr>
            <w:tcW w:w="1100" w:type="dxa"/>
            <w:tcBorders>
              <w:top w:val="nil"/>
              <w:left w:val="nil"/>
              <w:bottom w:val="single" w:sz="4" w:space="0" w:color="808080"/>
              <w:right w:val="single" w:sz="4" w:space="0" w:color="808080"/>
            </w:tcBorders>
            <w:shd w:val="clear" w:color="000000" w:fill="ACB9CA"/>
            <w:vAlign w:val="center"/>
            <w:hideMark/>
          </w:tcPr>
          <w:p w14:paraId="2BD0304C" w14:textId="77777777" w:rsidR="001D44A4" w:rsidRPr="001D44A4" w:rsidRDefault="001D44A4" w:rsidP="001D44A4">
            <w:pPr>
              <w:spacing w:after="0" w:line="240" w:lineRule="auto"/>
              <w:jc w:val="center"/>
              <w:rPr>
                <w:rFonts w:ascii="Calibri" w:eastAsia="Times New Roman" w:hAnsi="Calibri" w:cs="Calibri"/>
                <w:b/>
                <w:bCs/>
                <w:sz w:val="18"/>
                <w:szCs w:val="18"/>
                <w:lang w:eastAsia="en-GB"/>
              </w:rPr>
            </w:pPr>
            <w:r w:rsidRPr="001D44A4">
              <w:rPr>
                <w:rFonts w:ascii="Calibri" w:eastAsia="Times New Roman" w:hAnsi="Calibri" w:cs="Calibri"/>
                <w:b/>
                <w:bCs/>
                <w:sz w:val="18"/>
                <w:szCs w:val="18"/>
                <w:lang w:eastAsia="en-GB"/>
              </w:rPr>
              <w:t>1 dose</w:t>
            </w:r>
          </w:p>
        </w:tc>
        <w:tc>
          <w:tcPr>
            <w:tcW w:w="3163" w:type="dxa"/>
            <w:tcBorders>
              <w:top w:val="nil"/>
              <w:left w:val="nil"/>
              <w:bottom w:val="single" w:sz="4" w:space="0" w:color="808080"/>
              <w:right w:val="single" w:sz="4" w:space="0" w:color="808080"/>
            </w:tcBorders>
            <w:shd w:val="clear" w:color="000000" w:fill="ACB9CA"/>
            <w:vAlign w:val="center"/>
            <w:hideMark/>
          </w:tcPr>
          <w:p w14:paraId="6CD99492" w14:textId="77777777" w:rsidR="001D44A4" w:rsidRPr="001D44A4" w:rsidRDefault="001D44A4" w:rsidP="001D44A4">
            <w:pPr>
              <w:spacing w:after="0" w:line="240" w:lineRule="auto"/>
              <w:jc w:val="center"/>
              <w:rPr>
                <w:rFonts w:ascii="Calibri" w:eastAsia="Times New Roman" w:hAnsi="Calibri" w:cs="Calibri"/>
                <w:b/>
                <w:bCs/>
                <w:sz w:val="18"/>
                <w:szCs w:val="18"/>
                <w:lang w:eastAsia="en-GB"/>
              </w:rPr>
            </w:pPr>
            <w:r w:rsidRPr="001D44A4">
              <w:rPr>
                <w:rFonts w:ascii="Calibri" w:eastAsia="Times New Roman" w:hAnsi="Calibri" w:cs="Calibri"/>
                <w:b/>
                <w:bCs/>
                <w:sz w:val="18"/>
                <w:szCs w:val="18"/>
                <w:lang w:eastAsia="en-GB"/>
              </w:rPr>
              <w:t>Vaccine Uptake (%)</w:t>
            </w:r>
          </w:p>
        </w:tc>
      </w:tr>
      <w:tr w:rsidR="001D44A4" w:rsidRPr="001D44A4" w14:paraId="1433948D" w14:textId="77777777" w:rsidTr="001D44A4">
        <w:trPr>
          <w:trHeight w:val="370"/>
        </w:trPr>
        <w:tc>
          <w:tcPr>
            <w:tcW w:w="1100" w:type="dxa"/>
            <w:tcBorders>
              <w:top w:val="nil"/>
              <w:left w:val="single" w:sz="4" w:space="0" w:color="808080"/>
              <w:bottom w:val="single" w:sz="4" w:space="0" w:color="808080"/>
              <w:right w:val="nil"/>
            </w:tcBorders>
            <w:shd w:val="clear" w:color="000000" w:fill="FFFFFF"/>
            <w:noWrap/>
            <w:vAlign w:val="center"/>
            <w:hideMark/>
          </w:tcPr>
          <w:p w14:paraId="26474F9E" w14:textId="77777777" w:rsidR="001D44A4" w:rsidRPr="001D44A4" w:rsidRDefault="001D44A4" w:rsidP="001D44A4">
            <w:pPr>
              <w:spacing w:after="0" w:line="240" w:lineRule="auto"/>
              <w:rPr>
                <w:rFonts w:ascii="Calibri" w:eastAsia="Times New Roman" w:hAnsi="Calibri" w:cs="Calibri"/>
                <w:b/>
                <w:bCs/>
                <w:color w:val="000000"/>
                <w:sz w:val="28"/>
                <w:szCs w:val="28"/>
                <w:lang w:eastAsia="en-GB"/>
              </w:rPr>
            </w:pPr>
            <w:r w:rsidRPr="001D44A4">
              <w:rPr>
                <w:rFonts w:ascii="Calibri" w:eastAsia="Times New Roman" w:hAnsi="Calibri" w:cs="Calibri"/>
                <w:b/>
                <w:bCs/>
                <w:color w:val="000000"/>
                <w:sz w:val="28"/>
                <w:szCs w:val="28"/>
                <w:lang w:eastAsia="en-GB"/>
              </w:rPr>
              <w:t>Total</w:t>
            </w:r>
          </w:p>
        </w:tc>
        <w:tc>
          <w:tcPr>
            <w:tcW w:w="1100" w:type="dxa"/>
            <w:tcBorders>
              <w:top w:val="nil"/>
              <w:left w:val="nil"/>
              <w:bottom w:val="single" w:sz="4" w:space="0" w:color="808080"/>
              <w:right w:val="nil"/>
            </w:tcBorders>
            <w:shd w:val="clear" w:color="000000" w:fill="FFFFFF"/>
            <w:noWrap/>
            <w:vAlign w:val="center"/>
            <w:hideMark/>
          </w:tcPr>
          <w:p w14:paraId="18C63359" w14:textId="77777777" w:rsidR="001D44A4" w:rsidRPr="001D44A4" w:rsidRDefault="001D44A4" w:rsidP="001D44A4">
            <w:pPr>
              <w:spacing w:after="0" w:line="240" w:lineRule="auto"/>
              <w:rPr>
                <w:rFonts w:ascii="Calibri" w:eastAsia="Times New Roman" w:hAnsi="Calibri" w:cs="Calibri"/>
                <w:b/>
                <w:bCs/>
                <w:color w:val="000000"/>
                <w:sz w:val="28"/>
                <w:szCs w:val="28"/>
                <w:lang w:eastAsia="en-GB"/>
              </w:rPr>
            </w:pPr>
            <w:r w:rsidRPr="001D44A4">
              <w:rPr>
                <w:rFonts w:ascii="Calibri" w:eastAsia="Times New Roman" w:hAnsi="Calibri" w:cs="Calibri"/>
                <w:b/>
                <w:bCs/>
                <w:color w:val="000000"/>
                <w:sz w:val="28"/>
                <w:szCs w:val="28"/>
                <w:lang w:eastAsia="en-GB"/>
              </w:rPr>
              <w:t> </w:t>
            </w:r>
          </w:p>
        </w:tc>
        <w:tc>
          <w:tcPr>
            <w:tcW w:w="1100" w:type="dxa"/>
            <w:tcBorders>
              <w:top w:val="nil"/>
              <w:left w:val="nil"/>
              <w:bottom w:val="single" w:sz="4" w:space="0" w:color="808080"/>
              <w:right w:val="nil"/>
            </w:tcBorders>
            <w:shd w:val="clear" w:color="000000" w:fill="FFFFFF"/>
            <w:noWrap/>
            <w:vAlign w:val="center"/>
            <w:hideMark/>
          </w:tcPr>
          <w:p w14:paraId="06AC93BC" w14:textId="77777777" w:rsidR="001D44A4" w:rsidRPr="001D44A4" w:rsidRDefault="001D44A4" w:rsidP="001D44A4">
            <w:pPr>
              <w:spacing w:after="0" w:line="240" w:lineRule="auto"/>
              <w:rPr>
                <w:rFonts w:ascii="Calibri" w:eastAsia="Times New Roman" w:hAnsi="Calibri" w:cs="Calibri"/>
                <w:b/>
                <w:bCs/>
                <w:color w:val="000000"/>
                <w:sz w:val="28"/>
                <w:szCs w:val="28"/>
                <w:lang w:eastAsia="en-GB"/>
              </w:rPr>
            </w:pPr>
            <w:r w:rsidRPr="001D44A4">
              <w:rPr>
                <w:rFonts w:ascii="Calibri" w:eastAsia="Times New Roman" w:hAnsi="Calibri" w:cs="Calibri"/>
                <w:b/>
                <w:bCs/>
                <w:color w:val="000000"/>
                <w:sz w:val="28"/>
                <w:szCs w:val="28"/>
                <w:lang w:eastAsia="en-GB"/>
              </w:rPr>
              <w:t> </w:t>
            </w:r>
          </w:p>
        </w:tc>
        <w:tc>
          <w:tcPr>
            <w:tcW w:w="1260" w:type="dxa"/>
            <w:tcBorders>
              <w:top w:val="nil"/>
              <w:left w:val="nil"/>
              <w:bottom w:val="single" w:sz="4" w:space="0" w:color="808080"/>
              <w:right w:val="nil"/>
            </w:tcBorders>
            <w:shd w:val="clear" w:color="000000" w:fill="FFFFFF"/>
            <w:noWrap/>
            <w:vAlign w:val="center"/>
            <w:hideMark/>
          </w:tcPr>
          <w:p w14:paraId="25AC41D4" w14:textId="77777777" w:rsidR="001D44A4" w:rsidRPr="001D44A4" w:rsidRDefault="001D44A4" w:rsidP="001D44A4">
            <w:pPr>
              <w:spacing w:after="0" w:line="240" w:lineRule="auto"/>
              <w:rPr>
                <w:rFonts w:ascii="Calibri" w:eastAsia="Times New Roman" w:hAnsi="Calibri" w:cs="Calibri"/>
                <w:b/>
                <w:bCs/>
                <w:color w:val="000000"/>
                <w:sz w:val="28"/>
                <w:szCs w:val="28"/>
                <w:lang w:eastAsia="en-GB"/>
              </w:rPr>
            </w:pPr>
            <w:r w:rsidRPr="001D44A4">
              <w:rPr>
                <w:rFonts w:ascii="Calibri" w:eastAsia="Times New Roman" w:hAnsi="Calibri" w:cs="Calibri"/>
                <w:b/>
                <w:bCs/>
                <w:color w:val="000000"/>
                <w:sz w:val="28"/>
                <w:szCs w:val="28"/>
                <w:lang w:eastAsia="en-GB"/>
              </w:rPr>
              <w:t> </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5C663423" w14:textId="77777777" w:rsidR="001D44A4" w:rsidRPr="001D44A4" w:rsidRDefault="001D44A4" w:rsidP="001D44A4">
            <w:pPr>
              <w:spacing w:after="0" w:line="240" w:lineRule="auto"/>
              <w:jc w:val="center"/>
              <w:rPr>
                <w:rFonts w:ascii="Calibri" w:eastAsia="Times New Roman" w:hAnsi="Calibri" w:cs="Calibri"/>
                <w:color w:val="000000"/>
                <w:sz w:val="28"/>
                <w:szCs w:val="28"/>
                <w:lang w:eastAsia="en-GB"/>
              </w:rPr>
            </w:pPr>
            <w:r w:rsidRPr="001D44A4">
              <w:rPr>
                <w:rFonts w:ascii="Calibri" w:eastAsia="Times New Roman" w:hAnsi="Calibri" w:cs="Calibri"/>
                <w:color w:val="000000"/>
                <w:sz w:val="28"/>
                <w:szCs w:val="28"/>
                <w:lang w:eastAsia="en-GB"/>
              </w:rPr>
              <w:t>7349</w:t>
            </w:r>
          </w:p>
        </w:tc>
        <w:tc>
          <w:tcPr>
            <w:tcW w:w="1100" w:type="dxa"/>
            <w:tcBorders>
              <w:top w:val="nil"/>
              <w:left w:val="nil"/>
              <w:bottom w:val="single" w:sz="4" w:space="0" w:color="808080"/>
              <w:right w:val="single" w:sz="4" w:space="0" w:color="808080"/>
            </w:tcBorders>
            <w:shd w:val="clear" w:color="auto" w:fill="auto"/>
            <w:noWrap/>
            <w:vAlign w:val="center"/>
            <w:hideMark/>
          </w:tcPr>
          <w:p w14:paraId="4B49687E" w14:textId="77777777" w:rsidR="001D44A4" w:rsidRPr="001D44A4" w:rsidRDefault="001D44A4" w:rsidP="001D44A4">
            <w:pPr>
              <w:spacing w:after="0" w:line="240" w:lineRule="auto"/>
              <w:jc w:val="center"/>
              <w:rPr>
                <w:rFonts w:ascii="Calibri" w:eastAsia="Times New Roman" w:hAnsi="Calibri" w:cs="Calibri"/>
                <w:color w:val="000000"/>
                <w:sz w:val="28"/>
                <w:szCs w:val="28"/>
                <w:lang w:eastAsia="en-GB"/>
              </w:rPr>
            </w:pPr>
            <w:r w:rsidRPr="001D44A4">
              <w:rPr>
                <w:rFonts w:ascii="Calibri" w:eastAsia="Times New Roman" w:hAnsi="Calibri" w:cs="Calibri"/>
                <w:color w:val="000000"/>
                <w:sz w:val="28"/>
                <w:szCs w:val="28"/>
                <w:lang w:eastAsia="en-GB"/>
              </w:rPr>
              <w:t>3399</w:t>
            </w:r>
          </w:p>
        </w:tc>
        <w:tc>
          <w:tcPr>
            <w:tcW w:w="3163" w:type="dxa"/>
            <w:tcBorders>
              <w:top w:val="nil"/>
              <w:left w:val="nil"/>
              <w:bottom w:val="single" w:sz="4" w:space="0" w:color="808080"/>
              <w:right w:val="single" w:sz="4" w:space="0" w:color="808080"/>
            </w:tcBorders>
            <w:shd w:val="clear" w:color="auto" w:fill="auto"/>
            <w:noWrap/>
            <w:vAlign w:val="center"/>
            <w:hideMark/>
          </w:tcPr>
          <w:p w14:paraId="5A3A9359" w14:textId="77777777" w:rsidR="001D44A4" w:rsidRPr="001D44A4" w:rsidRDefault="001D44A4" w:rsidP="001D44A4">
            <w:pPr>
              <w:spacing w:after="0" w:line="240" w:lineRule="auto"/>
              <w:jc w:val="center"/>
              <w:rPr>
                <w:rFonts w:ascii="Calibri" w:eastAsia="Times New Roman" w:hAnsi="Calibri" w:cs="Calibri"/>
                <w:b/>
                <w:bCs/>
                <w:color w:val="000000"/>
                <w:sz w:val="28"/>
                <w:szCs w:val="28"/>
                <w:lang w:eastAsia="en-GB"/>
              </w:rPr>
            </w:pPr>
            <w:r w:rsidRPr="001D44A4">
              <w:rPr>
                <w:rFonts w:ascii="Calibri" w:eastAsia="Times New Roman" w:hAnsi="Calibri" w:cs="Calibri"/>
                <w:b/>
                <w:bCs/>
                <w:color w:val="000000"/>
                <w:sz w:val="28"/>
                <w:szCs w:val="28"/>
                <w:lang w:eastAsia="en-GB"/>
              </w:rPr>
              <w:t>46.3%</w:t>
            </w:r>
          </w:p>
        </w:tc>
      </w:tr>
      <w:tr w:rsidR="001D44A4" w:rsidRPr="001D44A4" w14:paraId="66F6666C" w14:textId="77777777" w:rsidTr="001D44A4">
        <w:trPr>
          <w:trHeight w:val="290"/>
        </w:trPr>
        <w:tc>
          <w:tcPr>
            <w:tcW w:w="2200" w:type="dxa"/>
            <w:gridSpan w:val="2"/>
            <w:tcBorders>
              <w:top w:val="single" w:sz="4" w:space="0" w:color="808080"/>
              <w:left w:val="single" w:sz="4" w:space="0" w:color="808080"/>
              <w:bottom w:val="single" w:sz="4" w:space="0" w:color="808080"/>
              <w:right w:val="nil"/>
            </w:tcBorders>
            <w:shd w:val="clear" w:color="auto" w:fill="auto"/>
            <w:noWrap/>
            <w:vAlign w:val="center"/>
            <w:hideMark/>
          </w:tcPr>
          <w:p w14:paraId="19D6A92F" w14:textId="77777777" w:rsidR="001D44A4" w:rsidRPr="001D44A4" w:rsidRDefault="001D44A4" w:rsidP="001D44A4">
            <w:pPr>
              <w:spacing w:after="0" w:line="240" w:lineRule="auto"/>
              <w:ind w:firstLineChars="100" w:firstLine="180"/>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Of which LPT staff</w:t>
            </w:r>
          </w:p>
        </w:tc>
        <w:tc>
          <w:tcPr>
            <w:tcW w:w="1100" w:type="dxa"/>
            <w:tcBorders>
              <w:top w:val="nil"/>
              <w:left w:val="nil"/>
              <w:bottom w:val="single" w:sz="4" w:space="0" w:color="808080"/>
              <w:right w:val="nil"/>
            </w:tcBorders>
            <w:shd w:val="clear" w:color="auto" w:fill="auto"/>
            <w:noWrap/>
            <w:vAlign w:val="center"/>
            <w:hideMark/>
          </w:tcPr>
          <w:p w14:paraId="5B25403F"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260" w:type="dxa"/>
            <w:tcBorders>
              <w:top w:val="nil"/>
              <w:left w:val="nil"/>
              <w:bottom w:val="single" w:sz="4" w:space="0" w:color="808080"/>
              <w:right w:val="nil"/>
            </w:tcBorders>
            <w:shd w:val="clear" w:color="auto" w:fill="auto"/>
            <w:noWrap/>
            <w:vAlign w:val="center"/>
            <w:hideMark/>
          </w:tcPr>
          <w:p w14:paraId="3F1E985D"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13C7FBB5"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6732</w:t>
            </w:r>
          </w:p>
        </w:tc>
        <w:tc>
          <w:tcPr>
            <w:tcW w:w="1100" w:type="dxa"/>
            <w:tcBorders>
              <w:top w:val="nil"/>
              <w:left w:val="nil"/>
              <w:bottom w:val="single" w:sz="4" w:space="0" w:color="808080"/>
              <w:right w:val="single" w:sz="4" w:space="0" w:color="808080"/>
            </w:tcBorders>
            <w:shd w:val="clear" w:color="auto" w:fill="auto"/>
            <w:noWrap/>
            <w:vAlign w:val="center"/>
            <w:hideMark/>
          </w:tcPr>
          <w:p w14:paraId="05440159"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3167</w:t>
            </w:r>
          </w:p>
        </w:tc>
        <w:tc>
          <w:tcPr>
            <w:tcW w:w="3163" w:type="dxa"/>
            <w:tcBorders>
              <w:top w:val="nil"/>
              <w:left w:val="nil"/>
              <w:bottom w:val="single" w:sz="4" w:space="0" w:color="808080"/>
              <w:right w:val="single" w:sz="4" w:space="0" w:color="808080"/>
            </w:tcBorders>
            <w:shd w:val="clear" w:color="auto" w:fill="auto"/>
            <w:noWrap/>
            <w:vAlign w:val="center"/>
            <w:hideMark/>
          </w:tcPr>
          <w:p w14:paraId="1CF465E9"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47.0%</w:t>
            </w:r>
          </w:p>
        </w:tc>
      </w:tr>
      <w:tr w:rsidR="001D44A4" w:rsidRPr="001D44A4" w14:paraId="275916BD" w14:textId="77777777" w:rsidTr="001D44A4">
        <w:trPr>
          <w:trHeight w:val="290"/>
        </w:trPr>
        <w:tc>
          <w:tcPr>
            <w:tcW w:w="3300" w:type="dxa"/>
            <w:gridSpan w:val="3"/>
            <w:tcBorders>
              <w:top w:val="single" w:sz="4" w:space="0" w:color="808080"/>
              <w:left w:val="single" w:sz="4" w:space="0" w:color="808080"/>
              <w:bottom w:val="single" w:sz="4" w:space="0" w:color="808080"/>
              <w:right w:val="nil"/>
            </w:tcBorders>
            <w:shd w:val="clear" w:color="000000" w:fill="FFFFFF"/>
            <w:noWrap/>
            <w:vAlign w:val="center"/>
            <w:hideMark/>
          </w:tcPr>
          <w:p w14:paraId="15C421B7" w14:textId="77777777" w:rsidR="001D44A4" w:rsidRPr="001D44A4" w:rsidRDefault="001D44A4" w:rsidP="001D44A4">
            <w:pPr>
              <w:spacing w:after="0" w:line="240" w:lineRule="auto"/>
              <w:ind w:firstLineChars="100" w:firstLine="180"/>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Of which Workforce Bureau staff</w:t>
            </w:r>
          </w:p>
        </w:tc>
        <w:tc>
          <w:tcPr>
            <w:tcW w:w="1260" w:type="dxa"/>
            <w:tcBorders>
              <w:top w:val="nil"/>
              <w:left w:val="nil"/>
              <w:bottom w:val="single" w:sz="4" w:space="0" w:color="808080"/>
              <w:right w:val="nil"/>
            </w:tcBorders>
            <w:shd w:val="clear" w:color="000000" w:fill="FFFFFF"/>
            <w:noWrap/>
            <w:vAlign w:val="center"/>
            <w:hideMark/>
          </w:tcPr>
          <w:p w14:paraId="204E3336"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730F6E43"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617</w:t>
            </w:r>
          </w:p>
        </w:tc>
        <w:tc>
          <w:tcPr>
            <w:tcW w:w="1100" w:type="dxa"/>
            <w:tcBorders>
              <w:top w:val="nil"/>
              <w:left w:val="nil"/>
              <w:bottom w:val="single" w:sz="4" w:space="0" w:color="808080"/>
              <w:right w:val="single" w:sz="4" w:space="0" w:color="808080"/>
            </w:tcBorders>
            <w:shd w:val="clear" w:color="auto" w:fill="auto"/>
            <w:noWrap/>
            <w:vAlign w:val="center"/>
            <w:hideMark/>
          </w:tcPr>
          <w:p w14:paraId="3859D246"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232</w:t>
            </w:r>
          </w:p>
        </w:tc>
        <w:tc>
          <w:tcPr>
            <w:tcW w:w="3163" w:type="dxa"/>
            <w:tcBorders>
              <w:top w:val="nil"/>
              <w:left w:val="nil"/>
              <w:bottom w:val="single" w:sz="4" w:space="0" w:color="808080"/>
              <w:right w:val="single" w:sz="4" w:space="0" w:color="808080"/>
            </w:tcBorders>
            <w:shd w:val="clear" w:color="auto" w:fill="auto"/>
            <w:noWrap/>
            <w:vAlign w:val="center"/>
            <w:hideMark/>
          </w:tcPr>
          <w:p w14:paraId="68E4A9F5"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37.6%</w:t>
            </w:r>
          </w:p>
        </w:tc>
      </w:tr>
      <w:tr w:rsidR="001D44A4" w:rsidRPr="001D44A4" w14:paraId="7A5C15D9" w14:textId="77777777" w:rsidTr="001D44A4">
        <w:trPr>
          <w:trHeight w:val="370"/>
        </w:trPr>
        <w:tc>
          <w:tcPr>
            <w:tcW w:w="4560" w:type="dxa"/>
            <w:gridSpan w:val="4"/>
            <w:tcBorders>
              <w:top w:val="single" w:sz="4" w:space="0" w:color="808080"/>
              <w:left w:val="single" w:sz="4" w:space="0" w:color="808080"/>
              <w:bottom w:val="single" w:sz="4" w:space="0" w:color="808080"/>
              <w:right w:val="nil"/>
            </w:tcBorders>
            <w:shd w:val="clear" w:color="000000" w:fill="FFFFFF"/>
            <w:noWrap/>
            <w:vAlign w:val="center"/>
            <w:hideMark/>
          </w:tcPr>
          <w:p w14:paraId="1FCA185E" w14:textId="77777777" w:rsidR="001D44A4" w:rsidRPr="001D44A4" w:rsidRDefault="001D44A4" w:rsidP="001D44A4">
            <w:pPr>
              <w:spacing w:after="0" w:line="240" w:lineRule="auto"/>
              <w:rPr>
                <w:rFonts w:ascii="Calibri" w:eastAsia="Times New Roman" w:hAnsi="Calibri" w:cs="Calibri"/>
                <w:b/>
                <w:bCs/>
                <w:color w:val="000000"/>
                <w:sz w:val="28"/>
                <w:szCs w:val="28"/>
                <w:lang w:eastAsia="en-GB"/>
              </w:rPr>
            </w:pPr>
            <w:r w:rsidRPr="001D44A4">
              <w:rPr>
                <w:rFonts w:ascii="Calibri" w:eastAsia="Times New Roman" w:hAnsi="Calibri" w:cs="Calibri"/>
                <w:b/>
                <w:bCs/>
                <w:color w:val="000000"/>
                <w:sz w:val="28"/>
                <w:szCs w:val="28"/>
                <w:lang w:eastAsia="en-GB"/>
              </w:rPr>
              <w:t>Staff with direct patient contact</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2715A178" w14:textId="77777777" w:rsidR="001D44A4" w:rsidRPr="001D44A4" w:rsidRDefault="001D44A4" w:rsidP="001D44A4">
            <w:pPr>
              <w:spacing w:after="0" w:line="240" w:lineRule="auto"/>
              <w:jc w:val="center"/>
              <w:rPr>
                <w:rFonts w:ascii="Calibri" w:eastAsia="Times New Roman" w:hAnsi="Calibri" w:cs="Calibri"/>
                <w:color w:val="000000"/>
                <w:sz w:val="28"/>
                <w:szCs w:val="28"/>
                <w:lang w:eastAsia="en-GB"/>
              </w:rPr>
            </w:pPr>
            <w:r w:rsidRPr="001D44A4">
              <w:rPr>
                <w:rFonts w:ascii="Calibri" w:eastAsia="Times New Roman" w:hAnsi="Calibri" w:cs="Calibri"/>
                <w:color w:val="000000"/>
                <w:sz w:val="28"/>
                <w:szCs w:val="28"/>
                <w:lang w:eastAsia="en-GB"/>
              </w:rPr>
              <w:t>5804</w:t>
            </w:r>
          </w:p>
        </w:tc>
        <w:tc>
          <w:tcPr>
            <w:tcW w:w="1100" w:type="dxa"/>
            <w:tcBorders>
              <w:top w:val="nil"/>
              <w:left w:val="nil"/>
              <w:bottom w:val="single" w:sz="4" w:space="0" w:color="808080"/>
              <w:right w:val="single" w:sz="4" w:space="0" w:color="808080"/>
            </w:tcBorders>
            <w:shd w:val="clear" w:color="auto" w:fill="auto"/>
            <w:noWrap/>
            <w:vAlign w:val="center"/>
            <w:hideMark/>
          </w:tcPr>
          <w:p w14:paraId="3EBA43DA" w14:textId="77777777" w:rsidR="001D44A4" w:rsidRPr="001D44A4" w:rsidRDefault="001D44A4" w:rsidP="001D44A4">
            <w:pPr>
              <w:spacing w:after="0" w:line="240" w:lineRule="auto"/>
              <w:jc w:val="center"/>
              <w:rPr>
                <w:rFonts w:ascii="Calibri" w:eastAsia="Times New Roman" w:hAnsi="Calibri" w:cs="Calibri"/>
                <w:color w:val="000000"/>
                <w:sz w:val="28"/>
                <w:szCs w:val="28"/>
                <w:lang w:eastAsia="en-GB"/>
              </w:rPr>
            </w:pPr>
            <w:r w:rsidRPr="001D44A4">
              <w:rPr>
                <w:rFonts w:ascii="Calibri" w:eastAsia="Times New Roman" w:hAnsi="Calibri" w:cs="Calibri"/>
                <w:color w:val="000000"/>
                <w:sz w:val="28"/>
                <w:szCs w:val="28"/>
                <w:lang w:eastAsia="en-GB"/>
              </w:rPr>
              <w:t>2591</w:t>
            </w:r>
          </w:p>
        </w:tc>
        <w:tc>
          <w:tcPr>
            <w:tcW w:w="3163" w:type="dxa"/>
            <w:tcBorders>
              <w:top w:val="nil"/>
              <w:left w:val="nil"/>
              <w:bottom w:val="single" w:sz="4" w:space="0" w:color="808080"/>
              <w:right w:val="single" w:sz="4" w:space="0" w:color="808080"/>
            </w:tcBorders>
            <w:shd w:val="clear" w:color="auto" w:fill="auto"/>
            <w:noWrap/>
            <w:vAlign w:val="center"/>
            <w:hideMark/>
          </w:tcPr>
          <w:p w14:paraId="0AC9CA21" w14:textId="77777777" w:rsidR="001D44A4" w:rsidRPr="001D44A4" w:rsidRDefault="001D44A4" w:rsidP="001D44A4">
            <w:pPr>
              <w:spacing w:after="0" w:line="240" w:lineRule="auto"/>
              <w:jc w:val="center"/>
              <w:rPr>
                <w:rFonts w:ascii="Calibri" w:eastAsia="Times New Roman" w:hAnsi="Calibri" w:cs="Calibri"/>
                <w:b/>
                <w:bCs/>
                <w:color w:val="000000"/>
                <w:sz w:val="28"/>
                <w:szCs w:val="28"/>
                <w:lang w:eastAsia="en-GB"/>
              </w:rPr>
            </w:pPr>
            <w:r w:rsidRPr="001D44A4">
              <w:rPr>
                <w:rFonts w:ascii="Calibri" w:eastAsia="Times New Roman" w:hAnsi="Calibri" w:cs="Calibri"/>
                <w:b/>
                <w:bCs/>
                <w:color w:val="000000"/>
                <w:sz w:val="28"/>
                <w:szCs w:val="28"/>
                <w:lang w:eastAsia="en-GB"/>
              </w:rPr>
              <w:t>44.6%</w:t>
            </w:r>
          </w:p>
        </w:tc>
      </w:tr>
      <w:tr w:rsidR="001D44A4" w:rsidRPr="001D44A4" w14:paraId="170F5136" w14:textId="77777777" w:rsidTr="001D44A4">
        <w:trPr>
          <w:trHeight w:val="290"/>
        </w:trPr>
        <w:tc>
          <w:tcPr>
            <w:tcW w:w="2200" w:type="dxa"/>
            <w:gridSpan w:val="2"/>
            <w:tcBorders>
              <w:top w:val="single" w:sz="4" w:space="0" w:color="808080"/>
              <w:left w:val="single" w:sz="4" w:space="0" w:color="808080"/>
              <w:bottom w:val="single" w:sz="4" w:space="0" w:color="808080"/>
              <w:right w:val="nil"/>
            </w:tcBorders>
            <w:shd w:val="clear" w:color="000000" w:fill="FFFFFF"/>
            <w:noWrap/>
            <w:vAlign w:val="center"/>
            <w:hideMark/>
          </w:tcPr>
          <w:p w14:paraId="39BF1913" w14:textId="77777777" w:rsidR="001D44A4" w:rsidRPr="001D44A4" w:rsidRDefault="001D44A4" w:rsidP="001D44A4">
            <w:pPr>
              <w:spacing w:after="0" w:line="240" w:lineRule="auto"/>
              <w:ind w:firstLineChars="100" w:firstLine="180"/>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Of which LPT staff</w:t>
            </w:r>
          </w:p>
        </w:tc>
        <w:tc>
          <w:tcPr>
            <w:tcW w:w="1100" w:type="dxa"/>
            <w:tcBorders>
              <w:top w:val="nil"/>
              <w:left w:val="nil"/>
              <w:bottom w:val="single" w:sz="4" w:space="0" w:color="808080"/>
              <w:right w:val="nil"/>
            </w:tcBorders>
            <w:shd w:val="clear" w:color="000000" w:fill="FFFFFF"/>
            <w:noWrap/>
            <w:vAlign w:val="center"/>
            <w:hideMark/>
          </w:tcPr>
          <w:p w14:paraId="7331AF76"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260" w:type="dxa"/>
            <w:tcBorders>
              <w:top w:val="nil"/>
              <w:left w:val="nil"/>
              <w:bottom w:val="single" w:sz="4" w:space="0" w:color="808080"/>
              <w:right w:val="nil"/>
            </w:tcBorders>
            <w:shd w:val="clear" w:color="000000" w:fill="FFFFFF"/>
            <w:noWrap/>
            <w:vAlign w:val="center"/>
            <w:hideMark/>
          </w:tcPr>
          <w:p w14:paraId="54253F99"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3405A2A1"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5187</w:t>
            </w:r>
          </w:p>
        </w:tc>
        <w:tc>
          <w:tcPr>
            <w:tcW w:w="1100" w:type="dxa"/>
            <w:tcBorders>
              <w:top w:val="nil"/>
              <w:left w:val="nil"/>
              <w:bottom w:val="single" w:sz="4" w:space="0" w:color="808080"/>
              <w:right w:val="single" w:sz="4" w:space="0" w:color="808080"/>
            </w:tcBorders>
            <w:shd w:val="clear" w:color="auto" w:fill="auto"/>
            <w:noWrap/>
            <w:vAlign w:val="center"/>
            <w:hideMark/>
          </w:tcPr>
          <w:p w14:paraId="4FE6A627"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2359</w:t>
            </w:r>
          </w:p>
        </w:tc>
        <w:tc>
          <w:tcPr>
            <w:tcW w:w="3163" w:type="dxa"/>
            <w:tcBorders>
              <w:top w:val="nil"/>
              <w:left w:val="nil"/>
              <w:bottom w:val="single" w:sz="4" w:space="0" w:color="808080"/>
              <w:right w:val="single" w:sz="4" w:space="0" w:color="808080"/>
            </w:tcBorders>
            <w:shd w:val="clear" w:color="auto" w:fill="auto"/>
            <w:noWrap/>
            <w:vAlign w:val="center"/>
            <w:hideMark/>
          </w:tcPr>
          <w:p w14:paraId="5E8107A6"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45.5%</w:t>
            </w:r>
          </w:p>
        </w:tc>
      </w:tr>
      <w:tr w:rsidR="001D44A4" w:rsidRPr="001D44A4" w14:paraId="58800C33" w14:textId="77777777" w:rsidTr="001D44A4">
        <w:trPr>
          <w:trHeight w:val="290"/>
        </w:trPr>
        <w:tc>
          <w:tcPr>
            <w:tcW w:w="3300" w:type="dxa"/>
            <w:gridSpan w:val="3"/>
            <w:tcBorders>
              <w:top w:val="single" w:sz="4" w:space="0" w:color="808080"/>
              <w:left w:val="single" w:sz="4" w:space="0" w:color="808080"/>
              <w:bottom w:val="single" w:sz="4" w:space="0" w:color="808080"/>
              <w:right w:val="nil"/>
            </w:tcBorders>
            <w:shd w:val="clear" w:color="000000" w:fill="FFFFFF"/>
            <w:noWrap/>
            <w:vAlign w:val="center"/>
            <w:hideMark/>
          </w:tcPr>
          <w:p w14:paraId="41AB394B" w14:textId="77777777" w:rsidR="001D44A4" w:rsidRPr="001D44A4" w:rsidRDefault="001D44A4" w:rsidP="001D44A4">
            <w:pPr>
              <w:spacing w:after="0" w:line="240" w:lineRule="auto"/>
              <w:ind w:firstLineChars="100" w:firstLine="180"/>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Of which Workforce Bureau staff</w:t>
            </w:r>
          </w:p>
        </w:tc>
        <w:tc>
          <w:tcPr>
            <w:tcW w:w="1260" w:type="dxa"/>
            <w:tcBorders>
              <w:top w:val="nil"/>
              <w:left w:val="nil"/>
              <w:bottom w:val="single" w:sz="4" w:space="0" w:color="808080"/>
              <w:right w:val="nil"/>
            </w:tcBorders>
            <w:shd w:val="clear" w:color="000000" w:fill="FFFFFF"/>
            <w:noWrap/>
            <w:vAlign w:val="center"/>
            <w:hideMark/>
          </w:tcPr>
          <w:p w14:paraId="60C1C052"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03FBEDF9"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617</w:t>
            </w:r>
          </w:p>
        </w:tc>
        <w:tc>
          <w:tcPr>
            <w:tcW w:w="1100" w:type="dxa"/>
            <w:tcBorders>
              <w:top w:val="nil"/>
              <w:left w:val="nil"/>
              <w:bottom w:val="single" w:sz="4" w:space="0" w:color="808080"/>
              <w:right w:val="single" w:sz="4" w:space="0" w:color="808080"/>
            </w:tcBorders>
            <w:shd w:val="clear" w:color="auto" w:fill="auto"/>
            <w:noWrap/>
            <w:vAlign w:val="center"/>
            <w:hideMark/>
          </w:tcPr>
          <w:p w14:paraId="7F6C975E"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232</w:t>
            </w:r>
          </w:p>
        </w:tc>
        <w:tc>
          <w:tcPr>
            <w:tcW w:w="3163" w:type="dxa"/>
            <w:tcBorders>
              <w:top w:val="nil"/>
              <w:left w:val="nil"/>
              <w:bottom w:val="single" w:sz="4" w:space="0" w:color="808080"/>
              <w:right w:val="single" w:sz="4" w:space="0" w:color="808080"/>
            </w:tcBorders>
            <w:shd w:val="clear" w:color="auto" w:fill="auto"/>
            <w:noWrap/>
            <w:vAlign w:val="center"/>
            <w:hideMark/>
          </w:tcPr>
          <w:p w14:paraId="03F7E7B0"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37.6%</w:t>
            </w:r>
          </w:p>
        </w:tc>
      </w:tr>
      <w:tr w:rsidR="001D44A4" w:rsidRPr="001D44A4" w14:paraId="2AEA490D" w14:textId="77777777" w:rsidTr="001D44A4">
        <w:trPr>
          <w:trHeight w:val="370"/>
        </w:trPr>
        <w:tc>
          <w:tcPr>
            <w:tcW w:w="4560" w:type="dxa"/>
            <w:gridSpan w:val="4"/>
            <w:tcBorders>
              <w:top w:val="single" w:sz="4" w:space="0" w:color="808080"/>
              <w:left w:val="single" w:sz="4" w:space="0" w:color="808080"/>
              <w:bottom w:val="single" w:sz="4" w:space="0" w:color="808080"/>
              <w:right w:val="nil"/>
            </w:tcBorders>
            <w:shd w:val="clear" w:color="000000" w:fill="FFFFFF"/>
            <w:noWrap/>
            <w:vAlign w:val="center"/>
            <w:hideMark/>
          </w:tcPr>
          <w:p w14:paraId="4360E262" w14:textId="77777777" w:rsidR="001D44A4" w:rsidRPr="001D44A4" w:rsidRDefault="001D44A4" w:rsidP="001D44A4">
            <w:pPr>
              <w:spacing w:after="0" w:line="240" w:lineRule="auto"/>
              <w:rPr>
                <w:rFonts w:ascii="Calibri" w:eastAsia="Times New Roman" w:hAnsi="Calibri" w:cs="Calibri"/>
                <w:b/>
                <w:bCs/>
                <w:color w:val="000000"/>
                <w:sz w:val="28"/>
                <w:szCs w:val="28"/>
                <w:lang w:eastAsia="en-GB"/>
              </w:rPr>
            </w:pPr>
            <w:r w:rsidRPr="001D44A4">
              <w:rPr>
                <w:rFonts w:ascii="Calibri" w:eastAsia="Times New Roman" w:hAnsi="Calibri" w:cs="Calibri"/>
                <w:b/>
                <w:bCs/>
                <w:color w:val="000000"/>
                <w:sz w:val="28"/>
                <w:szCs w:val="28"/>
                <w:lang w:eastAsia="en-GB"/>
              </w:rPr>
              <w:t>Staff without direct patient contact</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76D9ABFB" w14:textId="77777777" w:rsidR="001D44A4" w:rsidRPr="001D44A4" w:rsidRDefault="001D44A4" w:rsidP="001D44A4">
            <w:pPr>
              <w:spacing w:after="0" w:line="240" w:lineRule="auto"/>
              <w:jc w:val="center"/>
              <w:rPr>
                <w:rFonts w:ascii="Calibri" w:eastAsia="Times New Roman" w:hAnsi="Calibri" w:cs="Calibri"/>
                <w:color w:val="000000"/>
                <w:sz w:val="28"/>
                <w:szCs w:val="28"/>
                <w:lang w:eastAsia="en-GB"/>
              </w:rPr>
            </w:pPr>
            <w:r w:rsidRPr="001D44A4">
              <w:rPr>
                <w:rFonts w:ascii="Calibri" w:eastAsia="Times New Roman" w:hAnsi="Calibri" w:cs="Calibri"/>
                <w:color w:val="000000"/>
                <w:sz w:val="28"/>
                <w:szCs w:val="28"/>
                <w:lang w:eastAsia="en-GB"/>
              </w:rPr>
              <w:t>1545</w:t>
            </w:r>
          </w:p>
        </w:tc>
        <w:tc>
          <w:tcPr>
            <w:tcW w:w="1100" w:type="dxa"/>
            <w:tcBorders>
              <w:top w:val="nil"/>
              <w:left w:val="nil"/>
              <w:bottom w:val="single" w:sz="4" w:space="0" w:color="808080"/>
              <w:right w:val="single" w:sz="4" w:space="0" w:color="808080"/>
            </w:tcBorders>
            <w:shd w:val="clear" w:color="auto" w:fill="auto"/>
            <w:noWrap/>
            <w:vAlign w:val="center"/>
            <w:hideMark/>
          </w:tcPr>
          <w:p w14:paraId="01B575EA" w14:textId="77777777" w:rsidR="001D44A4" w:rsidRPr="001D44A4" w:rsidRDefault="001D44A4" w:rsidP="001D44A4">
            <w:pPr>
              <w:spacing w:after="0" w:line="240" w:lineRule="auto"/>
              <w:jc w:val="center"/>
              <w:rPr>
                <w:rFonts w:ascii="Calibri" w:eastAsia="Times New Roman" w:hAnsi="Calibri" w:cs="Calibri"/>
                <w:color w:val="000000"/>
                <w:sz w:val="28"/>
                <w:szCs w:val="28"/>
                <w:lang w:eastAsia="en-GB"/>
              </w:rPr>
            </w:pPr>
            <w:r w:rsidRPr="001D44A4">
              <w:rPr>
                <w:rFonts w:ascii="Calibri" w:eastAsia="Times New Roman" w:hAnsi="Calibri" w:cs="Calibri"/>
                <w:color w:val="000000"/>
                <w:sz w:val="28"/>
                <w:szCs w:val="28"/>
                <w:lang w:eastAsia="en-GB"/>
              </w:rPr>
              <w:t>808</w:t>
            </w:r>
          </w:p>
        </w:tc>
        <w:tc>
          <w:tcPr>
            <w:tcW w:w="3163" w:type="dxa"/>
            <w:tcBorders>
              <w:top w:val="nil"/>
              <w:left w:val="nil"/>
              <w:bottom w:val="single" w:sz="4" w:space="0" w:color="808080"/>
              <w:right w:val="single" w:sz="4" w:space="0" w:color="808080"/>
            </w:tcBorders>
            <w:shd w:val="clear" w:color="auto" w:fill="auto"/>
            <w:noWrap/>
            <w:vAlign w:val="center"/>
            <w:hideMark/>
          </w:tcPr>
          <w:p w14:paraId="29793B72" w14:textId="77777777" w:rsidR="001D44A4" w:rsidRPr="001D44A4" w:rsidRDefault="001D44A4" w:rsidP="001D44A4">
            <w:pPr>
              <w:spacing w:after="0" w:line="240" w:lineRule="auto"/>
              <w:jc w:val="center"/>
              <w:rPr>
                <w:rFonts w:ascii="Calibri" w:eastAsia="Times New Roman" w:hAnsi="Calibri" w:cs="Calibri"/>
                <w:b/>
                <w:bCs/>
                <w:color w:val="000000"/>
                <w:sz w:val="28"/>
                <w:szCs w:val="28"/>
                <w:lang w:eastAsia="en-GB"/>
              </w:rPr>
            </w:pPr>
            <w:r w:rsidRPr="001D44A4">
              <w:rPr>
                <w:rFonts w:ascii="Calibri" w:eastAsia="Times New Roman" w:hAnsi="Calibri" w:cs="Calibri"/>
                <w:b/>
                <w:bCs/>
                <w:color w:val="000000"/>
                <w:sz w:val="28"/>
                <w:szCs w:val="28"/>
                <w:lang w:eastAsia="en-GB"/>
              </w:rPr>
              <w:t>52.3%</w:t>
            </w:r>
          </w:p>
        </w:tc>
      </w:tr>
      <w:tr w:rsidR="001D44A4" w:rsidRPr="001D44A4" w14:paraId="7101CE60" w14:textId="77777777" w:rsidTr="001D44A4">
        <w:trPr>
          <w:trHeight w:val="290"/>
        </w:trPr>
        <w:tc>
          <w:tcPr>
            <w:tcW w:w="2200" w:type="dxa"/>
            <w:gridSpan w:val="2"/>
            <w:tcBorders>
              <w:top w:val="single" w:sz="4" w:space="0" w:color="808080"/>
              <w:left w:val="single" w:sz="4" w:space="0" w:color="808080"/>
              <w:bottom w:val="single" w:sz="4" w:space="0" w:color="808080"/>
              <w:right w:val="nil"/>
            </w:tcBorders>
            <w:shd w:val="clear" w:color="000000" w:fill="FFFFFF"/>
            <w:noWrap/>
            <w:vAlign w:val="center"/>
            <w:hideMark/>
          </w:tcPr>
          <w:p w14:paraId="790150E2" w14:textId="77777777" w:rsidR="001D44A4" w:rsidRPr="001D44A4" w:rsidRDefault="001D44A4" w:rsidP="001D44A4">
            <w:pPr>
              <w:spacing w:after="0" w:line="240" w:lineRule="auto"/>
              <w:ind w:firstLineChars="100" w:firstLine="180"/>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Of which LPT staff</w:t>
            </w:r>
          </w:p>
        </w:tc>
        <w:tc>
          <w:tcPr>
            <w:tcW w:w="1100" w:type="dxa"/>
            <w:tcBorders>
              <w:top w:val="nil"/>
              <w:left w:val="nil"/>
              <w:bottom w:val="single" w:sz="4" w:space="0" w:color="808080"/>
              <w:right w:val="nil"/>
            </w:tcBorders>
            <w:shd w:val="clear" w:color="000000" w:fill="FFFFFF"/>
            <w:noWrap/>
            <w:vAlign w:val="center"/>
            <w:hideMark/>
          </w:tcPr>
          <w:p w14:paraId="4288F426"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260" w:type="dxa"/>
            <w:tcBorders>
              <w:top w:val="nil"/>
              <w:left w:val="nil"/>
              <w:bottom w:val="single" w:sz="4" w:space="0" w:color="808080"/>
              <w:right w:val="nil"/>
            </w:tcBorders>
            <w:shd w:val="clear" w:color="000000" w:fill="FFFFFF"/>
            <w:noWrap/>
            <w:vAlign w:val="center"/>
            <w:hideMark/>
          </w:tcPr>
          <w:p w14:paraId="1B0B2DFF"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16F06176"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1545</w:t>
            </w:r>
          </w:p>
        </w:tc>
        <w:tc>
          <w:tcPr>
            <w:tcW w:w="1100" w:type="dxa"/>
            <w:tcBorders>
              <w:top w:val="nil"/>
              <w:left w:val="nil"/>
              <w:bottom w:val="single" w:sz="4" w:space="0" w:color="808080"/>
              <w:right w:val="single" w:sz="4" w:space="0" w:color="808080"/>
            </w:tcBorders>
            <w:shd w:val="clear" w:color="auto" w:fill="auto"/>
            <w:noWrap/>
            <w:vAlign w:val="center"/>
            <w:hideMark/>
          </w:tcPr>
          <w:p w14:paraId="53A833A4"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808</w:t>
            </w:r>
          </w:p>
        </w:tc>
        <w:tc>
          <w:tcPr>
            <w:tcW w:w="3163" w:type="dxa"/>
            <w:tcBorders>
              <w:top w:val="nil"/>
              <w:left w:val="nil"/>
              <w:bottom w:val="single" w:sz="4" w:space="0" w:color="808080"/>
              <w:right w:val="single" w:sz="4" w:space="0" w:color="808080"/>
            </w:tcBorders>
            <w:shd w:val="clear" w:color="auto" w:fill="auto"/>
            <w:noWrap/>
            <w:vAlign w:val="center"/>
            <w:hideMark/>
          </w:tcPr>
          <w:p w14:paraId="76D1FDC8"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52.3%</w:t>
            </w:r>
          </w:p>
        </w:tc>
      </w:tr>
      <w:tr w:rsidR="001D44A4" w:rsidRPr="001D44A4" w14:paraId="0A720511" w14:textId="77777777" w:rsidTr="001D44A4">
        <w:trPr>
          <w:trHeight w:val="240"/>
        </w:trPr>
        <w:tc>
          <w:tcPr>
            <w:tcW w:w="3300" w:type="dxa"/>
            <w:gridSpan w:val="3"/>
            <w:tcBorders>
              <w:top w:val="single" w:sz="4" w:space="0" w:color="808080"/>
              <w:left w:val="single" w:sz="4" w:space="0" w:color="808080"/>
              <w:bottom w:val="single" w:sz="4" w:space="0" w:color="808080"/>
              <w:right w:val="nil"/>
            </w:tcBorders>
            <w:shd w:val="clear" w:color="000000" w:fill="FFFFFF"/>
            <w:noWrap/>
            <w:vAlign w:val="center"/>
            <w:hideMark/>
          </w:tcPr>
          <w:p w14:paraId="6D57284A" w14:textId="77777777" w:rsidR="001D44A4" w:rsidRPr="001D44A4" w:rsidRDefault="001D44A4" w:rsidP="001D44A4">
            <w:pPr>
              <w:spacing w:after="0" w:line="240" w:lineRule="auto"/>
              <w:ind w:firstLineChars="100" w:firstLine="180"/>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Of which Workforce Bureau staff</w:t>
            </w:r>
          </w:p>
        </w:tc>
        <w:tc>
          <w:tcPr>
            <w:tcW w:w="1260" w:type="dxa"/>
            <w:tcBorders>
              <w:top w:val="nil"/>
              <w:left w:val="nil"/>
              <w:bottom w:val="single" w:sz="4" w:space="0" w:color="808080"/>
              <w:right w:val="nil"/>
            </w:tcBorders>
            <w:shd w:val="clear" w:color="000000" w:fill="FFFFFF"/>
            <w:noWrap/>
            <w:vAlign w:val="center"/>
            <w:hideMark/>
          </w:tcPr>
          <w:p w14:paraId="43B1A2FB"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10C65A04"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n/a</w:t>
            </w:r>
          </w:p>
        </w:tc>
        <w:tc>
          <w:tcPr>
            <w:tcW w:w="1100" w:type="dxa"/>
            <w:tcBorders>
              <w:top w:val="nil"/>
              <w:left w:val="nil"/>
              <w:bottom w:val="single" w:sz="4" w:space="0" w:color="808080"/>
              <w:right w:val="single" w:sz="4" w:space="0" w:color="808080"/>
            </w:tcBorders>
            <w:shd w:val="clear" w:color="auto" w:fill="auto"/>
            <w:noWrap/>
            <w:vAlign w:val="center"/>
            <w:hideMark/>
          </w:tcPr>
          <w:p w14:paraId="15947B6A"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n/a</w:t>
            </w:r>
          </w:p>
        </w:tc>
        <w:tc>
          <w:tcPr>
            <w:tcW w:w="3163" w:type="dxa"/>
            <w:tcBorders>
              <w:top w:val="nil"/>
              <w:left w:val="nil"/>
              <w:bottom w:val="single" w:sz="4" w:space="0" w:color="808080"/>
              <w:right w:val="single" w:sz="4" w:space="0" w:color="808080"/>
            </w:tcBorders>
            <w:shd w:val="clear" w:color="auto" w:fill="auto"/>
            <w:noWrap/>
            <w:vAlign w:val="center"/>
            <w:hideMark/>
          </w:tcPr>
          <w:p w14:paraId="7C4F54B8" w14:textId="77777777" w:rsidR="001D44A4" w:rsidRPr="001D44A4" w:rsidRDefault="001D44A4" w:rsidP="001D44A4">
            <w:pPr>
              <w:spacing w:after="0" w:line="240" w:lineRule="auto"/>
              <w:jc w:val="center"/>
              <w:rPr>
                <w:rFonts w:ascii="Calibri" w:eastAsia="Times New Roman" w:hAnsi="Calibri" w:cs="Calibri"/>
                <w:i/>
                <w:iCs/>
                <w:color w:val="000000"/>
                <w:sz w:val="18"/>
                <w:szCs w:val="18"/>
                <w:lang w:eastAsia="en-GB"/>
              </w:rPr>
            </w:pPr>
            <w:r w:rsidRPr="001D44A4">
              <w:rPr>
                <w:rFonts w:ascii="Calibri" w:eastAsia="Times New Roman" w:hAnsi="Calibri" w:cs="Calibri"/>
                <w:i/>
                <w:iCs/>
                <w:color w:val="000000"/>
                <w:sz w:val="18"/>
                <w:szCs w:val="18"/>
                <w:lang w:eastAsia="en-GB"/>
              </w:rPr>
              <w:t>n/a</w:t>
            </w:r>
          </w:p>
        </w:tc>
      </w:tr>
    </w:tbl>
    <w:p w14:paraId="59AA791F" w14:textId="7BF592D1" w:rsidR="008C14EC" w:rsidRDefault="008C14EC" w:rsidP="008C14EC">
      <w:pPr>
        <w:spacing w:after="0" w:line="240" w:lineRule="auto"/>
      </w:pPr>
    </w:p>
    <w:p w14:paraId="2B6A1AEF" w14:textId="77777777" w:rsidR="008C14EC" w:rsidRDefault="008C14EC" w:rsidP="008C14EC">
      <w:pPr>
        <w:spacing w:after="0" w:line="360" w:lineRule="auto"/>
      </w:pPr>
    </w:p>
    <w:p w14:paraId="170E6619" w14:textId="109C62F6" w:rsidR="008C14EC" w:rsidRDefault="00D05622" w:rsidP="008C14EC">
      <w:pPr>
        <w:spacing w:after="0" w:line="360" w:lineRule="auto"/>
      </w:pPr>
      <w:r>
        <w:t>4</w:t>
      </w:r>
      <w:r w:rsidR="008C14EC">
        <w:t>.4</w:t>
      </w:r>
      <w:r w:rsidR="008C14EC">
        <w:tab/>
        <w:t xml:space="preserve">The figures for the uptake of the vaccine have been broken down into staff groups which supports further </w:t>
      </w:r>
    </w:p>
    <w:p w14:paraId="25525138" w14:textId="47548E12" w:rsidR="008C14EC" w:rsidRDefault="008C14EC" w:rsidP="008C14EC">
      <w:pPr>
        <w:spacing w:after="0" w:line="360" w:lineRule="auto"/>
      </w:pPr>
      <w:r>
        <w:tab/>
        <w:t>Analysis and communication actions.</w:t>
      </w:r>
    </w:p>
    <w:tbl>
      <w:tblPr>
        <w:tblW w:w="9923" w:type="dxa"/>
        <w:tblLook w:val="04A0" w:firstRow="1" w:lastRow="0" w:firstColumn="1" w:lastColumn="0" w:noHBand="0" w:noVBand="1"/>
      </w:tblPr>
      <w:tblGrid>
        <w:gridCol w:w="1100"/>
        <w:gridCol w:w="1100"/>
        <w:gridCol w:w="1100"/>
        <w:gridCol w:w="1260"/>
        <w:gridCol w:w="1100"/>
        <w:gridCol w:w="1100"/>
        <w:gridCol w:w="3163"/>
      </w:tblGrid>
      <w:tr w:rsidR="001D44A4" w:rsidRPr="001D44A4" w14:paraId="05A6F6D2" w14:textId="77777777" w:rsidTr="001D44A4">
        <w:trPr>
          <w:trHeight w:val="290"/>
        </w:trPr>
        <w:tc>
          <w:tcPr>
            <w:tcW w:w="1100" w:type="dxa"/>
            <w:tcBorders>
              <w:top w:val="nil"/>
              <w:left w:val="nil"/>
              <w:bottom w:val="nil"/>
              <w:right w:val="nil"/>
            </w:tcBorders>
            <w:shd w:val="clear" w:color="auto" w:fill="auto"/>
            <w:noWrap/>
            <w:vAlign w:val="bottom"/>
            <w:hideMark/>
          </w:tcPr>
          <w:p w14:paraId="7C801B76" w14:textId="77777777" w:rsidR="001D44A4" w:rsidRDefault="001D44A4" w:rsidP="008C14EC">
            <w:pPr>
              <w:spacing w:after="0" w:line="240" w:lineRule="auto"/>
              <w:rPr>
                <w:rFonts w:ascii="Times New Roman" w:eastAsia="Times New Roman" w:hAnsi="Times New Roman" w:cs="Times New Roman"/>
                <w:sz w:val="20"/>
                <w:szCs w:val="20"/>
                <w:lang w:eastAsia="en-GB"/>
              </w:rPr>
            </w:pPr>
          </w:p>
          <w:p w14:paraId="1E7BA63E" w14:textId="6E3B8592" w:rsidR="008C14EC" w:rsidRPr="001D44A4" w:rsidRDefault="008C14EC" w:rsidP="008C14EC">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08A56C4C" w14:textId="77777777" w:rsidR="001D44A4" w:rsidRPr="001D44A4" w:rsidRDefault="001D44A4" w:rsidP="008C14EC">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4D3855EF" w14:textId="77777777" w:rsidR="001D44A4" w:rsidRPr="001D44A4" w:rsidRDefault="001D44A4" w:rsidP="008C14EC">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05457FC1" w14:textId="77777777" w:rsidR="001D44A4" w:rsidRPr="001D44A4" w:rsidRDefault="001D44A4" w:rsidP="008C14EC">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5642BEFE" w14:textId="77777777" w:rsidR="001D44A4" w:rsidRPr="001D44A4" w:rsidRDefault="001D44A4" w:rsidP="008C14EC">
            <w:pPr>
              <w:spacing w:after="0" w:line="240" w:lineRule="auto"/>
              <w:rPr>
                <w:rFonts w:ascii="Times New Roman" w:eastAsia="Times New Roman" w:hAnsi="Times New Roman" w:cs="Times New Roman"/>
                <w:sz w:val="20"/>
                <w:szCs w:val="20"/>
                <w:lang w:eastAsia="en-GB"/>
              </w:rPr>
            </w:pPr>
          </w:p>
        </w:tc>
        <w:tc>
          <w:tcPr>
            <w:tcW w:w="4263" w:type="dxa"/>
            <w:gridSpan w:val="2"/>
            <w:tcBorders>
              <w:top w:val="single" w:sz="4" w:space="0" w:color="808080"/>
              <w:left w:val="nil"/>
              <w:bottom w:val="single" w:sz="4" w:space="0" w:color="808080"/>
              <w:right w:val="single" w:sz="4" w:space="0" w:color="808080"/>
            </w:tcBorders>
            <w:shd w:val="clear" w:color="000000" w:fill="ACB9CA"/>
            <w:noWrap/>
            <w:vAlign w:val="bottom"/>
            <w:hideMark/>
          </w:tcPr>
          <w:p w14:paraId="4E5DF5AE" w14:textId="77777777" w:rsidR="001D44A4" w:rsidRPr="001D44A4" w:rsidRDefault="001D44A4" w:rsidP="008C14EC">
            <w:pPr>
              <w:spacing w:after="0" w:line="240" w:lineRule="auto"/>
              <w:jc w:val="center"/>
              <w:rPr>
                <w:rFonts w:ascii="Calibri" w:eastAsia="Times New Roman" w:hAnsi="Calibri" w:cs="Calibri"/>
                <w:b/>
                <w:bCs/>
                <w:sz w:val="18"/>
                <w:szCs w:val="18"/>
                <w:lang w:eastAsia="en-GB"/>
              </w:rPr>
            </w:pPr>
            <w:r w:rsidRPr="001D44A4">
              <w:rPr>
                <w:rFonts w:ascii="Calibri" w:eastAsia="Times New Roman" w:hAnsi="Calibri" w:cs="Calibri"/>
                <w:b/>
                <w:bCs/>
                <w:sz w:val="18"/>
                <w:szCs w:val="18"/>
                <w:lang w:eastAsia="en-GB"/>
              </w:rPr>
              <w:t>Influenza</w:t>
            </w:r>
          </w:p>
        </w:tc>
      </w:tr>
      <w:tr w:rsidR="001D44A4" w:rsidRPr="001D44A4" w14:paraId="62D2DADA" w14:textId="77777777" w:rsidTr="001D44A4">
        <w:trPr>
          <w:trHeight w:val="960"/>
        </w:trPr>
        <w:tc>
          <w:tcPr>
            <w:tcW w:w="4560" w:type="dxa"/>
            <w:gridSpan w:val="4"/>
            <w:tcBorders>
              <w:top w:val="single" w:sz="4" w:space="0" w:color="808080"/>
              <w:left w:val="single" w:sz="4" w:space="0" w:color="808080"/>
              <w:bottom w:val="single" w:sz="4" w:space="0" w:color="808080"/>
              <w:right w:val="single" w:sz="4" w:space="0" w:color="808080"/>
            </w:tcBorders>
            <w:shd w:val="clear" w:color="000000" w:fill="ACB9CA"/>
            <w:vAlign w:val="center"/>
            <w:hideMark/>
          </w:tcPr>
          <w:p w14:paraId="71578B43" w14:textId="77777777" w:rsidR="001D44A4" w:rsidRPr="001D44A4" w:rsidRDefault="001D44A4" w:rsidP="001D44A4">
            <w:pPr>
              <w:spacing w:after="0" w:line="240" w:lineRule="auto"/>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Staff with direct patient contact by staff group (inc WFB)</w:t>
            </w:r>
            <w:r w:rsidRPr="001D44A4">
              <w:rPr>
                <w:rFonts w:ascii="Calibri" w:eastAsia="Times New Roman" w:hAnsi="Calibri" w:cs="Calibri"/>
                <w:b/>
                <w:bCs/>
                <w:color w:val="000000"/>
                <w:sz w:val="18"/>
                <w:szCs w:val="18"/>
                <w:lang w:eastAsia="en-GB"/>
              </w:rPr>
              <w:br/>
            </w:r>
            <w:r w:rsidRPr="001D44A4">
              <w:rPr>
                <w:rFonts w:ascii="Calibri" w:eastAsia="Times New Roman" w:hAnsi="Calibri" w:cs="Calibri"/>
                <w:color w:val="000000"/>
                <w:sz w:val="18"/>
                <w:szCs w:val="18"/>
                <w:lang w:eastAsia="en-GB"/>
              </w:rPr>
              <w:t>As reported to Public Health England each month</w:t>
            </w:r>
          </w:p>
        </w:tc>
        <w:tc>
          <w:tcPr>
            <w:tcW w:w="1100" w:type="dxa"/>
            <w:tcBorders>
              <w:top w:val="single" w:sz="4" w:space="0" w:color="808080"/>
              <w:left w:val="nil"/>
              <w:bottom w:val="single" w:sz="4" w:space="0" w:color="808080"/>
              <w:right w:val="single" w:sz="4" w:space="0" w:color="808080"/>
            </w:tcBorders>
            <w:shd w:val="clear" w:color="000000" w:fill="ACB9CA"/>
            <w:vAlign w:val="center"/>
            <w:hideMark/>
          </w:tcPr>
          <w:p w14:paraId="4686734A"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No. staff</w:t>
            </w:r>
          </w:p>
        </w:tc>
        <w:tc>
          <w:tcPr>
            <w:tcW w:w="1100" w:type="dxa"/>
            <w:tcBorders>
              <w:top w:val="nil"/>
              <w:left w:val="nil"/>
              <w:bottom w:val="single" w:sz="4" w:space="0" w:color="808080"/>
              <w:right w:val="single" w:sz="4" w:space="0" w:color="808080"/>
            </w:tcBorders>
            <w:shd w:val="clear" w:color="000000" w:fill="ACB9CA"/>
            <w:vAlign w:val="center"/>
            <w:hideMark/>
          </w:tcPr>
          <w:p w14:paraId="14318D29"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1 dose</w:t>
            </w:r>
          </w:p>
        </w:tc>
        <w:tc>
          <w:tcPr>
            <w:tcW w:w="3163" w:type="dxa"/>
            <w:tcBorders>
              <w:top w:val="nil"/>
              <w:left w:val="nil"/>
              <w:bottom w:val="single" w:sz="4" w:space="0" w:color="808080"/>
              <w:right w:val="single" w:sz="4" w:space="0" w:color="808080"/>
            </w:tcBorders>
            <w:shd w:val="clear" w:color="000000" w:fill="ACB9CA"/>
            <w:vAlign w:val="center"/>
            <w:hideMark/>
          </w:tcPr>
          <w:p w14:paraId="4C01241A"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Vaccine Uptake (%)</w:t>
            </w:r>
          </w:p>
        </w:tc>
      </w:tr>
      <w:tr w:rsidR="001D44A4" w:rsidRPr="001D44A4" w14:paraId="67CEC8CC" w14:textId="77777777" w:rsidTr="001D44A4">
        <w:trPr>
          <w:trHeight w:val="290"/>
        </w:trPr>
        <w:tc>
          <w:tcPr>
            <w:tcW w:w="1100" w:type="dxa"/>
            <w:tcBorders>
              <w:top w:val="nil"/>
              <w:left w:val="single" w:sz="4" w:space="0" w:color="808080"/>
              <w:bottom w:val="single" w:sz="4" w:space="0" w:color="808080"/>
              <w:right w:val="nil"/>
            </w:tcBorders>
            <w:shd w:val="clear" w:color="000000" w:fill="FFFFFF"/>
            <w:noWrap/>
            <w:vAlign w:val="center"/>
            <w:hideMark/>
          </w:tcPr>
          <w:p w14:paraId="4E22BC21"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Doctors</w:t>
            </w:r>
          </w:p>
        </w:tc>
        <w:tc>
          <w:tcPr>
            <w:tcW w:w="1100" w:type="dxa"/>
            <w:tcBorders>
              <w:top w:val="nil"/>
              <w:left w:val="nil"/>
              <w:bottom w:val="single" w:sz="4" w:space="0" w:color="808080"/>
              <w:right w:val="nil"/>
            </w:tcBorders>
            <w:shd w:val="clear" w:color="000000" w:fill="FFFFFF"/>
            <w:noWrap/>
            <w:vAlign w:val="center"/>
            <w:hideMark/>
          </w:tcPr>
          <w:p w14:paraId="25981D26"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nil"/>
              <w:bottom w:val="single" w:sz="4" w:space="0" w:color="808080"/>
              <w:right w:val="nil"/>
            </w:tcBorders>
            <w:shd w:val="clear" w:color="000000" w:fill="FFFFFF"/>
            <w:noWrap/>
            <w:vAlign w:val="center"/>
            <w:hideMark/>
          </w:tcPr>
          <w:p w14:paraId="57A30881"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260" w:type="dxa"/>
            <w:tcBorders>
              <w:top w:val="nil"/>
              <w:left w:val="nil"/>
              <w:bottom w:val="single" w:sz="4" w:space="0" w:color="808080"/>
              <w:right w:val="nil"/>
            </w:tcBorders>
            <w:shd w:val="clear" w:color="000000" w:fill="FFFFFF"/>
            <w:noWrap/>
            <w:vAlign w:val="center"/>
            <w:hideMark/>
          </w:tcPr>
          <w:p w14:paraId="248A2491"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62A99123"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234</w:t>
            </w:r>
          </w:p>
        </w:tc>
        <w:tc>
          <w:tcPr>
            <w:tcW w:w="1100" w:type="dxa"/>
            <w:tcBorders>
              <w:top w:val="nil"/>
              <w:left w:val="nil"/>
              <w:bottom w:val="single" w:sz="4" w:space="0" w:color="808080"/>
              <w:right w:val="single" w:sz="4" w:space="0" w:color="808080"/>
            </w:tcBorders>
            <w:shd w:val="clear" w:color="auto" w:fill="auto"/>
            <w:noWrap/>
            <w:vAlign w:val="center"/>
            <w:hideMark/>
          </w:tcPr>
          <w:p w14:paraId="37C0FC3A"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126</w:t>
            </w:r>
          </w:p>
        </w:tc>
        <w:tc>
          <w:tcPr>
            <w:tcW w:w="3163" w:type="dxa"/>
            <w:tcBorders>
              <w:top w:val="nil"/>
              <w:left w:val="nil"/>
              <w:bottom w:val="single" w:sz="4" w:space="0" w:color="808080"/>
              <w:right w:val="single" w:sz="4" w:space="0" w:color="808080"/>
            </w:tcBorders>
            <w:shd w:val="clear" w:color="auto" w:fill="auto"/>
            <w:noWrap/>
            <w:vAlign w:val="center"/>
            <w:hideMark/>
          </w:tcPr>
          <w:p w14:paraId="01990E86"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53.8%</w:t>
            </w:r>
          </w:p>
        </w:tc>
      </w:tr>
      <w:tr w:rsidR="001D44A4" w:rsidRPr="001D44A4" w14:paraId="644A33D7" w14:textId="77777777" w:rsidTr="001D44A4">
        <w:trPr>
          <w:trHeight w:val="290"/>
        </w:trPr>
        <w:tc>
          <w:tcPr>
            <w:tcW w:w="4560" w:type="dxa"/>
            <w:gridSpan w:val="4"/>
            <w:tcBorders>
              <w:top w:val="single" w:sz="4" w:space="0" w:color="808080"/>
              <w:left w:val="single" w:sz="4" w:space="0" w:color="808080"/>
              <w:bottom w:val="single" w:sz="4" w:space="0" w:color="808080"/>
              <w:right w:val="nil"/>
            </w:tcBorders>
            <w:shd w:val="clear" w:color="000000" w:fill="FFFFFF"/>
            <w:noWrap/>
            <w:vAlign w:val="center"/>
            <w:hideMark/>
          </w:tcPr>
          <w:p w14:paraId="02FA3B11"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xml:space="preserve">Qualified Nurses, midwives and health visitors </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54B8AAE7"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2264</w:t>
            </w:r>
          </w:p>
        </w:tc>
        <w:tc>
          <w:tcPr>
            <w:tcW w:w="1100" w:type="dxa"/>
            <w:tcBorders>
              <w:top w:val="nil"/>
              <w:left w:val="nil"/>
              <w:bottom w:val="single" w:sz="4" w:space="0" w:color="808080"/>
              <w:right w:val="single" w:sz="4" w:space="0" w:color="808080"/>
            </w:tcBorders>
            <w:shd w:val="clear" w:color="auto" w:fill="auto"/>
            <w:noWrap/>
            <w:vAlign w:val="center"/>
            <w:hideMark/>
          </w:tcPr>
          <w:p w14:paraId="070E803B"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1074</w:t>
            </w:r>
          </w:p>
        </w:tc>
        <w:tc>
          <w:tcPr>
            <w:tcW w:w="3163" w:type="dxa"/>
            <w:tcBorders>
              <w:top w:val="nil"/>
              <w:left w:val="nil"/>
              <w:bottom w:val="single" w:sz="4" w:space="0" w:color="808080"/>
              <w:right w:val="single" w:sz="4" w:space="0" w:color="808080"/>
            </w:tcBorders>
            <w:shd w:val="clear" w:color="auto" w:fill="auto"/>
            <w:noWrap/>
            <w:vAlign w:val="center"/>
            <w:hideMark/>
          </w:tcPr>
          <w:p w14:paraId="525A10FA"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47.4%</w:t>
            </w:r>
          </w:p>
        </w:tc>
      </w:tr>
      <w:tr w:rsidR="001D44A4" w:rsidRPr="001D44A4" w14:paraId="45A6D7FF" w14:textId="77777777" w:rsidTr="001D44A4">
        <w:trPr>
          <w:trHeight w:val="290"/>
        </w:trPr>
        <w:tc>
          <w:tcPr>
            <w:tcW w:w="4560" w:type="dxa"/>
            <w:gridSpan w:val="4"/>
            <w:tcBorders>
              <w:top w:val="single" w:sz="4" w:space="0" w:color="808080"/>
              <w:left w:val="single" w:sz="4" w:space="0" w:color="808080"/>
              <w:bottom w:val="single" w:sz="4" w:space="0" w:color="808080"/>
              <w:right w:val="nil"/>
            </w:tcBorders>
            <w:shd w:val="clear" w:color="000000" w:fill="FFFFFF"/>
            <w:noWrap/>
            <w:vAlign w:val="center"/>
            <w:hideMark/>
          </w:tcPr>
          <w:p w14:paraId="0DB3A3F6"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All other professionally qualified clinical staff</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3FA5DA93"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1008</w:t>
            </w:r>
          </w:p>
        </w:tc>
        <w:tc>
          <w:tcPr>
            <w:tcW w:w="1100" w:type="dxa"/>
            <w:tcBorders>
              <w:top w:val="nil"/>
              <w:left w:val="nil"/>
              <w:bottom w:val="single" w:sz="4" w:space="0" w:color="808080"/>
              <w:right w:val="single" w:sz="4" w:space="0" w:color="808080"/>
            </w:tcBorders>
            <w:shd w:val="clear" w:color="auto" w:fill="auto"/>
            <w:noWrap/>
            <w:vAlign w:val="center"/>
            <w:hideMark/>
          </w:tcPr>
          <w:p w14:paraId="0C8418E7"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571</w:t>
            </w:r>
          </w:p>
        </w:tc>
        <w:tc>
          <w:tcPr>
            <w:tcW w:w="3163" w:type="dxa"/>
            <w:tcBorders>
              <w:top w:val="nil"/>
              <w:left w:val="nil"/>
              <w:bottom w:val="single" w:sz="4" w:space="0" w:color="808080"/>
              <w:right w:val="single" w:sz="4" w:space="0" w:color="808080"/>
            </w:tcBorders>
            <w:shd w:val="clear" w:color="auto" w:fill="auto"/>
            <w:noWrap/>
            <w:vAlign w:val="center"/>
            <w:hideMark/>
          </w:tcPr>
          <w:p w14:paraId="42BC1CBA"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56.6%</w:t>
            </w:r>
          </w:p>
        </w:tc>
      </w:tr>
      <w:tr w:rsidR="001D44A4" w:rsidRPr="001D44A4" w14:paraId="032D133D" w14:textId="77777777" w:rsidTr="001D44A4">
        <w:trPr>
          <w:trHeight w:val="290"/>
        </w:trPr>
        <w:tc>
          <w:tcPr>
            <w:tcW w:w="2200" w:type="dxa"/>
            <w:gridSpan w:val="2"/>
            <w:tcBorders>
              <w:top w:val="single" w:sz="4" w:space="0" w:color="808080"/>
              <w:left w:val="single" w:sz="4" w:space="0" w:color="808080"/>
              <w:bottom w:val="single" w:sz="4" w:space="0" w:color="808080"/>
              <w:right w:val="nil"/>
            </w:tcBorders>
            <w:shd w:val="clear" w:color="000000" w:fill="FFFFFF"/>
            <w:noWrap/>
            <w:vAlign w:val="center"/>
            <w:hideMark/>
          </w:tcPr>
          <w:p w14:paraId="2CB935F8"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Support to Clinical Staff</w:t>
            </w:r>
          </w:p>
        </w:tc>
        <w:tc>
          <w:tcPr>
            <w:tcW w:w="1100" w:type="dxa"/>
            <w:tcBorders>
              <w:top w:val="nil"/>
              <w:left w:val="nil"/>
              <w:bottom w:val="single" w:sz="4" w:space="0" w:color="808080"/>
              <w:right w:val="nil"/>
            </w:tcBorders>
            <w:shd w:val="clear" w:color="000000" w:fill="FFFFFF"/>
            <w:noWrap/>
            <w:vAlign w:val="center"/>
            <w:hideMark/>
          </w:tcPr>
          <w:p w14:paraId="585826E3"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260" w:type="dxa"/>
            <w:tcBorders>
              <w:top w:val="nil"/>
              <w:left w:val="nil"/>
              <w:bottom w:val="single" w:sz="4" w:space="0" w:color="808080"/>
              <w:right w:val="nil"/>
            </w:tcBorders>
            <w:shd w:val="clear" w:color="000000" w:fill="FFFFFF"/>
            <w:noWrap/>
            <w:vAlign w:val="center"/>
            <w:hideMark/>
          </w:tcPr>
          <w:p w14:paraId="48D8AA5B"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3B0C415F"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2298</w:t>
            </w:r>
          </w:p>
        </w:tc>
        <w:tc>
          <w:tcPr>
            <w:tcW w:w="1100" w:type="dxa"/>
            <w:tcBorders>
              <w:top w:val="nil"/>
              <w:left w:val="nil"/>
              <w:bottom w:val="single" w:sz="4" w:space="0" w:color="808080"/>
              <w:right w:val="single" w:sz="4" w:space="0" w:color="808080"/>
            </w:tcBorders>
            <w:shd w:val="clear" w:color="auto" w:fill="auto"/>
            <w:noWrap/>
            <w:vAlign w:val="center"/>
            <w:hideMark/>
          </w:tcPr>
          <w:p w14:paraId="6F627A9B"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820</w:t>
            </w:r>
          </w:p>
        </w:tc>
        <w:tc>
          <w:tcPr>
            <w:tcW w:w="3163" w:type="dxa"/>
            <w:tcBorders>
              <w:top w:val="nil"/>
              <w:left w:val="nil"/>
              <w:bottom w:val="single" w:sz="4" w:space="0" w:color="808080"/>
              <w:right w:val="single" w:sz="4" w:space="0" w:color="808080"/>
            </w:tcBorders>
            <w:shd w:val="clear" w:color="auto" w:fill="auto"/>
            <w:noWrap/>
            <w:vAlign w:val="center"/>
            <w:hideMark/>
          </w:tcPr>
          <w:p w14:paraId="300677C2"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35.7%</w:t>
            </w:r>
          </w:p>
        </w:tc>
      </w:tr>
      <w:tr w:rsidR="001D44A4" w:rsidRPr="001D44A4" w14:paraId="09BB1229" w14:textId="77777777" w:rsidTr="001D44A4">
        <w:trPr>
          <w:trHeight w:val="290"/>
        </w:trPr>
        <w:tc>
          <w:tcPr>
            <w:tcW w:w="3300" w:type="dxa"/>
            <w:gridSpan w:val="3"/>
            <w:tcBorders>
              <w:top w:val="single" w:sz="4" w:space="0" w:color="808080"/>
              <w:left w:val="single" w:sz="4" w:space="0" w:color="808080"/>
              <w:bottom w:val="single" w:sz="4" w:space="0" w:color="808080"/>
              <w:right w:val="nil"/>
            </w:tcBorders>
            <w:shd w:val="clear" w:color="000000" w:fill="FFFFFF"/>
            <w:noWrap/>
            <w:vAlign w:val="center"/>
            <w:hideMark/>
          </w:tcPr>
          <w:p w14:paraId="7347C2C1" w14:textId="77777777" w:rsidR="001D44A4" w:rsidRPr="001D44A4" w:rsidRDefault="001D44A4" w:rsidP="001D44A4">
            <w:pPr>
              <w:spacing w:after="0" w:line="240" w:lineRule="auto"/>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Staff with direct patient contact</w:t>
            </w:r>
          </w:p>
        </w:tc>
        <w:tc>
          <w:tcPr>
            <w:tcW w:w="1260" w:type="dxa"/>
            <w:tcBorders>
              <w:top w:val="nil"/>
              <w:left w:val="nil"/>
              <w:bottom w:val="single" w:sz="4" w:space="0" w:color="808080"/>
              <w:right w:val="nil"/>
            </w:tcBorders>
            <w:shd w:val="clear" w:color="000000" w:fill="FFFFFF"/>
            <w:noWrap/>
            <w:vAlign w:val="center"/>
            <w:hideMark/>
          </w:tcPr>
          <w:p w14:paraId="23075DC7" w14:textId="77777777" w:rsidR="001D44A4" w:rsidRPr="001D44A4" w:rsidRDefault="001D44A4" w:rsidP="001D44A4">
            <w:pPr>
              <w:spacing w:after="0" w:line="240" w:lineRule="auto"/>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 </w:t>
            </w:r>
          </w:p>
        </w:tc>
        <w:tc>
          <w:tcPr>
            <w:tcW w:w="1100" w:type="dxa"/>
            <w:tcBorders>
              <w:top w:val="nil"/>
              <w:left w:val="single" w:sz="4" w:space="0" w:color="808080"/>
              <w:bottom w:val="single" w:sz="4" w:space="0" w:color="808080"/>
              <w:right w:val="single" w:sz="4" w:space="0" w:color="808080"/>
            </w:tcBorders>
            <w:shd w:val="clear" w:color="auto" w:fill="auto"/>
            <w:noWrap/>
            <w:vAlign w:val="center"/>
            <w:hideMark/>
          </w:tcPr>
          <w:p w14:paraId="6CA568D7"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5804</w:t>
            </w:r>
          </w:p>
        </w:tc>
        <w:tc>
          <w:tcPr>
            <w:tcW w:w="1100" w:type="dxa"/>
            <w:tcBorders>
              <w:top w:val="nil"/>
              <w:left w:val="nil"/>
              <w:bottom w:val="single" w:sz="4" w:space="0" w:color="808080"/>
              <w:right w:val="single" w:sz="4" w:space="0" w:color="808080"/>
            </w:tcBorders>
            <w:shd w:val="clear" w:color="auto" w:fill="auto"/>
            <w:noWrap/>
            <w:vAlign w:val="center"/>
            <w:hideMark/>
          </w:tcPr>
          <w:p w14:paraId="506A059E"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2591</w:t>
            </w:r>
          </w:p>
        </w:tc>
        <w:tc>
          <w:tcPr>
            <w:tcW w:w="3163" w:type="dxa"/>
            <w:tcBorders>
              <w:top w:val="nil"/>
              <w:left w:val="nil"/>
              <w:bottom w:val="single" w:sz="4" w:space="0" w:color="808080"/>
              <w:right w:val="single" w:sz="4" w:space="0" w:color="808080"/>
            </w:tcBorders>
            <w:shd w:val="clear" w:color="auto" w:fill="auto"/>
            <w:noWrap/>
            <w:vAlign w:val="center"/>
            <w:hideMark/>
          </w:tcPr>
          <w:p w14:paraId="0E666847"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44.6%</w:t>
            </w:r>
          </w:p>
        </w:tc>
      </w:tr>
    </w:tbl>
    <w:p w14:paraId="7B628584" w14:textId="08DE01D9" w:rsidR="00E008F4" w:rsidRPr="000E645A" w:rsidRDefault="00E008F4" w:rsidP="0077554E">
      <w:pPr>
        <w:spacing w:after="120"/>
        <w:ind w:left="720" w:hanging="720"/>
      </w:pPr>
    </w:p>
    <w:p w14:paraId="0DA9024E" w14:textId="34DAC398" w:rsidR="001B45A2" w:rsidRPr="000E645A" w:rsidRDefault="00D05622" w:rsidP="002038FA">
      <w:pPr>
        <w:pStyle w:val="Default"/>
        <w:spacing w:after="120" w:line="276" w:lineRule="auto"/>
        <w:ind w:left="720" w:hanging="720"/>
        <w:rPr>
          <w:rFonts w:asciiTheme="minorHAnsi" w:hAnsiTheme="minorHAnsi"/>
          <w:color w:val="auto"/>
        </w:rPr>
      </w:pPr>
      <w:r>
        <w:rPr>
          <w:rFonts w:asciiTheme="minorHAnsi" w:hAnsiTheme="minorHAnsi"/>
          <w:color w:val="auto"/>
        </w:rPr>
        <w:t>4.5</w:t>
      </w:r>
      <w:r w:rsidR="00FF0EF4" w:rsidRPr="000E645A">
        <w:rPr>
          <w:rFonts w:asciiTheme="minorHAnsi" w:hAnsiTheme="minorHAnsi"/>
          <w:color w:val="auto"/>
        </w:rPr>
        <w:tab/>
      </w:r>
      <w:r w:rsidR="001B45A2" w:rsidRPr="000E645A">
        <w:rPr>
          <w:rFonts w:asciiTheme="minorHAnsi" w:hAnsiTheme="minorHAnsi"/>
          <w:color w:val="auto"/>
        </w:rPr>
        <w:t xml:space="preserve">The seasonal flu vaccine for staff has been delivered using a </w:t>
      </w:r>
      <w:r w:rsidR="008C14EC" w:rsidRPr="000E645A">
        <w:rPr>
          <w:rFonts w:asciiTheme="minorHAnsi" w:hAnsiTheme="minorHAnsi"/>
          <w:color w:val="auto"/>
        </w:rPr>
        <w:t>multi-pronged</w:t>
      </w:r>
      <w:r w:rsidR="001B45A2" w:rsidRPr="000E645A">
        <w:rPr>
          <w:rFonts w:asciiTheme="minorHAnsi" w:hAnsiTheme="minorHAnsi"/>
          <w:color w:val="auto"/>
        </w:rPr>
        <w:t xml:space="preserve"> approac</w:t>
      </w:r>
      <w:r w:rsidR="008C14EC">
        <w:rPr>
          <w:rFonts w:asciiTheme="minorHAnsi" w:hAnsiTheme="minorHAnsi"/>
          <w:color w:val="auto"/>
        </w:rPr>
        <w:t>h to support the flexibility and access opportunities for staff</w:t>
      </w:r>
      <w:r w:rsidR="00200E99">
        <w:rPr>
          <w:rFonts w:asciiTheme="minorHAnsi" w:hAnsiTheme="minorHAnsi"/>
          <w:color w:val="auto"/>
        </w:rPr>
        <w:t xml:space="preserve">.  Peer vaccinators </w:t>
      </w:r>
      <w:r w:rsidR="008C14EC">
        <w:rPr>
          <w:rFonts w:asciiTheme="minorHAnsi" w:hAnsiTheme="minorHAnsi"/>
          <w:color w:val="auto"/>
        </w:rPr>
        <w:t xml:space="preserve">continue to provide flu vaccinations as well as </w:t>
      </w:r>
      <w:r w:rsidR="001B45A2" w:rsidRPr="000E645A">
        <w:rPr>
          <w:rFonts w:asciiTheme="minorHAnsi" w:hAnsiTheme="minorHAnsi"/>
          <w:color w:val="auto"/>
        </w:rPr>
        <w:t>bookable</w:t>
      </w:r>
      <w:r w:rsidR="00195864">
        <w:rPr>
          <w:rFonts w:asciiTheme="minorHAnsi" w:hAnsiTheme="minorHAnsi"/>
          <w:color w:val="auto"/>
        </w:rPr>
        <w:t xml:space="preserve"> and walk-in</w:t>
      </w:r>
      <w:r w:rsidR="001B45A2" w:rsidRPr="000E645A">
        <w:rPr>
          <w:rFonts w:asciiTheme="minorHAnsi" w:hAnsiTheme="minorHAnsi"/>
          <w:color w:val="auto"/>
        </w:rPr>
        <w:t xml:space="preserve"> clinics</w:t>
      </w:r>
      <w:r w:rsidR="0077554E">
        <w:rPr>
          <w:rFonts w:asciiTheme="minorHAnsi" w:hAnsiTheme="minorHAnsi"/>
          <w:color w:val="auto"/>
        </w:rPr>
        <w:t>.</w:t>
      </w:r>
      <w:r w:rsidR="008C14EC">
        <w:rPr>
          <w:rFonts w:asciiTheme="minorHAnsi" w:hAnsiTheme="minorHAnsi"/>
          <w:color w:val="auto"/>
        </w:rPr>
        <w:t xml:space="preserve"> The opportunity to have the flu vaccination and the Covid booster at the same time has also been provided.</w:t>
      </w:r>
    </w:p>
    <w:p w14:paraId="27CA2CCD" w14:textId="4F806119" w:rsidR="00E008F4" w:rsidRDefault="00D05622" w:rsidP="002038FA">
      <w:pPr>
        <w:spacing w:after="120"/>
        <w:ind w:left="720" w:hanging="720"/>
        <w:rPr>
          <w:rFonts w:eastAsia="Times New Roman"/>
          <w:sz w:val="24"/>
          <w:szCs w:val="24"/>
        </w:rPr>
      </w:pPr>
      <w:r>
        <w:rPr>
          <w:sz w:val="24"/>
          <w:szCs w:val="24"/>
        </w:rPr>
        <w:t>4.6</w:t>
      </w:r>
      <w:r w:rsidR="001B45A2" w:rsidRPr="000E645A">
        <w:rPr>
          <w:sz w:val="24"/>
          <w:szCs w:val="24"/>
        </w:rPr>
        <w:tab/>
      </w:r>
      <w:r w:rsidR="00E008F4" w:rsidRPr="000E645A">
        <w:rPr>
          <w:rFonts w:eastAsia="Times New Roman"/>
          <w:sz w:val="24"/>
          <w:szCs w:val="24"/>
        </w:rPr>
        <w:t xml:space="preserve">The table below outlines the FHCW uptake by directorate teams </w:t>
      </w:r>
      <w:r w:rsidR="001D44A4">
        <w:rPr>
          <w:rFonts w:eastAsia="Times New Roman"/>
          <w:sz w:val="24"/>
          <w:szCs w:val="24"/>
        </w:rPr>
        <w:t xml:space="preserve">up the 30 November </w:t>
      </w:r>
      <w:r w:rsidR="00E008F4" w:rsidRPr="000E645A">
        <w:rPr>
          <w:rFonts w:eastAsia="Times New Roman"/>
          <w:sz w:val="24"/>
          <w:szCs w:val="24"/>
        </w:rPr>
        <w:t>2021</w:t>
      </w:r>
      <w:r w:rsidR="001D44A4">
        <w:rPr>
          <w:rFonts w:eastAsia="Times New Roman"/>
          <w:sz w:val="24"/>
          <w:szCs w:val="24"/>
        </w:rPr>
        <w:t>.</w:t>
      </w:r>
    </w:p>
    <w:p w14:paraId="66758A9C" w14:textId="46536B7F" w:rsidR="001D44A4" w:rsidRDefault="001D44A4" w:rsidP="002038FA">
      <w:pPr>
        <w:spacing w:after="120"/>
        <w:ind w:left="720" w:hanging="720"/>
        <w:rPr>
          <w:rFonts w:eastAsia="Times New Roman"/>
          <w:sz w:val="24"/>
          <w:szCs w:val="24"/>
        </w:rPr>
      </w:pPr>
    </w:p>
    <w:tbl>
      <w:tblPr>
        <w:tblW w:w="9781" w:type="dxa"/>
        <w:tblLook w:val="04A0" w:firstRow="1" w:lastRow="0" w:firstColumn="1" w:lastColumn="0" w:noHBand="0" w:noVBand="1"/>
      </w:tblPr>
      <w:tblGrid>
        <w:gridCol w:w="1100"/>
        <w:gridCol w:w="1100"/>
        <w:gridCol w:w="1100"/>
        <w:gridCol w:w="1100"/>
        <w:gridCol w:w="1100"/>
        <w:gridCol w:w="4281"/>
      </w:tblGrid>
      <w:tr w:rsidR="001D44A4" w:rsidRPr="001D44A4" w14:paraId="71831064" w14:textId="77777777" w:rsidTr="008C14EC">
        <w:trPr>
          <w:trHeight w:val="470"/>
        </w:trPr>
        <w:tc>
          <w:tcPr>
            <w:tcW w:w="3300" w:type="dxa"/>
            <w:gridSpan w:val="3"/>
            <w:tcBorders>
              <w:top w:val="nil"/>
              <w:left w:val="nil"/>
              <w:bottom w:val="nil"/>
              <w:right w:val="nil"/>
            </w:tcBorders>
            <w:shd w:val="clear" w:color="000000" w:fill="ACB9CA"/>
            <w:noWrap/>
            <w:vAlign w:val="bottom"/>
            <w:hideMark/>
          </w:tcPr>
          <w:p w14:paraId="374E3DD1" w14:textId="77777777" w:rsidR="001D44A4" w:rsidRPr="001D44A4" w:rsidRDefault="001D44A4" w:rsidP="001D44A4">
            <w:pPr>
              <w:spacing w:after="0" w:line="240" w:lineRule="auto"/>
              <w:rPr>
                <w:rFonts w:ascii="Calibri" w:eastAsia="Times New Roman" w:hAnsi="Calibri" w:cs="Calibri"/>
                <w:b/>
                <w:bCs/>
                <w:sz w:val="36"/>
                <w:szCs w:val="36"/>
                <w:lang w:eastAsia="en-GB"/>
              </w:rPr>
            </w:pPr>
            <w:r w:rsidRPr="001D44A4">
              <w:rPr>
                <w:rFonts w:ascii="Calibri" w:eastAsia="Times New Roman" w:hAnsi="Calibri" w:cs="Calibri"/>
                <w:b/>
                <w:bCs/>
                <w:sz w:val="36"/>
                <w:szCs w:val="36"/>
                <w:lang w:eastAsia="en-GB"/>
              </w:rPr>
              <w:t>By Directorate</w:t>
            </w:r>
          </w:p>
        </w:tc>
        <w:tc>
          <w:tcPr>
            <w:tcW w:w="1100" w:type="dxa"/>
            <w:tcBorders>
              <w:top w:val="nil"/>
              <w:left w:val="nil"/>
              <w:bottom w:val="nil"/>
              <w:right w:val="nil"/>
            </w:tcBorders>
            <w:shd w:val="clear" w:color="000000" w:fill="ACB9CA"/>
            <w:noWrap/>
            <w:vAlign w:val="bottom"/>
            <w:hideMark/>
          </w:tcPr>
          <w:p w14:paraId="4FA64734" w14:textId="77777777" w:rsidR="001D44A4" w:rsidRPr="001D44A4" w:rsidRDefault="001D44A4" w:rsidP="001D44A4">
            <w:pPr>
              <w:spacing w:after="0" w:line="240" w:lineRule="auto"/>
              <w:rPr>
                <w:rFonts w:ascii="Calibri" w:eastAsia="Times New Roman" w:hAnsi="Calibri" w:cs="Calibri"/>
                <w:b/>
                <w:bCs/>
                <w:sz w:val="36"/>
                <w:szCs w:val="36"/>
                <w:lang w:eastAsia="en-GB"/>
              </w:rPr>
            </w:pPr>
            <w:r w:rsidRPr="001D44A4">
              <w:rPr>
                <w:rFonts w:ascii="Calibri" w:eastAsia="Times New Roman" w:hAnsi="Calibri" w:cs="Calibri"/>
                <w:b/>
                <w:bCs/>
                <w:sz w:val="36"/>
                <w:szCs w:val="36"/>
                <w:lang w:eastAsia="en-GB"/>
              </w:rPr>
              <w:t> </w:t>
            </w:r>
          </w:p>
        </w:tc>
        <w:tc>
          <w:tcPr>
            <w:tcW w:w="1100" w:type="dxa"/>
            <w:tcBorders>
              <w:top w:val="nil"/>
              <w:left w:val="nil"/>
              <w:bottom w:val="nil"/>
              <w:right w:val="nil"/>
            </w:tcBorders>
            <w:shd w:val="clear" w:color="000000" w:fill="ACB9CA"/>
            <w:noWrap/>
            <w:vAlign w:val="bottom"/>
            <w:hideMark/>
          </w:tcPr>
          <w:p w14:paraId="0F3D4EBB" w14:textId="77777777" w:rsidR="001D44A4" w:rsidRPr="001D44A4" w:rsidRDefault="001D44A4" w:rsidP="001D44A4">
            <w:pPr>
              <w:spacing w:after="0" w:line="240" w:lineRule="auto"/>
              <w:rPr>
                <w:rFonts w:ascii="Calibri" w:eastAsia="Times New Roman" w:hAnsi="Calibri" w:cs="Calibri"/>
                <w:b/>
                <w:bCs/>
                <w:sz w:val="36"/>
                <w:szCs w:val="36"/>
                <w:lang w:eastAsia="en-GB"/>
              </w:rPr>
            </w:pPr>
            <w:r w:rsidRPr="001D44A4">
              <w:rPr>
                <w:rFonts w:ascii="Calibri" w:eastAsia="Times New Roman" w:hAnsi="Calibri" w:cs="Calibri"/>
                <w:b/>
                <w:bCs/>
                <w:sz w:val="36"/>
                <w:szCs w:val="36"/>
                <w:lang w:eastAsia="en-GB"/>
              </w:rPr>
              <w:t> </w:t>
            </w:r>
          </w:p>
        </w:tc>
        <w:tc>
          <w:tcPr>
            <w:tcW w:w="4281" w:type="dxa"/>
            <w:tcBorders>
              <w:top w:val="nil"/>
              <w:left w:val="nil"/>
              <w:bottom w:val="nil"/>
              <w:right w:val="nil"/>
            </w:tcBorders>
            <w:shd w:val="clear" w:color="000000" w:fill="ACB9CA"/>
            <w:noWrap/>
            <w:vAlign w:val="bottom"/>
            <w:hideMark/>
          </w:tcPr>
          <w:p w14:paraId="3E0218ED" w14:textId="77777777" w:rsidR="001D44A4" w:rsidRPr="001D44A4" w:rsidRDefault="001D44A4" w:rsidP="001D44A4">
            <w:pPr>
              <w:spacing w:after="0" w:line="240" w:lineRule="auto"/>
              <w:rPr>
                <w:rFonts w:ascii="Calibri" w:eastAsia="Times New Roman" w:hAnsi="Calibri" w:cs="Calibri"/>
                <w:b/>
                <w:bCs/>
                <w:sz w:val="36"/>
                <w:szCs w:val="36"/>
                <w:lang w:eastAsia="en-GB"/>
              </w:rPr>
            </w:pPr>
            <w:r w:rsidRPr="001D44A4">
              <w:rPr>
                <w:rFonts w:ascii="Calibri" w:eastAsia="Times New Roman" w:hAnsi="Calibri" w:cs="Calibri"/>
                <w:b/>
                <w:bCs/>
                <w:sz w:val="36"/>
                <w:szCs w:val="36"/>
                <w:lang w:eastAsia="en-GB"/>
              </w:rPr>
              <w:t> </w:t>
            </w:r>
          </w:p>
        </w:tc>
      </w:tr>
      <w:tr w:rsidR="001D44A4" w:rsidRPr="001D44A4" w14:paraId="67ED6FAE" w14:textId="77777777" w:rsidTr="008C14EC">
        <w:trPr>
          <w:trHeight w:val="290"/>
        </w:trPr>
        <w:tc>
          <w:tcPr>
            <w:tcW w:w="1100" w:type="dxa"/>
            <w:tcBorders>
              <w:top w:val="nil"/>
              <w:left w:val="nil"/>
              <w:bottom w:val="nil"/>
              <w:right w:val="nil"/>
            </w:tcBorders>
            <w:shd w:val="clear" w:color="auto" w:fill="auto"/>
            <w:noWrap/>
            <w:vAlign w:val="bottom"/>
            <w:hideMark/>
          </w:tcPr>
          <w:p w14:paraId="4C18B36E" w14:textId="77777777" w:rsidR="001D44A4" w:rsidRPr="001D44A4" w:rsidRDefault="001D44A4" w:rsidP="001D44A4">
            <w:pPr>
              <w:spacing w:after="0" w:line="240" w:lineRule="auto"/>
              <w:rPr>
                <w:rFonts w:ascii="Calibri" w:eastAsia="Times New Roman" w:hAnsi="Calibri" w:cs="Calibri"/>
                <w:b/>
                <w:bCs/>
                <w:sz w:val="36"/>
                <w:szCs w:val="36"/>
                <w:lang w:eastAsia="en-GB"/>
              </w:rPr>
            </w:pPr>
          </w:p>
        </w:tc>
        <w:tc>
          <w:tcPr>
            <w:tcW w:w="1100" w:type="dxa"/>
            <w:tcBorders>
              <w:top w:val="nil"/>
              <w:left w:val="nil"/>
              <w:bottom w:val="nil"/>
              <w:right w:val="nil"/>
            </w:tcBorders>
            <w:shd w:val="clear" w:color="auto" w:fill="auto"/>
            <w:noWrap/>
            <w:vAlign w:val="bottom"/>
            <w:hideMark/>
          </w:tcPr>
          <w:p w14:paraId="6AA85A66" w14:textId="77777777" w:rsidR="001D44A4" w:rsidRPr="001D44A4" w:rsidRDefault="001D44A4" w:rsidP="001D44A4">
            <w:pPr>
              <w:spacing w:after="0" w:line="240" w:lineRule="auto"/>
              <w:jc w:val="center"/>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57A0FA48"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55AE8654"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52EE0DC8"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4281" w:type="dxa"/>
            <w:tcBorders>
              <w:top w:val="nil"/>
              <w:left w:val="nil"/>
              <w:bottom w:val="nil"/>
              <w:right w:val="nil"/>
            </w:tcBorders>
            <w:shd w:val="clear" w:color="auto" w:fill="auto"/>
            <w:noWrap/>
            <w:vAlign w:val="bottom"/>
            <w:hideMark/>
          </w:tcPr>
          <w:p w14:paraId="1193A353"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r>
      <w:tr w:rsidR="001D44A4" w:rsidRPr="001D44A4" w14:paraId="20616B36" w14:textId="77777777" w:rsidTr="008C14EC">
        <w:trPr>
          <w:trHeight w:val="290"/>
        </w:trPr>
        <w:tc>
          <w:tcPr>
            <w:tcW w:w="1100" w:type="dxa"/>
            <w:tcBorders>
              <w:top w:val="nil"/>
              <w:left w:val="nil"/>
              <w:bottom w:val="nil"/>
              <w:right w:val="nil"/>
            </w:tcBorders>
            <w:shd w:val="clear" w:color="auto" w:fill="auto"/>
            <w:noWrap/>
            <w:vAlign w:val="bottom"/>
            <w:hideMark/>
          </w:tcPr>
          <w:p w14:paraId="1AE25FD2"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7982CD8F"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2A14D1B9"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7BBE79E6" w14:textId="77777777" w:rsidR="001D44A4" w:rsidRPr="001D44A4" w:rsidRDefault="001D44A4" w:rsidP="001D44A4">
            <w:pPr>
              <w:spacing w:after="0" w:line="240" w:lineRule="auto"/>
              <w:rPr>
                <w:rFonts w:ascii="Times New Roman" w:eastAsia="Times New Roman" w:hAnsi="Times New Roman" w:cs="Times New Roman"/>
                <w:sz w:val="20"/>
                <w:szCs w:val="20"/>
                <w:lang w:eastAsia="en-GB"/>
              </w:rPr>
            </w:pPr>
          </w:p>
        </w:tc>
        <w:tc>
          <w:tcPr>
            <w:tcW w:w="5381" w:type="dxa"/>
            <w:gridSpan w:val="2"/>
            <w:tcBorders>
              <w:top w:val="single" w:sz="4" w:space="0" w:color="808080"/>
              <w:left w:val="nil"/>
              <w:bottom w:val="single" w:sz="4" w:space="0" w:color="808080"/>
              <w:right w:val="single" w:sz="4" w:space="0" w:color="808080"/>
            </w:tcBorders>
            <w:shd w:val="clear" w:color="000000" w:fill="ACB9CA"/>
            <w:noWrap/>
            <w:vAlign w:val="bottom"/>
            <w:hideMark/>
          </w:tcPr>
          <w:p w14:paraId="15560744" w14:textId="77777777" w:rsidR="001D44A4" w:rsidRPr="001D44A4" w:rsidRDefault="001D44A4" w:rsidP="001D44A4">
            <w:pPr>
              <w:spacing w:after="0" w:line="240" w:lineRule="auto"/>
              <w:jc w:val="center"/>
              <w:rPr>
                <w:rFonts w:ascii="Calibri" w:eastAsia="Times New Roman" w:hAnsi="Calibri" w:cs="Calibri"/>
                <w:b/>
                <w:bCs/>
                <w:color w:val="FFFFFF"/>
                <w:sz w:val="18"/>
                <w:szCs w:val="18"/>
                <w:lang w:eastAsia="en-GB"/>
              </w:rPr>
            </w:pPr>
            <w:r w:rsidRPr="001D44A4">
              <w:rPr>
                <w:rFonts w:ascii="Calibri" w:eastAsia="Times New Roman" w:hAnsi="Calibri" w:cs="Calibri"/>
                <w:b/>
                <w:bCs/>
                <w:color w:val="FFFFFF"/>
                <w:sz w:val="18"/>
                <w:szCs w:val="18"/>
                <w:lang w:eastAsia="en-GB"/>
              </w:rPr>
              <w:t>Influenza</w:t>
            </w:r>
          </w:p>
        </w:tc>
      </w:tr>
      <w:tr w:rsidR="001D44A4" w:rsidRPr="001D44A4" w14:paraId="52B078E3" w14:textId="77777777" w:rsidTr="008C14EC">
        <w:trPr>
          <w:trHeight w:val="480"/>
        </w:trPr>
        <w:tc>
          <w:tcPr>
            <w:tcW w:w="1100" w:type="dxa"/>
            <w:tcBorders>
              <w:top w:val="single" w:sz="4" w:space="0" w:color="808080"/>
              <w:left w:val="single" w:sz="4" w:space="0" w:color="808080"/>
              <w:bottom w:val="single" w:sz="4" w:space="0" w:color="808080"/>
              <w:right w:val="nil"/>
            </w:tcBorders>
            <w:shd w:val="clear" w:color="000000" w:fill="ACB9CA"/>
            <w:vAlign w:val="center"/>
            <w:hideMark/>
          </w:tcPr>
          <w:p w14:paraId="545AB03C" w14:textId="77777777" w:rsidR="001D44A4" w:rsidRPr="001D44A4" w:rsidRDefault="001D44A4" w:rsidP="001D44A4">
            <w:pPr>
              <w:spacing w:after="0" w:line="240" w:lineRule="auto"/>
              <w:rPr>
                <w:rFonts w:ascii="Calibri" w:eastAsia="Times New Roman" w:hAnsi="Calibri" w:cs="Calibri"/>
                <w:b/>
                <w:bCs/>
                <w:sz w:val="18"/>
                <w:szCs w:val="18"/>
                <w:lang w:eastAsia="en-GB"/>
              </w:rPr>
            </w:pPr>
            <w:r w:rsidRPr="001D44A4">
              <w:rPr>
                <w:rFonts w:ascii="Calibri" w:eastAsia="Times New Roman" w:hAnsi="Calibri" w:cs="Calibri"/>
                <w:b/>
                <w:bCs/>
                <w:sz w:val="18"/>
                <w:szCs w:val="18"/>
                <w:lang w:eastAsia="en-GB"/>
              </w:rPr>
              <w:t>Directorate</w:t>
            </w:r>
          </w:p>
        </w:tc>
        <w:tc>
          <w:tcPr>
            <w:tcW w:w="1100" w:type="dxa"/>
            <w:tcBorders>
              <w:top w:val="single" w:sz="4" w:space="0" w:color="808080"/>
              <w:left w:val="nil"/>
              <w:bottom w:val="single" w:sz="4" w:space="0" w:color="808080"/>
              <w:right w:val="nil"/>
            </w:tcBorders>
            <w:shd w:val="clear" w:color="000000" w:fill="ACB9CA"/>
            <w:vAlign w:val="center"/>
            <w:hideMark/>
          </w:tcPr>
          <w:p w14:paraId="3627E1C9" w14:textId="77777777" w:rsidR="001D44A4" w:rsidRPr="001D44A4" w:rsidRDefault="001D44A4" w:rsidP="001D44A4">
            <w:pPr>
              <w:spacing w:after="0" w:line="240" w:lineRule="auto"/>
              <w:rPr>
                <w:rFonts w:ascii="Calibri" w:eastAsia="Times New Roman" w:hAnsi="Calibri" w:cs="Calibri"/>
                <w:b/>
                <w:bCs/>
                <w:sz w:val="18"/>
                <w:szCs w:val="18"/>
                <w:lang w:eastAsia="en-GB"/>
              </w:rPr>
            </w:pPr>
            <w:r w:rsidRPr="001D44A4">
              <w:rPr>
                <w:rFonts w:ascii="Calibri" w:eastAsia="Times New Roman" w:hAnsi="Calibri" w:cs="Calibri"/>
                <w:b/>
                <w:bCs/>
                <w:sz w:val="18"/>
                <w:szCs w:val="18"/>
                <w:lang w:eastAsia="en-GB"/>
              </w:rPr>
              <w:t> </w:t>
            </w:r>
          </w:p>
        </w:tc>
        <w:tc>
          <w:tcPr>
            <w:tcW w:w="1100" w:type="dxa"/>
            <w:tcBorders>
              <w:top w:val="single" w:sz="4" w:space="0" w:color="808080"/>
              <w:left w:val="nil"/>
              <w:bottom w:val="single" w:sz="4" w:space="0" w:color="808080"/>
              <w:right w:val="single" w:sz="4" w:space="0" w:color="808080"/>
            </w:tcBorders>
            <w:shd w:val="clear" w:color="000000" w:fill="ACB9CA"/>
            <w:vAlign w:val="center"/>
            <w:hideMark/>
          </w:tcPr>
          <w:p w14:paraId="330DBCC1" w14:textId="77777777" w:rsidR="001D44A4" w:rsidRPr="001D44A4" w:rsidRDefault="001D44A4" w:rsidP="001D44A4">
            <w:pPr>
              <w:spacing w:after="0" w:line="240" w:lineRule="auto"/>
              <w:rPr>
                <w:rFonts w:ascii="Calibri" w:eastAsia="Times New Roman" w:hAnsi="Calibri" w:cs="Calibri"/>
                <w:b/>
                <w:bCs/>
                <w:sz w:val="18"/>
                <w:szCs w:val="18"/>
                <w:lang w:eastAsia="en-GB"/>
              </w:rPr>
            </w:pPr>
            <w:r w:rsidRPr="001D44A4">
              <w:rPr>
                <w:rFonts w:ascii="Calibri" w:eastAsia="Times New Roman" w:hAnsi="Calibri" w:cs="Calibri"/>
                <w:b/>
                <w:bCs/>
                <w:sz w:val="18"/>
                <w:szCs w:val="18"/>
                <w:lang w:eastAsia="en-GB"/>
              </w:rPr>
              <w:t> </w:t>
            </w:r>
          </w:p>
        </w:tc>
        <w:tc>
          <w:tcPr>
            <w:tcW w:w="1100" w:type="dxa"/>
            <w:tcBorders>
              <w:top w:val="single" w:sz="4" w:space="0" w:color="808080"/>
              <w:left w:val="nil"/>
              <w:bottom w:val="single" w:sz="4" w:space="0" w:color="808080"/>
              <w:right w:val="single" w:sz="4" w:space="0" w:color="808080"/>
            </w:tcBorders>
            <w:shd w:val="clear" w:color="000000" w:fill="ACB9CA"/>
            <w:vAlign w:val="center"/>
            <w:hideMark/>
          </w:tcPr>
          <w:p w14:paraId="310EFEB2"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No. staff</w:t>
            </w:r>
          </w:p>
        </w:tc>
        <w:tc>
          <w:tcPr>
            <w:tcW w:w="1100" w:type="dxa"/>
            <w:tcBorders>
              <w:top w:val="nil"/>
              <w:left w:val="nil"/>
              <w:bottom w:val="single" w:sz="4" w:space="0" w:color="808080"/>
              <w:right w:val="single" w:sz="4" w:space="0" w:color="808080"/>
            </w:tcBorders>
            <w:shd w:val="clear" w:color="000000" w:fill="ACB9CA"/>
            <w:vAlign w:val="center"/>
            <w:hideMark/>
          </w:tcPr>
          <w:p w14:paraId="7DFEB140"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1 dose</w:t>
            </w:r>
          </w:p>
        </w:tc>
        <w:tc>
          <w:tcPr>
            <w:tcW w:w="4281" w:type="dxa"/>
            <w:tcBorders>
              <w:top w:val="nil"/>
              <w:left w:val="nil"/>
              <w:bottom w:val="single" w:sz="4" w:space="0" w:color="808080"/>
              <w:right w:val="single" w:sz="4" w:space="0" w:color="808080"/>
            </w:tcBorders>
            <w:shd w:val="clear" w:color="000000" w:fill="ACB9CA"/>
            <w:vAlign w:val="center"/>
            <w:hideMark/>
          </w:tcPr>
          <w:p w14:paraId="2EE2ED25"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Vaccine Uptake (%)</w:t>
            </w:r>
          </w:p>
        </w:tc>
      </w:tr>
      <w:tr w:rsidR="001D44A4" w:rsidRPr="001D44A4" w14:paraId="7525F302" w14:textId="77777777" w:rsidTr="008C14EC">
        <w:trPr>
          <w:trHeight w:val="290"/>
        </w:trPr>
        <w:tc>
          <w:tcPr>
            <w:tcW w:w="1100" w:type="dxa"/>
            <w:tcBorders>
              <w:top w:val="nil"/>
              <w:left w:val="single" w:sz="4" w:space="0" w:color="808080"/>
              <w:bottom w:val="single" w:sz="4" w:space="0" w:color="808080"/>
              <w:right w:val="nil"/>
            </w:tcBorders>
            <w:shd w:val="clear" w:color="000000" w:fill="FFFFFF"/>
            <w:noWrap/>
            <w:vAlign w:val="center"/>
            <w:hideMark/>
          </w:tcPr>
          <w:p w14:paraId="571A6B23"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Bank</w:t>
            </w:r>
          </w:p>
        </w:tc>
        <w:tc>
          <w:tcPr>
            <w:tcW w:w="1100" w:type="dxa"/>
            <w:tcBorders>
              <w:top w:val="nil"/>
              <w:left w:val="nil"/>
              <w:bottom w:val="single" w:sz="4" w:space="0" w:color="808080"/>
              <w:right w:val="nil"/>
            </w:tcBorders>
            <w:shd w:val="clear" w:color="000000" w:fill="FFFFFF"/>
            <w:noWrap/>
            <w:vAlign w:val="center"/>
            <w:hideMark/>
          </w:tcPr>
          <w:p w14:paraId="2B8D1347"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5E296468"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74FDCCE9"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1120</w:t>
            </w:r>
          </w:p>
        </w:tc>
        <w:tc>
          <w:tcPr>
            <w:tcW w:w="1100" w:type="dxa"/>
            <w:tcBorders>
              <w:top w:val="nil"/>
              <w:left w:val="nil"/>
              <w:bottom w:val="single" w:sz="4" w:space="0" w:color="808080"/>
              <w:right w:val="single" w:sz="4" w:space="0" w:color="808080"/>
            </w:tcBorders>
            <w:shd w:val="clear" w:color="000000" w:fill="FFFFFF"/>
            <w:noWrap/>
            <w:vAlign w:val="center"/>
            <w:hideMark/>
          </w:tcPr>
          <w:p w14:paraId="28FFDE97"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315</w:t>
            </w:r>
          </w:p>
        </w:tc>
        <w:tc>
          <w:tcPr>
            <w:tcW w:w="4281" w:type="dxa"/>
            <w:tcBorders>
              <w:top w:val="nil"/>
              <w:left w:val="nil"/>
              <w:bottom w:val="single" w:sz="4" w:space="0" w:color="808080"/>
              <w:right w:val="single" w:sz="4" w:space="0" w:color="808080"/>
            </w:tcBorders>
            <w:shd w:val="clear" w:color="000000" w:fill="FFFFFF"/>
            <w:noWrap/>
            <w:vAlign w:val="center"/>
            <w:hideMark/>
          </w:tcPr>
          <w:p w14:paraId="7B0B220B"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28.1%</w:t>
            </w:r>
          </w:p>
        </w:tc>
      </w:tr>
      <w:tr w:rsidR="001D44A4" w:rsidRPr="001D44A4" w14:paraId="3191745F" w14:textId="77777777" w:rsidTr="008C14EC">
        <w:trPr>
          <w:trHeight w:val="290"/>
        </w:trPr>
        <w:tc>
          <w:tcPr>
            <w:tcW w:w="1100" w:type="dxa"/>
            <w:tcBorders>
              <w:top w:val="nil"/>
              <w:left w:val="single" w:sz="4" w:space="0" w:color="808080"/>
              <w:bottom w:val="single" w:sz="4" w:space="0" w:color="808080"/>
              <w:right w:val="nil"/>
            </w:tcBorders>
            <w:shd w:val="clear" w:color="000000" w:fill="FFFFFF"/>
            <w:noWrap/>
            <w:vAlign w:val="center"/>
            <w:hideMark/>
          </w:tcPr>
          <w:p w14:paraId="4BE88D09"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CHS</w:t>
            </w:r>
          </w:p>
        </w:tc>
        <w:tc>
          <w:tcPr>
            <w:tcW w:w="1100" w:type="dxa"/>
            <w:tcBorders>
              <w:top w:val="nil"/>
              <w:left w:val="nil"/>
              <w:bottom w:val="single" w:sz="4" w:space="0" w:color="808080"/>
              <w:right w:val="nil"/>
            </w:tcBorders>
            <w:shd w:val="clear" w:color="000000" w:fill="FFFFFF"/>
            <w:noWrap/>
            <w:vAlign w:val="center"/>
            <w:hideMark/>
          </w:tcPr>
          <w:p w14:paraId="33776F1B"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07EE3AAD"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594DA67C"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1720</w:t>
            </w:r>
          </w:p>
        </w:tc>
        <w:tc>
          <w:tcPr>
            <w:tcW w:w="1100" w:type="dxa"/>
            <w:tcBorders>
              <w:top w:val="nil"/>
              <w:left w:val="nil"/>
              <w:bottom w:val="single" w:sz="4" w:space="0" w:color="808080"/>
              <w:right w:val="single" w:sz="4" w:space="0" w:color="808080"/>
            </w:tcBorders>
            <w:shd w:val="clear" w:color="000000" w:fill="FFFFFF"/>
            <w:noWrap/>
            <w:vAlign w:val="center"/>
            <w:hideMark/>
          </w:tcPr>
          <w:p w14:paraId="1D520F30"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910</w:t>
            </w:r>
          </w:p>
        </w:tc>
        <w:tc>
          <w:tcPr>
            <w:tcW w:w="4281" w:type="dxa"/>
            <w:tcBorders>
              <w:top w:val="nil"/>
              <w:left w:val="nil"/>
              <w:bottom w:val="single" w:sz="4" w:space="0" w:color="808080"/>
              <w:right w:val="single" w:sz="4" w:space="0" w:color="808080"/>
            </w:tcBorders>
            <w:shd w:val="clear" w:color="000000" w:fill="FFFFFF"/>
            <w:noWrap/>
            <w:vAlign w:val="center"/>
            <w:hideMark/>
          </w:tcPr>
          <w:p w14:paraId="701D5D4E"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52.9%</w:t>
            </w:r>
          </w:p>
        </w:tc>
      </w:tr>
      <w:tr w:rsidR="001D44A4" w:rsidRPr="001D44A4" w14:paraId="55240E02" w14:textId="77777777" w:rsidTr="008C14EC">
        <w:trPr>
          <w:trHeight w:val="290"/>
        </w:trPr>
        <w:tc>
          <w:tcPr>
            <w:tcW w:w="2200" w:type="dxa"/>
            <w:gridSpan w:val="2"/>
            <w:tcBorders>
              <w:top w:val="single" w:sz="4" w:space="0" w:color="808080"/>
              <w:left w:val="single" w:sz="4" w:space="0" w:color="808080"/>
              <w:bottom w:val="single" w:sz="4" w:space="0" w:color="808080"/>
              <w:right w:val="nil"/>
            </w:tcBorders>
            <w:shd w:val="clear" w:color="000000" w:fill="FFFFFF"/>
            <w:noWrap/>
            <w:vAlign w:val="center"/>
            <w:hideMark/>
          </w:tcPr>
          <w:p w14:paraId="342A1DE1"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Enabling Services</w:t>
            </w:r>
          </w:p>
        </w:tc>
        <w:tc>
          <w:tcPr>
            <w:tcW w:w="1100" w:type="dxa"/>
            <w:tcBorders>
              <w:top w:val="nil"/>
              <w:left w:val="nil"/>
              <w:bottom w:val="single" w:sz="4" w:space="0" w:color="808080"/>
              <w:right w:val="single" w:sz="4" w:space="0" w:color="808080"/>
            </w:tcBorders>
            <w:shd w:val="clear" w:color="000000" w:fill="FFFFFF"/>
            <w:noWrap/>
            <w:vAlign w:val="center"/>
            <w:hideMark/>
          </w:tcPr>
          <w:p w14:paraId="4EC91183"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12B1A117"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587</w:t>
            </w:r>
          </w:p>
        </w:tc>
        <w:tc>
          <w:tcPr>
            <w:tcW w:w="1100" w:type="dxa"/>
            <w:tcBorders>
              <w:top w:val="nil"/>
              <w:left w:val="nil"/>
              <w:bottom w:val="single" w:sz="4" w:space="0" w:color="808080"/>
              <w:right w:val="single" w:sz="4" w:space="0" w:color="808080"/>
            </w:tcBorders>
            <w:shd w:val="clear" w:color="000000" w:fill="FFFFFF"/>
            <w:noWrap/>
            <w:vAlign w:val="center"/>
            <w:hideMark/>
          </w:tcPr>
          <w:p w14:paraId="36AEC1E1"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332</w:t>
            </w:r>
          </w:p>
        </w:tc>
        <w:tc>
          <w:tcPr>
            <w:tcW w:w="4281" w:type="dxa"/>
            <w:tcBorders>
              <w:top w:val="nil"/>
              <w:left w:val="nil"/>
              <w:bottom w:val="single" w:sz="4" w:space="0" w:color="808080"/>
              <w:right w:val="single" w:sz="4" w:space="0" w:color="808080"/>
            </w:tcBorders>
            <w:shd w:val="clear" w:color="000000" w:fill="FFFFFF"/>
            <w:noWrap/>
            <w:vAlign w:val="center"/>
            <w:hideMark/>
          </w:tcPr>
          <w:p w14:paraId="6950A057"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56.6%</w:t>
            </w:r>
          </w:p>
        </w:tc>
      </w:tr>
      <w:tr w:rsidR="001D44A4" w:rsidRPr="001D44A4" w14:paraId="00355261" w14:textId="77777777" w:rsidTr="008C14EC">
        <w:trPr>
          <w:trHeight w:val="290"/>
        </w:trPr>
        <w:tc>
          <w:tcPr>
            <w:tcW w:w="1100" w:type="dxa"/>
            <w:tcBorders>
              <w:top w:val="nil"/>
              <w:left w:val="single" w:sz="4" w:space="0" w:color="808080"/>
              <w:bottom w:val="single" w:sz="4" w:space="0" w:color="808080"/>
              <w:right w:val="nil"/>
            </w:tcBorders>
            <w:shd w:val="clear" w:color="000000" w:fill="FFFFFF"/>
            <w:noWrap/>
            <w:vAlign w:val="center"/>
            <w:hideMark/>
          </w:tcPr>
          <w:p w14:paraId="633A4BD9"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FYPC.LD</w:t>
            </w:r>
          </w:p>
        </w:tc>
        <w:tc>
          <w:tcPr>
            <w:tcW w:w="1100" w:type="dxa"/>
            <w:tcBorders>
              <w:top w:val="nil"/>
              <w:left w:val="nil"/>
              <w:bottom w:val="single" w:sz="4" w:space="0" w:color="808080"/>
              <w:right w:val="nil"/>
            </w:tcBorders>
            <w:shd w:val="clear" w:color="000000" w:fill="FFFFFF"/>
            <w:noWrap/>
            <w:vAlign w:val="center"/>
            <w:hideMark/>
          </w:tcPr>
          <w:p w14:paraId="4E7CBDF7"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2290896B"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1DF49BCD"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1529</w:t>
            </w:r>
          </w:p>
        </w:tc>
        <w:tc>
          <w:tcPr>
            <w:tcW w:w="1100" w:type="dxa"/>
            <w:tcBorders>
              <w:top w:val="nil"/>
              <w:left w:val="nil"/>
              <w:bottom w:val="single" w:sz="4" w:space="0" w:color="808080"/>
              <w:right w:val="single" w:sz="4" w:space="0" w:color="808080"/>
            </w:tcBorders>
            <w:shd w:val="clear" w:color="000000" w:fill="FFFFFF"/>
            <w:noWrap/>
            <w:vAlign w:val="center"/>
            <w:hideMark/>
          </w:tcPr>
          <w:p w14:paraId="4596E1EA"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783</w:t>
            </w:r>
          </w:p>
        </w:tc>
        <w:tc>
          <w:tcPr>
            <w:tcW w:w="4281" w:type="dxa"/>
            <w:tcBorders>
              <w:top w:val="nil"/>
              <w:left w:val="nil"/>
              <w:bottom w:val="single" w:sz="4" w:space="0" w:color="808080"/>
              <w:right w:val="single" w:sz="4" w:space="0" w:color="808080"/>
            </w:tcBorders>
            <w:shd w:val="clear" w:color="000000" w:fill="FFFFFF"/>
            <w:noWrap/>
            <w:vAlign w:val="center"/>
            <w:hideMark/>
          </w:tcPr>
          <w:p w14:paraId="4865B09D"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51.2%</w:t>
            </w:r>
          </w:p>
        </w:tc>
      </w:tr>
      <w:tr w:rsidR="001D44A4" w:rsidRPr="001D44A4" w14:paraId="6D326868" w14:textId="77777777" w:rsidTr="008C14EC">
        <w:trPr>
          <w:trHeight w:val="290"/>
        </w:trPr>
        <w:tc>
          <w:tcPr>
            <w:tcW w:w="2200" w:type="dxa"/>
            <w:gridSpan w:val="2"/>
            <w:tcBorders>
              <w:top w:val="single" w:sz="4" w:space="0" w:color="808080"/>
              <w:left w:val="single" w:sz="4" w:space="0" w:color="808080"/>
              <w:bottom w:val="single" w:sz="4" w:space="0" w:color="808080"/>
              <w:right w:val="nil"/>
            </w:tcBorders>
            <w:shd w:val="clear" w:color="000000" w:fill="FFFFFF"/>
            <w:noWrap/>
            <w:vAlign w:val="center"/>
            <w:hideMark/>
          </w:tcPr>
          <w:p w14:paraId="18A5F077"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Hosted Services</w:t>
            </w:r>
          </w:p>
        </w:tc>
        <w:tc>
          <w:tcPr>
            <w:tcW w:w="1100" w:type="dxa"/>
            <w:tcBorders>
              <w:top w:val="nil"/>
              <w:left w:val="nil"/>
              <w:bottom w:val="single" w:sz="4" w:space="0" w:color="808080"/>
              <w:right w:val="single" w:sz="4" w:space="0" w:color="808080"/>
            </w:tcBorders>
            <w:shd w:val="clear" w:color="000000" w:fill="FFFFFF"/>
            <w:noWrap/>
            <w:vAlign w:val="center"/>
            <w:hideMark/>
          </w:tcPr>
          <w:p w14:paraId="3106B291"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68FD2265"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232</w:t>
            </w:r>
          </w:p>
        </w:tc>
        <w:tc>
          <w:tcPr>
            <w:tcW w:w="1100" w:type="dxa"/>
            <w:tcBorders>
              <w:top w:val="nil"/>
              <w:left w:val="nil"/>
              <w:bottom w:val="single" w:sz="4" w:space="0" w:color="808080"/>
              <w:right w:val="single" w:sz="4" w:space="0" w:color="808080"/>
            </w:tcBorders>
            <w:shd w:val="clear" w:color="000000" w:fill="FFFFFF"/>
            <w:noWrap/>
            <w:vAlign w:val="center"/>
            <w:hideMark/>
          </w:tcPr>
          <w:p w14:paraId="18B79E91"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126</w:t>
            </w:r>
          </w:p>
        </w:tc>
        <w:tc>
          <w:tcPr>
            <w:tcW w:w="4281" w:type="dxa"/>
            <w:tcBorders>
              <w:top w:val="nil"/>
              <w:left w:val="nil"/>
              <w:bottom w:val="single" w:sz="4" w:space="0" w:color="808080"/>
              <w:right w:val="single" w:sz="4" w:space="0" w:color="808080"/>
            </w:tcBorders>
            <w:shd w:val="clear" w:color="000000" w:fill="FFFFFF"/>
            <w:noWrap/>
            <w:vAlign w:val="center"/>
            <w:hideMark/>
          </w:tcPr>
          <w:p w14:paraId="574AD74C"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54.3%</w:t>
            </w:r>
          </w:p>
        </w:tc>
      </w:tr>
      <w:tr w:rsidR="001D44A4" w:rsidRPr="001D44A4" w14:paraId="02B33FB7" w14:textId="77777777" w:rsidTr="008C14EC">
        <w:trPr>
          <w:trHeight w:val="290"/>
        </w:trPr>
        <w:tc>
          <w:tcPr>
            <w:tcW w:w="2200" w:type="dxa"/>
            <w:gridSpan w:val="2"/>
            <w:tcBorders>
              <w:top w:val="single" w:sz="4" w:space="0" w:color="808080"/>
              <w:left w:val="single" w:sz="4" w:space="0" w:color="808080"/>
              <w:bottom w:val="single" w:sz="4" w:space="0" w:color="808080"/>
              <w:right w:val="nil"/>
            </w:tcBorders>
            <w:shd w:val="clear" w:color="000000" w:fill="FFFFFF"/>
            <w:noWrap/>
            <w:vAlign w:val="center"/>
            <w:hideMark/>
          </w:tcPr>
          <w:p w14:paraId="41DC49E7"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Mental Health Services</w:t>
            </w:r>
          </w:p>
        </w:tc>
        <w:tc>
          <w:tcPr>
            <w:tcW w:w="1100" w:type="dxa"/>
            <w:tcBorders>
              <w:top w:val="nil"/>
              <w:left w:val="nil"/>
              <w:bottom w:val="single" w:sz="4" w:space="0" w:color="808080"/>
              <w:right w:val="single" w:sz="4" w:space="0" w:color="808080"/>
            </w:tcBorders>
            <w:shd w:val="clear" w:color="000000" w:fill="FFFFFF"/>
            <w:noWrap/>
            <w:vAlign w:val="center"/>
            <w:hideMark/>
          </w:tcPr>
          <w:p w14:paraId="3B0C00F4"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568D68E8"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1544</w:t>
            </w:r>
          </w:p>
        </w:tc>
        <w:tc>
          <w:tcPr>
            <w:tcW w:w="1100" w:type="dxa"/>
            <w:tcBorders>
              <w:top w:val="nil"/>
              <w:left w:val="nil"/>
              <w:bottom w:val="single" w:sz="4" w:space="0" w:color="808080"/>
              <w:right w:val="single" w:sz="4" w:space="0" w:color="808080"/>
            </w:tcBorders>
            <w:shd w:val="clear" w:color="000000" w:fill="FFFFFF"/>
            <w:noWrap/>
            <w:vAlign w:val="center"/>
            <w:hideMark/>
          </w:tcPr>
          <w:p w14:paraId="443ED3BF"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701</w:t>
            </w:r>
          </w:p>
        </w:tc>
        <w:tc>
          <w:tcPr>
            <w:tcW w:w="4281" w:type="dxa"/>
            <w:tcBorders>
              <w:top w:val="nil"/>
              <w:left w:val="nil"/>
              <w:bottom w:val="single" w:sz="4" w:space="0" w:color="808080"/>
              <w:right w:val="single" w:sz="4" w:space="0" w:color="808080"/>
            </w:tcBorders>
            <w:shd w:val="clear" w:color="000000" w:fill="FFFFFF"/>
            <w:noWrap/>
            <w:vAlign w:val="center"/>
            <w:hideMark/>
          </w:tcPr>
          <w:p w14:paraId="394E0F71"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45.4%</w:t>
            </w:r>
          </w:p>
        </w:tc>
      </w:tr>
      <w:tr w:rsidR="001D44A4" w:rsidRPr="001D44A4" w14:paraId="76B3D2C7" w14:textId="77777777" w:rsidTr="008C14EC">
        <w:trPr>
          <w:trHeight w:val="290"/>
        </w:trPr>
        <w:tc>
          <w:tcPr>
            <w:tcW w:w="2200" w:type="dxa"/>
            <w:gridSpan w:val="2"/>
            <w:tcBorders>
              <w:top w:val="single" w:sz="4" w:space="0" w:color="808080"/>
              <w:left w:val="single" w:sz="4" w:space="0" w:color="808080"/>
              <w:bottom w:val="single" w:sz="4" w:space="0" w:color="808080"/>
              <w:right w:val="nil"/>
            </w:tcBorders>
            <w:shd w:val="clear" w:color="000000" w:fill="FFFFFF"/>
            <w:noWrap/>
            <w:vAlign w:val="center"/>
            <w:hideMark/>
          </w:tcPr>
          <w:p w14:paraId="31A004E8"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Workforce Bureau</w:t>
            </w:r>
          </w:p>
        </w:tc>
        <w:tc>
          <w:tcPr>
            <w:tcW w:w="1100" w:type="dxa"/>
            <w:tcBorders>
              <w:top w:val="nil"/>
              <w:left w:val="nil"/>
              <w:bottom w:val="single" w:sz="4" w:space="0" w:color="808080"/>
              <w:right w:val="single" w:sz="4" w:space="0" w:color="808080"/>
            </w:tcBorders>
            <w:shd w:val="clear" w:color="000000" w:fill="FFFFFF"/>
            <w:noWrap/>
            <w:vAlign w:val="center"/>
            <w:hideMark/>
          </w:tcPr>
          <w:p w14:paraId="62E8FF50" w14:textId="77777777" w:rsidR="001D44A4" w:rsidRPr="001D44A4" w:rsidRDefault="001D44A4" w:rsidP="001D44A4">
            <w:pPr>
              <w:spacing w:after="0" w:line="240" w:lineRule="auto"/>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1F979866"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617</w:t>
            </w:r>
          </w:p>
        </w:tc>
        <w:tc>
          <w:tcPr>
            <w:tcW w:w="1100" w:type="dxa"/>
            <w:tcBorders>
              <w:top w:val="nil"/>
              <w:left w:val="nil"/>
              <w:bottom w:val="single" w:sz="4" w:space="0" w:color="808080"/>
              <w:right w:val="single" w:sz="4" w:space="0" w:color="808080"/>
            </w:tcBorders>
            <w:shd w:val="clear" w:color="000000" w:fill="FFFFFF"/>
            <w:noWrap/>
            <w:vAlign w:val="center"/>
            <w:hideMark/>
          </w:tcPr>
          <w:p w14:paraId="571797A3"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232</w:t>
            </w:r>
          </w:p>
        </w:tc>
        <w:tc>
          <w:tcPr>
            <w:tcW w:w="4281" w:type="dxa"/>
            <w:tcBorders>
              <w:top w:val="nil"/>
              <w:left w:val="nil"/>
              <w:bottom w:val="single" w:sz="4" w:space="0" w:color="808080"/>
              <w:right w:val="single" w:sz="4" w:space="0" w:color="808080"/>
            </w:tcBorders>
            <w:shd w:val="clear" w:color="000000" w:fill="FFFFFF"/>
            <w:noWrap/>
            <w:vAlign w:val="center"/>
            <w:hideMark/>
          </w:tcPr>
          <w:p w14:paraId="3F212C78" w14:textId="77777777" w:rsidR="001D44A4" w:rsidRPr="001D44A4" w:rsidRDefault="001D44A4" w:rsidP="001D44A4">
            <w:pPr>
              <w:spacing w:after="0" w:line="240" w:lineRule="auto"/>
              <w:jc w:val="center"/>
              <w:rPr>
                <w:rFonts w:ascii="Calibri" w:eastAsia="Times New Roman" w:hAnsi="Calibri" w:cs="Calibri"/>
                <w:color w:val="000000"/>
                <w:sz w:val="18"/>
                <w:szCs w:val="18"/>
                <w:lang w:eastAsia="en-GB"/>
              </w:rPr>
            </w:pPr>
            <w:r w:rsidRPr="001D44A4">
              <w:rPr>
                <w:rFonts w:ascii="Calibri" w:eastAsia="Times New Roman" w:hAnsi="Calibri" w:cs="Calibri"/>
                <w:color w:val="000000"/>
                <w:sz w:val="18"/>
                <w:szCs w:val="18"/>
                <w:lang w:eastAsia="en-GB"/>
              </w:rPr>
              <w:t>37.6%</w:t>
            </w:r>
          </w:p>
        </w:tc>
      </w:tr>
      <w:tr w:rsidR="001D44A4" w:rsidRPr="001D44A4" w14:paraId="7B39E37D" w14:textId="77777777" w:rsidTr="008C14EC">
        <w:trPr>
          <w:trHeight w:val="290"/>
        </w:trPr>
        <w:tc>
          <w:tcPr>
            <w:tcW w:w="1100" w:type="dxa"/>
            <w:tcBorders>
              <w:top w:val="nil"/>
              <w:left w:val="single" w:sz="4" w:space="0" w:color="808080"/>
              <w:bottom w:val="single" w:sz="4" w:space="0" w:color="808080"/>
              <w:right w:val="nil"/>
            </w:tcBorders>
            <w:shd w:val="clear" w:color="000000" w:fill="FFFFFF"/>
            <w:noWrap/>
            <w:vAlign w:val="center"/>
            <w:hideMark/>
          </w:tcPr>
          <w:p w14:paraId="6BAA1EAA" w14:textId="77777777" w:rsidR="001D44A4" w:rsidRPr="001D44A4" w:rsidRDefault="001D44A4" w:rsidP="001D44A4">
            <w:pPr>
              <w:spacing w:after="0" w:line="240" w:lineRule="auto"/>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TOTAL</w:t>
            </w:r>
          </w:p>
        </w:tc>
        <w:tc>
          <w:tcPr>
            <w:tcW w:w="1100" w:type="dxa"/>
            <w:tcBorders>
              <w:top w:val="nil"/>
              <w:left w:val="nil"/>
              <w:bottom w:val="single" w:sz="4" w:space="0" w:color="808080"/>
              <w:right w:val="nil"/>
            </w:tcBorders>
            <w:shd w:val="clear" w:color="000000" w:fill="FFFFFF"/>
            <w:noWrap/>
            <w:vAlign w:val="center"/>
            <w:hideMark/>
          </w:tcPr>
          <w:p w14:paraId="7867620E" w14:textId="77777777" w:rsidR="001D44A4" w:rsidRPr="001D44A4" w:rsidRDefault="001D44A4" w:rsidP="001D44A4">
            <w:pPr>
              <w:spacing w:after="0" w:line="240" w:lineRule="auto"/>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3129AE7E" w14:textId="77777777" w:rsidR="001D44A4" w:rsidRPr="001D44A4" w:rsidRDefault="001D44A4" w:rsidP="001D44A4">
            <w:pPr>
              <w:spacing w:after="0" w:line="240" w:lineRule="auto"/>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2717F7E9"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7349</w:t>
            </w:r>
          </w:p>
        </w:tc>
        <w:tc>
          <w:tcPr>
            <w:tcW w:w="1100" w:type="dxa"/>
            <w:tcBorders>
              <w:top w:val="nil"/>
              <w:left w:val="nil"/>
              <w:bottom w:val="single" w:sz="4" w:space="0" w:color="808080"/>
              <w:right w:val="single" w:sz="4" w:space="0" w:color="808080"/>
            </w:tcBorders>
            <w:shd w:val="clear" w:color="000000" w:fill="FFFFFF"/>
            <w:noWrap/>
            <w:vAlign w:val="center"/>
            <w:hideMark/>
          </w:tcPr>
          <w:p w14:paraId="63D8ECB2"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3399</w:t>
            </w:r>
          </w:p>
        </w:tc>
        <w:tc>
          <w:tcPr>
            <w:tcW w:w="4281" w:type="dxa"/>
            <w:tcBorders>
              <w:top w:val="nil"/>
              <w:left w:val="nil"/>
              <w:bottom w:val="single" w:sz="4" w:space="0" w:color="808080"/>
              <w:right w:val="single" w:sz="4" w:space="0" w:color="808080"/>
            </w:tcBorders>
            <w:shd w:val="clear" w:color="000000" w:fill="FFFFFF"/>
            <w:noWrap/>
            <w:vAlign w:val="center"/>
            <w:hideMark/>
          </w:tcPr>
          <w:p w14:paraId="13FD65DF" w14:textId="77777777" w:rsidR="001D44A4" w:rsidRPr="001D44A4" w:rsidRDefault="001D44A4" w:rsidP="001D44A4">
            <w:pPr>
              <w:spacing w:after="0" w:line="240" w:lineRule="auto"/>
              <w:jc w:val="center"/>
              <w:rPr>
                <w:rFonts w:ascii="Calibri" w:eastAsia="Times New Roman" w:hAnsi="Calibri" w:cs="Calibri"/>
                <w:b/>
                <w:bCs/>
                <w:color w:val="000000"/>
                <w:sz w:val="18"/>
                <w:szCs w:val="18"/>
                <w:lang w:eastAsia="en-GB"/>
              </w:rPr>
            </w:pPr>
            <w:r w:rsidRPr="001D44A4">
              <w:rPr>
                <w:rFonts w:ascii="Calibri" w:eastAsia="Times New Roman" w:hAnsi="Calibri" w:cs="Calibri"/>
                <w:b/>
                <w:bCs/>
                <w:color w:val="000000"/>
                <w:sz w:val="18"/>
                <w:szCs w:val="18"/>
                <w:lang w:eastAsia="en-GB"/>
              </w:rPr>
              <w:t>46.3%</w:t>
            </w:r>
          </w:p>
        </w:tc>
      </w:tr>
    </w:tbl>
    <w:p w14:paraId="094FC566" w14:textId="77777777" w:rsidR="001D44A4" w:rsidRPr="000915F3" w:rsidRDefault="001D44A4" w:rsidP="002038FA">
      <w:pPr>
        <w:spacing w:after="120"/>
        <w:ind w:left="720" w:hanging="720"/>
        <w:rPr>
          <w:rFonts w:eastAsia="Times New Roman"/>
          <w:sz w:val="24"/>
          <w:szCs w:val="24"/>
        </w:rPr>
      </w:pPr>
    </w:p>
    <w:p w14:paraId="6A763D79" w14:textId="2BE85152" w:rsidR="001B45A2" w:rsidRPr="002038FA" w:rsidRDefault="00D05622" w:rsidP="002038FA">
      <w:pPr>
        <w:spacing w:after="120"/>
        <w:ind w:left="720" w:hanging="720"/>
        <w:rPr>
          <w:rFonts w:cstheme="minorHAnsi"/>
          <w:sz w:val="24"/>
          <w:szCs w:val="24"/>
        </w:rPr>
      </w:pPr>
      <w:r>
        <w:rPr>
          <w:sz w:val="24"/>
          <w:szCs w:val="24"/>
        </w:rPr>
        <w:t>4</w:t>
      </w:r>
      <w:r w:rsidR="00FF0EF4" w:rsidRPr="000E645A">
        <w:rPr>
          <w:sz w:val="24"/>
          <w:szCs w:val="24"/>
        </w:rPr>
        <w:t>.7</w:t>
      </w:r>
      <w:r w:rsidR="001B45A2" w:rsidRPr="000E645A">
        <w:rPr>
          <w:sz w:val="24"/>
          <w:szCs w:val="24"/>
        </w:rPr>
        <w:tab/>
      </w:r>
      <w:r w:rsidR="00E008F4" w:rsidRPr="000E645A">
        <w:rPr>
          <w:rFonts w:cstheme="minorHAnsi"/>
          <w:sz w:val="24"/>
          <w:szCs w:val="24"/>
        </w:rPr>
        <w:t xml:space="preserve">Trust uptake data </w:t>
      </w:r>
      <w:r w:rsidR="008C14EC">
        <w:rPr>
          <w:rFonts w:cstheme="minorHAnsi"/>
          <w:sz w:val="24"/>
          <w:szCs w:val="24"/>
        </w:rPr>
        <w:t>is</w:t>
      </w:r>
      <w:r w:rsidR="00E008F4" w:rsidRPr="000E645A">
        <w:rPr>
          <w:rFonts w:cstheme="minorHAnsi"/>
          <w:sz w:val="24"/>
          <w:szCs w:val="24"/>
        </w:rPr>
        <w:t xml:space="preserve"> further analysed </w:t>
      </w:r>
      <w:r w:rsidR="00936777" w:rsidRPr="000E645A">
        <w:rPr>
          <w:rFonts w:cstheme="minorHAnsi"/>
          <w:sz w:val="24"/>
          <w:szCs w:val="24"/>
        </w:rPr>
        <w:t>including</w:t>
      </w:r>
      <w:r w:rsidR="00E008F4" w:rsidRPr="000E645A">
        <w:rPr>
          <w:rFonts w:cstheme="minorHAnsi"/>
          <w:sz w:val="24"/>
          <w:szCs w:val="24"/>
        </w:rPr>
        <w:t xml:space="preserve"> high and low uptake teams, teams with higher staff numbers with low uptake with a greater potential to improve/impact overall Trust performance. </w:t>
      </w:r>
    </w:p>
    <w:p w14:paraId="224B0F48" w14:textId="1EBCF2D1" w:rsidR="00527547" w:rsidRPr="00527431" w:rsidRDefault="00D05622" w:rsidP="00527431">
      <w:pPr>
        <w:spacing w:after="120"/>
        <w:ind w:left="720" w:hanging="720"/>
        <w:rPr>
          <w:rFonts w:cstheme="minorHAnsi"/>
          <w:sz w:val="24"/>
          <w:szCs w:val="24"/>
        </w:rPr>
      </w:pPr>
      <w:r>
        <w:rPr>
          <w:sz w:val="24"/>
          <w:szCs w:val="24"/>
        </w:rPr>
        <w:t>4</w:t>
      </w:r>
      <w:r w:rsidR="00FF0EF4" w:rsidRPr="000E645A">
        <w:rPr>
          <w:sz w:val="24"/>
          <w:szCs w:val="24"/>
        </w:rPr>
        <w:t>.8</w:t>
      </w:r>
      <w:r w:rsidR="000550D7" w:rsidRPr="000E645A">
        <w:rPr>
          <w:sz w:val="24"/>
          <w:szCs w:val="24"/>
        </w:rPr>
        <w:tab/>
      </w:r>
      <w:r w:rsidR="00E008F4" w:rsidRPr="000E645A">
        <w:rPr>
          <w:rFonts w:cstheme="minorHAnsi"/>
          <w:sz w:val="24"/>
          <w:szCs w:val="24"/>
        </w:rPr>
        <w:t xml:space="preserve">Reasons for higher vaccination uptake triangulated with national data </w:t>
      </w:r>
      <w:r w:rsidR="00936777" w:rsidRPr="000E645A">
        <w:rPr>
          <w:rFonts w:cstheme="minorHAnsi"/>
          <w:sz w:val="24"/>
          <w:szCs w:val="24"/>
        </w:rPr>
        <w:t>include</w:t>
      </w:r>
      <w:r w:rsidR="00E008F4" w:rsidRPr="000E645A">
        <w:rPr>
          <w:rFonts w:cstheme="minorHAnsi"/>
          <w:sz w:val="24"/>
          <w:szCs w:val="24"/>
        </w:rPr>
        <w:t xml:space="preserve"> key influencers within teams, committed leadership to the flu programme, </w:t>
      </w:r>
      <w:r w:rsidR="00936777" w:rsidRPr="000E645A">
        <w:rPr>
          <w:rFonts w:cstheme="minorHAnsi"/>
          <w:sz w:val="24"/>
          <w:szCs w:val="24"/>
        </w:rPr>
        <w:t>flexibility,</w:t>
      </w:r>
      <w:r w:rsidR="00E008F4" w:rsidRPr="000E645A">
        <w:rPr>
          <w:rFonts w:cstheme="minorHAnsi"/>
          <w:sz w:val="24"/>
          <w:szCs w:val="24"/>
        </w:rPr>
        <w:t xml:space="preserve"> and a strong local peer vaccinator.  Analysis of the uptake data by staff group identified that Allied Health Professionals staff are more likely to have their flu vaccine in comparison to medical and nursing staff.  The trend in LPT is that many of the highest uptake teams are AHP teams/services.</w:t>
      </w:r>
    </w:p>
    <w:p w14:paraId="3496011E" w14:textId="660B4DE1" w:rsidR="001527C1" w:rsidRPr="000E645A" w:rsidRDefault="00D05622" w:rsidP="000E645A">
      <w:pPr>
        <w:pStyle w:val="Heading1"/>
        <w:spacing w:before="0" w:after="120"/>
        <w:ind w:left="720" w:hanging="720"/>
        <w:rPr>
          <w:rFonts w:asciiTheme="minorHAnsi" w:hAnsiTheme="minorHAnsi" w:cs="Arial"/>
          <w:color w:val="auto"/>
          <w:sz w:val="24"/>
          <w:szCs w:val="24"/>
        </w:rPr>
      </w:pPr>
      <w:r>
        <w:rPr>
          <w:rFonts w:asciiTheme="minorHAnsi" w:hAnsiTheme="minorHAnsi" w:cs="Arial"/>
          <w:color w:val="auto"/>
          <w:sz w:val="24"/>
          <w:szCs w:val="24"/>
        </w:rPr>
        <w:t>5</w:t>
      </w:r>
      <w:r w:rsidR="00FF0EF4" w:rsidRPr="000E645A">
        <w:rPr>
          <w:rFonts w:asciiTheme="minorHAnsi" w:hAnsiTheme="minorHAnsi" w:cs="Arial"/>
          <w:color w:val="auto"/>
          <w:sz w:val="24"/>
          <w:szCs w:val="24"/>
        </w:rPr>
        <w:t>.</w:t>
      </w:r>
      <w:r w:rsidR="00200E99">
        <w:rPr>
          <w:rFonts w:asciiTheme="minorHAnsi" w:hAnsiTheme="minorHAnsi" w:cs="Arial"/>
          <w:color w:val="auto"/>
          <w:sz w:val="24"/>
          <w:szCs w:val="24"/>
        </w:rPr>
        <w:tab/>
        <w:t>Reporting and m</w:t>
      </w:r>
      <w:r w:rsidR="001527C1" w:rsidRPr="000E645A">
        <w:rPr>
          <w:rFonts w:asciiTheme="minorHAnsi" w:hAnsiTheme="minorHAnsi" w:cs="Arial"/>
          <w:color w:val="auto"/>
          <w:sz w:val="24"/>
          <w:szCs w:val="24"/>
        </w:rPr>
        <w:t>onitoring of HCAI Infections</w:t>
      </w:r>
    </w:p>
    <w:p w14:paraId="79B5AC12" w14:textId="01185EE9" w:rsidR="001527C1" w:rsidRPr="000E645A" w:rsidRDefault="00D05622" w:rsidP="000E645A">
      <w:pPr>
        <w:autoSpaceDE w:val="0"/>
        <w:autoSpaceDN w:val="0"/>
        <w:adjustRightInd w:val="0"/>
        <w:spacing w:after="120"/>
        <w:ind w:left="720" w:hanging="720"/>
        <w:rPr>
          <w:sz w:val="24"/>
          <w:szCs w:val="24"/>
        </w:rPr>
      </w:pPr>
      <w:r>
        <w:rPr>
          <w:sz w:val="24"/>
          <w:szCs w:val="24"/>
        </w:rPr>
        <w:t>5</w:t>
      </w:r>
      <w:r w:rsidR="001527C1" w:rsidRPr="000E645A">
        <w:rPr>
          <w:sz w:val="24"/>
          <w:szCs w:val="24"/>
        </w:rPr>
        <w:t>.1</w:t>
      </w:r>
      <w:r w:rsidR="001527C1" w:rsidRPr="000E645A">
        <w:rPr>
          <w:sz w:val="24"/>
          <w:szCs w:val="24"/>
        </w:rPr>
        <w:tab/>
        <w:t>There are four infections that are mandatory for reporting purposes:</w:t>
      </w:r>
    </w:p>
    <w:p w14:paraId="49971604" w14:textId="77777777" w:rsidR="001527C1" w:rsidRPr="000E645A" w:rsidRDefault="001527C1" w:rsidP="00B410E4">
      <w:pPr>
        <w:pStyle w:val="ListParagraph"/>
        <w:numPr>
          <w:ilvl w:val="0"/>
          <w:numId w:val="3"/>
        </w:numPr>
        <w:autoSpaceDE w:val="0"/>
        <w:autoSpaceDN w:val="0"/>
        <w:adjustRightInd w:val="0"/>
        <w:spacing w:after="0"/>
        <w:contextualSpacing w:val="0"/>
        <w:rPr>
          <w:sz w:val="24"/>
          <w:szCs w:val="24"/>
        </w:rPr>
      </w:pPr>
      <w:r w:rsidRPr="000E645A">
        <w:rPr>
          <w:sz w:val="24"/>
          <w:szCs w:val="24"/>
        </w:rPr>
        <w:t>Meticillin Resistant Staphylococcus Aureus (MRSA) bloodstream infections.</w:t>
      </w:r>
    </w:p>
    <w:p w14:paraId="44346B73" w14:textId="77777777" w:rsidR="001527C1" w:rsidRPr="000E645A" w:rsidRDefault="001527C1" w:rsidP="00B410E4">
      <w:pPr>
        <w:pStyle w:val="ListParagraph"/>
        <w:numPr>
          <w:ilvl w:val="0"/>
          <w:numId w:val="3"/>
        </w:numPr>
        <w:autoSpaceDE w:val="0"/>
        <w:autoSpaceDN w:val="0"/>
        <w:adjustRightInd w:val="0"/>
        <w:spacing w:after="0"/>
        <w:contextualSpacing w:val="0"/>
        <w:rPr>
          <w:sz w:val="24"/>
          <w:szCs w:val="24"/>
        </w:rPr>
      </w:pPr>
      <w:r w:rsidRPr="000E645A">
        <w:rPr>
          <w:iCs/>
          <w:sz w:val="24"/>
          <w:szCs w:val="24"/>
        </w:rPr>
        <w:t>Clostridioides difficile</w:t>
      </w:r>
      <w:r w:rsidRPr="000E645A">
        <w:rPr>
          <w:sz w:val="24"/>
          <w:szCs w:val="24"/>
        </w:rPr>
        <w:t xml:space="preserve"> infection (previously known as Clostridium difficile) </w:t>
      </w:r>
    </w:p>
    <w:p w14:paraId="2A0AE602" w14:textId="77777777" w:rsidR="001527C1" w:rsidRPr="000E645A" w:rsidRDefault="001527C1" w:rsidP="00B410E4">
      <w:pPr>
        <w:pStyle w:val="ListParagraph"/>
        <w:numPr>
          <w:ilvl w:val="0"/>
          <w:numId w:val="3"/>
        </w:numPr>
        <w:autoSpaceDE w:val="0"/>
        <w:autoSpaceDN w:val="0"/>
        <w:adjustRightInd w:val="0"/>
        <w:spacing w:after="0"/>
        <w:contextualSpacing w:val="0"/>
        <w:rPr>
          <w:sz w:val="24"/>
          <w:szCs w:val="24"/>
        </w:rPr>
      </w:pPr>
      <w:r w:rsidRPr="000E645A">
        <w:rPr>
          <w:sz w:val="24"/>
          <w:szCs w:val="24"/>
        </w:rPr>
        <w:t>Meticillin Sensitive Staphylococcus Aureus (MSSA) bloodstream infections.</w:t>
      </w:r>
    </w:p>
    <w:p w14:paraId="7F269C49" w14:textId="77777777" w:rsidR="002038FA" w:rsidRPr="002038FA" w:rsidRDefault="001527C1" w:rsidP="00B410E4">
      <w:pPr>
        <w:pStyle w:val="ListParagraph"/>
        <w:numPr>
          <w:ilvl w:val="0"/>
          <w:numId w:val="3"/>
        </w:numPr>
        <w:autoSpaceDE w:val="0"/>
        <w:autoSpaceDN w:val="0"/>
        <w:adjustRightInd w:val="0"/>
        <w:spacing w:after="0" w:line="360" w:lineRule="auto"/>
        <w:contextualSpacing w:val="0"/>
        <w:rPr>
          <w:sz w:val="24"/>
          <w:szCs w:val="24"/>
        </w:rPr>
      </w:pPr>
      <w:r w:rsidRPr="000E645A">
        <w:rPr>
          <w:sz w:val="24"/>
          <w:szCs w:val="24"/>
        </w:rPr>
        <w:t>Gram Negative bloodstream infections (GNBSI)</w:t>
      </w:r>
    </w:p>
    <w:p w14:paraId="07469A41" w14:textId="76D21276" w:rsidR="001527C1" w:rsidRPr="000E645A" w:rsidRDefault="00D05622" w:rsidP="002038FA">
      <w:pPr>
        <w:autoSpaceDE w:val="0"/>
        <w:autoSpaceDN w:val="0"/>
        <w:adjustRightInd w:val="0"/>
        <w:spacing w:after="120"/>
        <w:ind w:left="720" w:hanging="720"/>
        <w:rPr>
          <w:b/>
          <w:sz w:val="24"/>
          <w:szCs w:val="24"/>
        </w:rPr>
      </w:pPr>
      <w:r>
        <w:rPr>
          <w:sz w:val="24"/>
          <w:szCs w:val="24"/>
        </w:rPr>
        <w:t>5</w:t>
      </w:r>
      <w:r w:rsidR="001527C1" w:rsidRPr="000E645A">
        <w:rPr>
          <w:sz w:val="24"/>
          <w:szCs w:val="24"/>
        </w:rPr>
        <w:t>.2</w:t>
      </w:r>
      <w:r w:rsidR="001527C1" w:rsidRPr="000E645A">
        <w:rPr>
          <w:b/>
          <w:sz w:val="24"/>
          <w:szCs w:val="24"/>
        </w:rPr>
        <w:tab/>
        <w:t>MRSA Blood stream infection rates</w:t>
      </w:r>
    </w:p>
    <w:p w14:paraId="3A985B4C" w14:textId="2A454E18" w:rsidR="00696716" w:rsidRPr="000E645A" w:rsidRDefault="001527C1" w:rsidP="002038FA">
      <w:pPr>
        <w:spacing w:after="120"/>
        <w:ind w:left="720"/>
        <w:rPr>
          <w:sz w:val="24"/>
          <w:szCs w:val="24"/>
        </w:rPr>
      </w:pPr>
      <w:r w:rsidRPr="000E645A">
        <w:rPr>
          <w:sz w:val="24"/>
          <w:szCs w:val="24"/>
        </w:rPr>
        <w:t xml:space="preserve">The </w:t>
      </w:r>
      <w:r w:rsidR="005565D5">
        <w:rPr>
          <w:sz w:val="24"/>
          <w:szCs w:val="24"/>
        </w:rPr>
        <w:t>n</w:t>
      </w:r>
      <w:r w:rsidRPr="000E645A">
        <w:rPr>
          <w:sz w:val="24"/>
          <w:szCs w:val="24"/>
        </w:rPr>
        <w:t xml:space="preserve">ational trajectory is set at zero. </w:t>
      </w:r>
      <w:r w:rsidR="003A0C7F">
        <w:rPr>
          <w:sz w:val="24"/>
          <w:szCs w:val="24"/>
        </w:rPr>
        <w:t>The Trust</w:t>
      </w:r>
      <w:r w:rsidRPr="000E645A">
        <w:rPr>
          <w:sz w:val="24"/>
          <w:szCs w:val="24"/>
        </w:rPr>
        <w:t xml:space="preserve"> performance for MRSA bacteraemia from </w:t>
      </w:r>
      <w:r w:rsidR="008C49FC" w:rsidRPr="000E645A">
        <w:rPr>
          <w:sz w:val="24"/>
          <w:szCs w:val="24"/>
        </w:rPr>
        <w:t>April 202</w:t>
      </w:r>
      <w:r w:rsidR="00653CC2">
        <w:rPr>
          <w:sz w:val="24"/>
          <w:szCs w:val="24"/>
        </w:rPr>
        <w:t>1</w:t>
      </w:r>
      <w:r w:rsidR="008C49FC" w:rsidRPr="000E645A">
        <w:rPr>
          <w:sz w:val="24"/>
          <w:szCs w:val="24"/>
        </w:rPr>
        <w:t xml:space="preserve"> to </w:t>
      </w:r>
      <w:r w:rsidR="00653CC2">
        <w:rPr>
          <w:sz w:val="24"/>
          <w:szCs w:val="24"/>
        </w:rPr>
        <w:t xml:space="preserve">November </w:t>
      </w:r>
      <w:r w:rsidR="008C49FC" w:rsidRPr="000E645A">
        <w:rPr>
          <w:sz w:val="24"/>
          <w:szCs w:val="24"/>
        </w:rPr>
        <w:t>202</w:t>
      </w:r>
      <w:r w:rsidR="00841E07" w:rsidRPr="000E645A">
        <w:rPr>
          <w:sz w:val="24"/>
          <w:szCs w:val="24"/>
        </w:rPr>
        <w:t xml:space="preserve">1 </w:t>
      </w:r>
      <w:r w:rsidR="00653CC2">
        <w:rPr>
          <w:sz w:val="24"/>
          <w:szCs w:val="24"/>
        </w:rPr>
        <w:t>is</w:t>
      </w:r>
      <w:r w:rsidR="00841E07" w:rsidRPr="000E645A">
        <w:rPr>
          <w:sz w:val="24"/>
          <w:szCs w:val="24"/>
        </w:rPr>
        <w:t xml:space="preserve"> </w:t>
      </w:r>
      <w:r w:rsidR="00883DA2">
        <w:rPr>
          <w:sz w:val="24"/>
          <w:szCs w:val="24"/>
        </w:rPr>
        <w:t>zero.</w:t>
      </w:r>
    </w:p>
    <w:p w14:paraId="01F3487B" w14:textId="20169D52" w:rsidR="001527C1" w:rsidRPr="000E645A" w:rsidRDefault="00D05622" w:rsidP="000E645A">
      <w:pPr>
        <w:spacing w:after="120"/>
        <w:ind w:left="720" w:hanging="720"/>
        <w:rPr>
          <w:b/>
          <w:sz w:val="24"/>
          <w:szCs w:val="24"/>
        </w:rPr>
      </w:pPr>
      <w:r>
        <w:rPr>
          <w:sz w:val="24"/>
          <w:szCs w:val="24"/>
        </w:rPr>
        <w:t>5</w:t>
      </w:r>
      <w:r w:rsidR="001527C1" w:rsidRPr="000E645A">
        <w:rPr>
          <w:sz w:val="24"/>
          <w:szCs w:val="24"/>
        </w:rPr>
        <w:t>.3</w:t>
      </w:r>
      <w:r w:rsidR="001527C1" w:rsidRPr="000E645A">
        <w:rPr>
          <w:sz w:val="24"/>
          <w:szCs w:val="24"/>
        </w:rPr>
        <w:tab/>
      </w:r>
      <w:r w:rsidR="001527C1" w:rsidRPr="000E645A">
        <w:rPr>
          <w:b/>
          <w:sz w:val="24"/>
          <w:szCs w:val="24"/>
        </w:rPr>
        <w:t>Clostridium difficile infection</w:t>
      </w:r>
      <w:r w:rsidR="00273B95">
        <w:rPr>
          <w:b/>
          <w:sz w:val="24"/>
          <w:szCs w:val="24"/>
        </w:rPr>
        <w:t xml:space="preserve"> (CDI)</w:t>
      </w:r>
      <w:r w:rsidR="001527C1" w:rsidRPr="000E645A">
        <w:rPr>
          <w:b/>
          <w:sz w:val="24"/>
          <w:szCs w:val="24"/>
        </w:rPr>
        <w:t xml:space="preserve"> rates</w:t>
      </w:r>
    </w:p>
    <w:p w14:paraId="56E0E2D0" w14:textId="3B2698BE" w:rsidR="00653CC2" w:rsidRDefault="001527C1" w:rsidP="00653CC2">
      <w:pPr>
        <w:spacing w:after="120"/>
        <w:ind w:left="720"/>
        <w:rPr>
          <w:sz w:val="24"/>
          <w:szCs w:val="24"/>
        </w:rPr>
      </w:pPr>
      <w:r w:rsidRPr="000E645A">
        <w:rPr>
          <w:sz w:val="24"/>
          <w:szCs w:val="24"/>
        </w:rPr>
        <w:t>The agreed trajectory for 20</w:t>
      </w:r>
      <w:r w:rsidR="008C49FC" w:rsidRPr="000E645A">
        <w:rPr>
          <w:sz w:val="24"/>
          <w:szCs w:val="24"/>
        </w:rPr>
        <w:t>20</w:t>
      </w:r>
      <w:r w:rsidRPr="000E645A">
        <w:rPr>
          <w:sz w:val="24"/>
          <w:szCs w:val="24"/>
        </w:rPr>
        <w:t>/2</w:t>
      </w:r>
      <w:r w:rsidR="008C49FC" w:rsidRPr="000E645A">
        <w:rPr>
          <w:sz w:val="24"/>
          <w:szCs w:val="24"/>
        </w:rPr>
        <w:t>1</w:t>
      </w:r>
      <w:r w:rsidRPr="000E645A">
        <w:rPr>
          <w:sz w:val="24"/>
          <w:szCs w:val="24"/>
        </w:rPr>
        <w:t xml:space="preserve"> was 12 and is set internally by the C</w:t>
      </w:r>
      <w:r w:rsidR="003A0C7F">
        <w:rPr>
          <w:sz w:val="24"/>
          <w:szCs w:val="24"/>
        </w:rPr>
        <w:t xml:space="preserve">linical </w:t>
      </w:r>
      <w:r w:rsidRPr="000E645A">
        <w:rPr>
          <w:sz w:val="24"/>
          <w:szCs w:val="24"/>
        </w:rPr>
        <w:t>C</w:t>
      </w:r>
      <w:r w:rsidR="003A0C7F">
        <w:rPr>
          <w:sz w:val="24"/>
          <w:szCs w:val="24"/>
        </w:rPr>
        <w:t xml:space="preserve">ommissioning </w:t>
      </w:r>
      <w:r w:rsidRPr="000E645A">
        <w:rPr>
          <w:sz w:val="24"/>
          <w:szCs w:val="24"/>
        </w:rPr>
        <w:t>G</w:t>
      </w:r>
      <w:r w:rsidR="003A0C7F">
        <w:rPr>
          <w:sz w:val="24"/>
          <w:szCs w:val="24"/>
        </w:rPr>
        <w:t>roup (CCG)</w:t>
      </w:r>
      <w:r w:rsidRPr="000E645A">
        <w:rPr>
          <w:sz w:val="24"/>
          <w:szCs w:val="24"/>
        </w:rPr>
        <w:t xml:space="preserve"> (identified as EIA toxin positive CDI)</w:t>
      </w:r>
      <w:r w:rsidR="00273B95">
        <w:rPr>
          <w:sz w:val="24"/>
          <w:szCs w:val="24"/>
        </w:rPr>
        <w:t xml:space="preserve">. </w:t>
      </w:r>
      <w:r w:rsidR="00653CC2">
        <w:rPr>
          <w:sz w:val="24"/>
          <w:szCs w:val="24"/>
        </w:rPr>
        <w:t xml:space="preserve"> There have been 4 cases of health care associated infection of CDI between April 2021 and November 2021:</w:t>
      </w:r>
    </w:p>
    <w:p w14:paraId="52BE7FB3" w14:textId="3703514B" w:rsidR="00653CC2" w:rsidRPr="00195864" w:rsidRDefault="00653CC2" w:rsidP="00195864">
      <w:pPr>
        <w:pStyle w:val="ListParagraph"/>
        <w:numPr>
          <w:ilvl w:val="0"/>
          <w:numId w:val="31"/>
        </w:numPr>
        <w:spacing w:after="120"/>
        <w:rPr>
          <w:sz w:val="24"/>
          <w:szCs w:val="24"/>
        </w:rPr>
      </w:pPr>
      <w:r w:rsidRPr="00195864">
        <w:rPr>
          <w:sz w:val="24"/>
          <w:szCs w:val="24"/>
        </w:rPr>
        <w:t>July</w:t>
      </w:r>
      <w:r w:rsidR="00A87965">
        <w:rPr>
          <w:sz w:val="24"/>
          <w:szCs w:val="24"/>
        </w:rPr>
        <w:t xml:space="preserve"> 2021</w:t>
      </w:r>
      <w:r w:rsidRPr="00195864">
        <w:rPr>
          <w:sz w:val="24"/>
          <w:szCs w:val="24"/>
        </w:rPr>
        <w:t xml:space="preserve"> – St Lukes, Ward 3</w:t>
      </w:r>
    </w:p>
    <w:p w14:paraId="2BD10537" w14:textId="32206A8E" w:rsidR="00653CC2" w:rsidRPr="00195864" w:rsidRDefault="00653CC2" w:rsidP="00195864">
      <w:pPr>
        <w:pStyle w:val="ListParagraph"/>
        <w:numPr>
          <w:ilvl w:val="0"/>
          <w:numId w:val="31"/>
        </w:numPr>
        <w:spacing w:after="120"/>
        <w:rPr>
          <w:sz w:val="24"/>
          <w:szCs w:val="24"/>
        </w:rPr>
      </w:pPr>
      <w:r w:rsidRPr="00195864">
        <w:rPr>
          <w:sz w:val="24"/>
          <w:szCs w:val="24"/>
        </w:rPr>
        <w:t>September</w:t>
      </w:r>
      <w:r w:rsidR="00A87965">
        <w:rPr>
          <w:sz w:val="24"/>
          <w:szCs w:val="24"/>
        </w:rPr>
        <w:t xml:space="preserve"> 2021</w:t>
      </w:r>
      <w:r w:rsidRPr="00195864">
        <w:rPr>
          <w:sz w:val="24"/>
          <w:szCs w:val="24"/>
        </w:rPr>
        <w:t xml:space="preserve"> – Evington Centre, Beechwood Ward</w:t>
      </w:r>
    </w:p>
    <w:p w14:paraId="1D69919B" w14:textId="076B314A" w:rsidR="00653CC2" w:rsidRPr="00195864" w:rsidRDefault="00653CC2" w:rsidP="00D05622">
      <w:pPr>
        <w:pStyle w:val="ListParagraph"/>
        <w:spacing w:after="120"/>
        <w:ind w:left="1440"/>
        <w:rPr>
          <w:sz w:val="24"/>
          <w:szCs w:val="24"/>
        </w:rPr>
      </w:pPr>
      <w:r w:rsidRPr="00195864">
        <w:rPr>
          <w:sz w:val="24"/>
          <w:szCs w:val="24"/>
        </w:rPr>
        <w:t xml:space="preserve">September </w:t>
      </w:r>
      <w:r w:rsidR="00A87965">
        <w:rPr>
          <w:sz w:val="24"/>
          <w:szCs w:val="24"/>
        </w:rPr>
        <w:t>2021</w:t>
      </w:r>
      <w:r w:rsidRPr="00195864">
        <w:rPr>
          <w:sz w:val="24"/>
          <w:szCs w:val="24"/>
        </w:rPr>
        <w:t>– Loughborough Hospital, Swithland Ward</w:t>
      </w:r>
    </w:p>
    <w:p w14:paraId="2C106685" w14:textId="67590C1E" w:rsidR="00653CC2" w:rsidRPr="00195864" w:rsidRDefault="00653CC2" w:rsidP="00195864">
      <w:pPr>
        <w:pStyle w:val="ListParagraph"/>
        <w:numPr>
          <w:ilvl w:val="0"/>
          <w:numId w:val="31"/>
        </w:numPr>
        <w:spacing w:after="120"/>
        <w:rPr>
          <w:sz w:val="24"/>
          <w:szCs w:val="24"/>
        </w:rPr>
      </w:pPr>
      <w:r w:rsidRPr="00195864">
        <w:rPr>
          <w:sz w:val="24"/>
          <w:szCs w:val="24"/>
        </w:rPr>
        <w:t>October</w:t>
      </w:r>
      <w:r w:rsidR="00A87965">
        <w:rPr>
          <w:sz w:val="24"/>
          <w:szCs w:val="24"/>
        </w:rPr>
        <w:t>2021</w:t>
      </w:r>
      <w:r w:rsidRPr="00195864">
        <w:rPr>
          <w:sz w:val="24"/>
          <w:szCs w:val="24"/>
        </w:rPr>
        <w:t xml:space="preserve"> – Melton Hospital, Dalgleish Ward</w:t>
      </w:r>
    </w:p>
    <w:p w14:paraId="248A0FF7" w14:textId="78D1306D" w:rsidR="001533B5" w:rsidRPr="000E645A" w:rsidRDefault="00D05622" w:rsidP="002B6695">
      <w:pPr>
        <w:spacing w:after="120"/>
        <w:ind w:left="720" w:hanging="720"/>
        <w:rPr>
          <w:sz w:val="24"/>
          <w:szCs w:val="24"/>
        </w:rPr>
      </w:pPr>
      <w:r>
        <w:rPr>
          <w:sz w:val="24"/>
          <w:szCs w:val="24"/>
        </w:rPr>
        <w:t>5</w:t>
      </w:r>
      <w:r w:rsidR="001527C1" w:rsidRPr="000E645A">
        <w:rPr>
          <w:sz w:val="24"/>
          <w:szCs w:val="24"/>
        </w:rPr>
        <w:t>.4</w:t>
      </w:r>
      <w:r w:rsidR="001527C1" w:rsidRPr="000E645A">
        <w:rPr>
          <w:sz w:val="24"/>
          <w:szCs w:val="24"/>
        </w:rPr>
        <w:tab/>
        <w:t xml:space="preserve">All episodes of MRSA bacteraemia and CDI are identified and are subject to a Root Cause Analysis </w:t>
      </w:r>
      <w:r w:rsidR="009B1276">
        <w:rPr>
          <w:sz w:val="24"/>
          <w:szCs w:val="24"/>
        </w:rPr>
        <w:t xml:space="preserve">(RCA) </w:t>
      </w:r>
      <w:r w:rsidR="001527C1" w:rsidRPr="000E645A">
        <w:rPr>
          <w:sz w:val="24"/>
          <w:szCs w:val="24"/>
        </w:rPr>
        <w:t>investigation.  All action plans developed as part of this process are presented t</w:t>
      </w:r>
      <w:r w:rsidR="00A87965">
        <w:rPr>
          <w:sz w:val="24"/>
          <w:szCs w:val="24"/>
        </w:rPr>
        <w:t xml:space="preserve">o the </w:t>
      </w:r>
      <w:r w:rsidR="002B6695">
        <w:rPr>
          <w:sz w:val="24"/>
          <w:szCs w:val="24"/>
        </w:rPr>
        <w:t xml:space="preserve">Trust </w:t>
      </w:r>
      <w:r w:rsidR="002B6695" w:rsidRPr="000E645A">
        <w:rPr>
          <w:sz w:val="24"/>
          <w:szCs w:val="24"/>
        </w:rPr>
        <w:t>IPC</w:t>
      </w:r>
      <w:r w:rsidR="001527C1" w:rsidRPr="000E645A">
        <w:rPr>
          <w:sz w:val="24"/>
          <w:szCs w:val="24"/>
        </w:rPr>
        <w:t xml:space="preserve"> meeting which support</w:t>
      </w:r>
      <w:r w:rsidR="00A87965">
        <w:rPr>
          <w:sz w:val="24"/>
          <w:szCs w:val="24"/>
        </w:rPr>
        <w:t>s</w:t>
      </w:r>
      <w:r w:rsidR="001527C1" w:rsidRPr="000E645A">
        <w:rPr>
          <w:sz w:val="24"/>
          <w:szCs w:val="24"/>
        </w:rPr>
        <w:t xml:space="preserve"> the sign off of completed actions</w:t>
      </w:r>
      <w:r w:rsidR="00A87965">
        <w:rPr>
          <w:sz w:val="24"/>
          <w:szCs w:val="24"/>
        </w:rPr>
        <w:t xml:space="preserve"> and an opportunity to share learning</w:t>
      </w:r>
      <w:r w:rsidR="001527C1" w:rsidRPr="000E645A">
        <w:rPr>
          <w:sz w:val="24"/>
          <w:szCs w:val="24"/>
        </w:rPr>
        <w:t xml:space="preserve">.  </w:t>
      </w:r>
      <w:r w:rsidR="001533B5">
        <w:rPr>
          <w:sz w:val="24"/>
          <w:szCs w:val="24"/>
        </w:rPr>
        <w:t>Delayed sampling was identified as one of the learning points, and the need to consider infections other than Covid-19</w:t>
      </w:r>
      <w:r w:rsidR="00731133">
        <w:rPr>
          <w:sz w:val="24"/>
          <w:szCs w:val="24"/>
        </w:rPr>
        <w:t xml:space="preserve">. </w:t>
      </w:r>
    </w:p>
    <w:p w14:paraId="2BA40E2E" w14:textId="7B8BAE52" w:rsidR="001527C1" w:rsidRPr="000E645A" w:rsidRDefault="00D05622" w:rsidP="000E645A">
      <w:pPr>
        <w:spacing w:after="120"/>
        <w:ind w:left="720" w:hanging="720"/>
        <w:rPr>
          <w:b/>
          <w:sz w:val="24"/>
          <w:szCs w:val="24"/>
        </w:rPr>
      </w:pPr>
      <w:r>
        <w:rPr>
          <w:sz w:val="24"/>
          <w:szCs w:val="24"/>
        </w:rPr>
        <w:t>5</w:t>
      </w:r>
      <w:r w:rsidR="001527C1" w:rsidRPr="000E645A">
        <w:rPr>
          <w:sz w:val="24"/>
          <w:szCs w:val="24"/>
        </w:rPr>
        <w:t>.5</w:t>
      </w:r>
      <w:r w:rsidR="001527C1" w:rsidRPr="000E645A">
        <w:rPr>
          <w:b/>
          <w:sz w:val="24"/>
          <w:szCs w:val="24"/>
        </w:rPr>
        <w:tab/>
        <w:t>MSSA Blood stream infection rates</w:t>
      </w:r>
    </w:p>
    <w:p w14:paraId="4FC0BF45" w14:textId="6DC98814" w:rsidR="00FF0EF4" w:rsidRPr="000E645A" w:rsidRDefault="001527C1" w:rsidP="002038FA">
      <w:pPr>
        <w:spacing w:after="120"/>
        <w:ind w:left="720" w:hanging="720"/>
        <w:rPr>
          <w:sz w:val="24"/>
          <w:szCs w:val="24"/>
        </w:rPr>
      </w:pPr>
      <w:r w:rsidRPr="000E645A">
        <w:rPr>
          <w:sz w:val="24"/>
          <w:szCs w:val="24"/>
        </w:rPr>
        <w:tab/>
        <w:t xml:space="preserve">There is no identified </w:t>
      </w:r>
      <w:r w:rsidR="00A87965">
        <w:rPr>
          <w:sz w:val="24"/>
          <w:szCs w:val="24"/>
        </w:rPr>
        <w:t xml:space="preserve">Trust </w:t>
      </w:r>
      <w:r w:rsidR="002B6695" w:rsidRPr="000E645A">
        <w:rPr>
          <w:sz w:val="24"/>
          <w:szCs w:val="24"/>
        </w:rPr>
        <w:t>trajectory for</w:t>
      </w:r>
      <w:r w:rsidRPr="000E645A">
        <w:rPr>
          <w:sz w:val="24"/>
          <w:szCs w:val="24"/>
        </w:rPr>
        <w:t xml:space="preserve"> MSSA, with national requirements focused on acute trust services only.  </w:t>
      </w:r>
      <w:r w:rsidR="00A87965" w:rsidRPr="000E645A">
        <w:rPr>
          <w:sz w:val="24"/>
          <w:szCs w:val="24"/>
        </w:rPr>
        <w:t>However,</w:t>
      </w:r>
      <w:r w:rsidRPr="000E645A">
        <w:rPr>
          <w:sz w:val="24"/>
          <w:szCs w:val="24"/>
        </w:rPr>
        <w:t xml:space="preserve"> the monthly data for this infection rate is submitted to the Clinical Quality Reporting Group </w:t>
      </w:r>
      <w:r w:rsidR="00AA48FE">
        <w:rPr>
          <w:sz w:val="24"/>
          <w:szCs w:val="24"/>
        </w:rPr>
        <w:t xml:space="preserve">(CQRG) </w:t>
      </w:r>
      <w:r w:rsidRPr="000E645A">
        <w:rPr>
          <w:sz w:val="24"/>
          <w:szCs w:val="24"/>
        </w:rPr>
        <w:t>as part of the quality schedule, this supports the overview of the infection rates and the potential of an increase which may need further review and investigation</w:t>
      </w:r>
    </w:p>
    <w:p w14:paraId="30769BA0" w14:textId="4E8B931F" w:rsidR="001527C1" w:rsidRPr="000E645A" w:rsidRDefault="00D05622" w:rsidP="000E645A">
      <w:pPr>
        <w:autoSpaceDE w:val="0"/>
        <w:autoSpaceDN w:val="0"/>
        <w:adjustRightInd w:val="0"/>
        <w:spacing w:after="120"/>
        <w:ind w:left="720" w:hanging="720"/>
        <w:rPr>
          <w:b/>
          <w:sz w:val="24"/>
          <w:szCs w:val="24"/>
        </w:rPr>
      </w:pPr>
      <w:r>
        <w:rPr>
          <w:sz w:val="24"/>
          <w:szCs w:val="24"/>
        </w:rPr>
        <w:t>5</w:t>
      </w:r>
      <w:r w:rsidR="001527C1" w:rsidRPr="000E645A">
        <w:rPr>
          <w:sz w:val="24"/>
          <w:szCs w:val="24"/>
        </w:rPr>
        <w:t>.6</w:t>
      </w:r>
      <w:r w:rsidR="001527C1" w:rsidRPr="000E645A">
        <w:rPr>
          <w:b/>
          <w:sz w:val="24"/>
          <w:szCs w:val="24"/>
        </w:rPr>
        <w:tab/>
        <w:t>Gram Negative Blood Stream Infection (GNBSI) rates</w:t>
      </w:r>
    </w:p>
    <w:p w14:paraId="513D0FA2" w14:textId="77777777" w:rsidR="001527C1" w:rsidRPr="000E645A" w:rsidRDefault="001527C1" w:rsidP="000E645A">
      <w:pPr>
        <w:pStyle w:val="ListParagraph"/>
        <w:tabs>
          <w:tab w:val="left" w:pos="1380"/>
        </w:tabs>
        <w:spacing w:after="120"/>
        <w:ind w:hanging="720"/>
        <w:rPr>
          <w:sz w:val="24"/>
          <w:szCs w:val="24"/>
        </w:rPr>
      </w:pPr>
      <w:r w:rsidRPr="000E645A">
        <w:rPr>
          <w:rFonts w:eastAsia="Arial"/>
          <w:sz w:val="24"/>
          <w:szCs w:val="24"/>
        </w:rPr>
        <w:tab/>
        <w:t xml:space="preserve">In 2017 the Secretary of State for Health launched an important ambition to reduce </w:t>
      </w:r>
      <w:r w:rsidR="008C49FC" w:rsidRPr="000E645A">
        <w:rPr>
          <w:rFonts w:eastAsia="Arial"/>
          <w:sz w:val="24"/>
          <w:szCs w:val="24"/>
        </w:rPr>
        <w:t>h</w:t>
      </w:r>
      <w:r w:rsidRPr="000E645A">
        <w:rPr>
          <w:rFonts w:eastAsia="Arial"/>
          <w:sz w:val="24"/>
          <w:szCs w:val="24"/>
        </w:rPr>
        <w:t>ealthcare associated Gram-negative bloodstream infections by 50% by 2021 and reduce inappropriate antimicrobial prescribing by 50% by 2021.</w:t>
      </w:r>
    </w:p>
    <w:p w14:paraId="2E8D90C5" w14:textId="77777777" w:rsidR="001527C1" w:rsidRPr="000E645A" w:rsidRDefault="001527C1" w:rsidP="000E645A">
      <w:pPr>
        <w:autoSpaceDE w:val="0"/>
        <w:autoSpaceDN w:val="0"/>
        <w:adjustRightInd w:val="0"/>
        <w:spacing w:after="120"/>
        <w:ind w:left="720" w:hanging="720"/>
        <w:rPr>
          <w:sz w:val="24"/>
          <w:szCs w:val="24"/>
        </w:rPr>
      </w:pPr>
      <w:r w:rsidRPr="000E645A">
        <w:rPr>
          <w:sz w:val="24"/>
          <w:szCs w:val="24"/>
        </w:rPr>
        <w:tab/>
        <w:t>From April 2018 the Gram Negative Bloodstream Infection rates include:</w:t>
      </w:r>
    </w:p>
    <w:p w14:paraId="07F7A405" w14:textId="77777777" w:rsidR="001527C1" w:rsidRPr="000E645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E-Coli</w:t>
      </w:r>
    </w:p>
    <w:p w14:paraId="425C0E1C" w14:textId="77777777" w:rsidR="001527C1" w:rsidRPr="000E645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Klebsiella pneumonia</w:t>
      </w:r>
    </w:p>
    <w:p w14:paraId="60962E26" w14:textId="77777777" w:rsidR="002038F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Pseudomonas aeruginosa</w:t>
      </w:r>
    </w:p>
    <w:p w14:paraId="7C7549CF" w14:textId="77777777" w:rsidR="00200E99" w:rsidRPr="002038FA" w:rsidRDefault="00200E99" w:rsidP="00200E99">
      <w:pPr>
        <w:pStyle w:val="ListParagraph"/>
        <w:autoSpaceDE w:val="0"/>
        <w:autoSpaceDN w:val="0"/>
        <w:adjustRightInd w:val="0"/>
        <w:spacing w:after="0"/>
        <w:ind w:left="1440"/>
        <w:contextualSpacing w:val="0"/>
        <w:rPr>
          <w:sz w:val="24"/>
          <w:szCs w:val="24"/>
        </w:rPr>
      </w:pPr>
    </w:p>
    <w:p w14:paraId="1E4071CC" w14:textId="67764B85" w:rsidR="000550D7" w:rsidRPr="000E645A" w:rsidRDefault="00D05622" w:rsidP="002B6695">
      <w:pPr>
        <w:spacing w:after="120"/>
        <w:ind w:left="720" w:hanging="720"/>
        <w:rPr>
          <w:sz w:val="24"/>
          <w:szCs w:val="24"/>
        </w:rPr>
      </w:pPr>
      <w:r>
        <w:rPr>
          <w:sz w:val="24"/>
          <w:szCs w:val="24"/>
        </w:rPr>
        <w:t>5</w:t>
      </w:r>
      <w:r w:rsidR="001527C1" w:rsidRPr="000E645A">
        <w:rPr>
          <w:sz w:val="24"/>
          <w:szCs w:val="24"/>
        </w:rPr>
        <w:t>.7</w:t>
      </w:r>
      <w:r w:rsidR="001527C1" w:rsidRPr="000E645A">
        <w:rPr>
          <w:sz w:val="24"/>
          <w:szCs w:val="24"/>
        </w:rPr>
        <w:tab/>
        <w:t xml:space="preserve">There is no </w:t>
      </w:r>
      <w:r w:rsidR="00A87965">
        <w:rPr>
          <w:sz w:val="24"/>
          <w:szCs w:val="24"/>
        </w:rPr>
        <w:t>Trust</w:t>
      </w:r>
      <w:r w:rsidR="001527C1" w:rsidRPr="000E645A">
        <w:rPr>
          <w:sz w:val="24"/>
          <w:szCs w:val="24"/>
        </w:rPr>
        <w:t xml:space="preserve"> trajectory for GNBSI, however monthly data for this infection rate is submitted to the Clinical Quality Report Group (CQRG) as part of the quality schedule reporting (Please note this captures E-Coli infection rates only).</w:t>
      </w:r>
      <w:r w:rsidR="00731133">
        <w:rPr>
          <w:sz w:val="24"/>
          <w:szCs w:val="24"/>
        </w:rPr>
        <w:t xml:space="preserve"> Due to the pandemic a number of planned workstreams to look at improving the reduction in rates had halted, work is now underway to re-establish the working groups.</w:t>
      </w:r>
    </w:p>
    <w:p w14:paraId="295A6685" w14:textId="6DF6B86D" w:rsidR="001527C1" w:rsidRPr="00ED0FEE" w:rsidRDefault="00D05622" w:rsidP="000C23C9">
      <w:pPr>
        <w:pStyle w:val="Default"/>
        <w:tabs>
          <w:tab w:val="left" w:pos="9072"/>
        </w:tabs>
        <w:spacing w:after="120" w:line="276" w:lineRule="auto"/>
        <w:ind w:left="720" w:hanging="720"/>
      </w:pPr>
      <w:r w:rsidRPr="002B6695">
        <w:rPr>
          <w:rFonts w:asciiTheme="minorHAnsi" w:hAnsiTheme="minorHAnsi"/>
          <w:b/>
          <w:bCs/>
        </w:rPr>
        <w:t>6</w:t>
      </w:r>
      <w:r w:rsidR="00FF0EF4" w:rsidRPr="002B6695">
        <w:rPr>
          <w:rFonts w:asciiTheme="minorHAnsi" w:hAnsiTheme="minorHAnsi"/>
          <w:b/>
          <w:bCs/>
        </w:rPr>
        <w:t>.</w:t>
      </w:r>
      <w:r w:rsidR="001527C1" w:rsidRPr="000E645A">
        <w:rPr>
          <w:rFonts w:asciiTheme="minorHAnsi" w:hAnsiTheme="minorHAnsi"/>
        </w:rPr>
        <w:tab/>
      </w:r>
      <w:r w:rsidR="00FE4DF6">
        <w:rPr>
          <w:rFonts w:asciiTheme="minorHAnsi" w:hAnsiTheme="minorHAnsi"/>
          <w:b/>
        </w:rPr>
        <w:t xml:space="preserve">Ventilation </w:t>
      </w:r>
      <w:r w:rsidR="001527C1" w:rsidRPr="000E645A">
        <w:rPr>
          <w:rFonts w:asciiTheme="minorHAnsi" w:hAnsiTheme="minorHAnsi"/>
          <w:highlight w:val="yellow"/>
        </w:rPr>
        <w:t xml:space="preserve"> </w:t>
      </w:r>
    </w:p>
    <w:p w14:paraId="0C1BB3C4" w14:textId="0210336C" w:rsidR="00FF0EF4" w:rsidRPr="00F90BBC" w:rsidRDefault="00D05622" w:rsidP="000C23C9">
      <w:pPr>
        <w:spacing w:after="120"/>
        <w:ind w:left="720" w:hanging="720"/>
        <w:rPr>
          <w:rFonts w:cstheme="minorHAnsi"/>
          <w:sz w:val="24"/>
          <w:szCs w:val="24"/>
        </w:rPr>
      </w:pPr>
      <w:r>
        <w:rPr>
          <w:rFonts w:eastAsia="Arial"/>
          <w:spacing w:val="-1"/>
          <w:sz w:val="24"/>
          <w:szCs w:val="24"/>
        </w:rPr>
        <w:t>6</w:t>
      </w:r>
      <w:r w:rsidR="001527C1" w:rsidRPr="000E645A">
        <w:rPr>
          <w:rFonts w:eastAsia="Arial"/>
          <w:spacing w:val="-1"/>
          <w:sz w:val="24"/>
          <w:szCs w:val="24"/>
        </w:rPr>
        <w:t>.1</w:t>
      </w:r>
      <w:r w:rsidR="001527C1" w:rsidRPr="000E645A">
        <w:rPr>
          <w:rFonts w:eastAsia="Arial"/>
          <w:spacing w:val="-1"/>
          <w:sz w:val="24"/>
          <w:szCs w:val="24"/>
        </w:rPr>
        <w:tab/>
      </w:r>
      <w:bookmarkStart w:id="3" w:name="_Hlk89418562"/>
      <w:r w:rsidR="00841E07" w:rsidRPr="000E645A">
        <w:rPr>
          <w:rFonts w:eastAsia="Arial" w:cstheme="minorHAnsi"/>
          <w:spacing w:val="-1"/>
          <w:sz w:val="24"/>
          <w:szCs w:val="24"/>
        </w:rPr>
        <w:t xml:space="preserve">As </w:t>
      </w:r>
      <w:r w:rsidR="00841E07" w:rsidRPr="000E645A">
        <w:rPr>
          <w:rFonts w:cstheme="minorHAnsi"/>
          <w:sz w:val="24"/>
          <w:szCs w:val="24"/>
        </w:rPr>
        <w:t>part of the F</w:t>
      </w:r>
      <w:r w:rsidR="00B3429D">
        <w:rPr>
          <w:rFonts w:cstheme="minorHAnsi"/>
          <w:sz w:val="24"/>
          <w:szCs w:val="24"/>
        </w:rPr>
        <w:t xml:space="preserve">acilities </w:t>
      </w:r>
      <w:r w:rsidR="00841E07" w:rsidRPr="000E645A">
        <w:rPr>
          <w:rFonts w:cstheme="minorHAnsi"/>
          <w:sz w:val="24"/>
          <w:szCs w:val="24"/>
        </w:rPr>
        <w:t>M</w:t>
      </w:r>
      <w:r w:rsidR="00B3429D">
        <w:rPr>
          <w:rFonts w:cstheme="minorHAnsi"/>
          <w:sz w:val="24"/>
          <w:szCs w:val="24"/>
        </w:rPr>
        <w:t>anagement (FM)</w:t>
      </w:r>
      <w:r w:rsidR="00841E07" w:rsidRPr="000E645A">
        <w:rPr>
          <w:rFonts w:cstheme="minorHAnsi"/>
          <w:sz w:val="24"/>
          <w:szCs w:val="24"/>
        </w:rPr>
        <w:t xml:space="preserve"> transformation planning and in light of the ventilation requirements/restrictions relating to COVID</w:t>
      </w:r>
      <w:r w:rsidR="00A87965">
        <w:rPr>
          <w:rFonts w:cstheme="minorHAnsi"/>
          <w:sz w:val="24"/>
          <w:szCs w:val="24"/>
        </w:rPr>
        <w:t>-19</w:t>
      </w:r>
      <w:r w:rsidR="00841E07" w:rsidRPr="000E645A">
        <w:rPr>
          <w:rFonts w:cstheme="minorHAnsi"/>
          <w:sz w:val="24"/>
          <w:szCs w:val="24"/>
        </w:rPr>
        <w:t>, the Trust appointed an Authorising Engineer (AE)</w:t>
      </w:r>
      <w:r w:rsidR="00E423B6">
        <w:rPr>
          <w:rFonts w:cstheme="minorHAnsi"/>
          <w:sz w:val="24"/>
          <w:szCs w:val="24"/>
        </w:rPr>
        <w:t xml:space="preserve"> for ventilation</w:t>
      </w:r>
      <w:r w:rsidR="00841E07" w:rsidRPr="000E645A">
        <w:rPr>
          <w:rFonts w:cstheme="minorHAnsi"/>
          <w:sz w:val="24"/>
          <w:szCs w:val="24"/>
        </w:rPr>
        <w:t xml:space="preserve"> direct</w:t>
      </w:r>
      <w:r w:rsidR="00E423B6">
        <w:rPr>
          <w:rFonts w:cstheme="minorHAnsi"/>
          <w:sz w:val="24"/>
          <w:szCs w:val="24"/>
        </w:rPr>
        <w:t>ly</w:t>
      </w:r>
      <w:r w:rsidR="00841E07" w:rsidRPr="000E645A">
        <w:rPr>
          <w:rFonts w:cstheme="minorHAnsi"/>
          <w:sz w:val="24"/>
          <w:szCs w:val="24"/>
        </w:rPr>
        <w:t xml:space="preserve"> rather than using the shared service (hosted by U</w:t>
      </w:r>
      <w:r w:rsidR="003022E5">
        <w:rPr>
          <w:rFonts w:cstheme="minorHAnsi"/>
          <w:sz w:val="24"/>
          <w:szCs w:val="24"/>
        </w:rPr>
        <w:t xml:space="preserve">niversity </w:t>
      </w:r>
      <w:r w:rsidR="00841E07" w:rsidRPr="000E645A">
        <w:rPr>
          <w:rFonts w:cstheme="minorHAnsi"/>
          <w:sz w:val="24"/>
          <w:szCs w:val="24"/>
        </w:rPr>
        <w:t>H</w:t>
      </w:r>
      <w:r w:rsidR="003022E5">
        <w:rPr>
          <w:rFonts w:cstheme="minorHAnsi"/>
          <w:sz w:val="24"/>
          <w:szCs w:val="24"/>
        </w:rPr>
        <w:t xml:space="preserve">ospitals of </w:t>
      </w:r>
      <w:r w:rsidR="00841E07" w:rsidRPr="000E645A">
        <w:rPr>
          <w:rFonts w:cstheme="minorHAnsi"/>
          <w:sz w:val="24"/>
          <w:szCs w:val="24"/>
        </w:rPr>
        <w:t>L</w:t>
      </w:r>
      <w:r w:rsidR="003022E5">
        <w:rPr>
          <w:rFonts w:cstheme="minorHAnsi"/>
          <w:sz w:val="24"/>
          <w:szCs w:val="24"/>
        </w:rPr>
        <w:t xml:space="preserve">eicester </w:t>
      </w:r>
      <w:r w:rsidR="003022E5" w:rsidRPr="00F90BBC">
        <w:rPr>
          <w:rFonts w:cstheme="minorHAnsi"/>
          <w:sz w:val="24"/>
          <w:szCs w:val="24"/>
        </w:rPr>
        <w:t>(UHL</w:t>
      </w:r>
      <w:r w:rsidR="00841E07" w:rsidRPr="00F90BBC">
        <w:rPr>
          <w:rFonts w:cstheme="minorHAnsi"/>
          <w:sz w:val="24"/>
          <w:szCs w:val="24"/>
        </w:rPr>
        <w:t>).</w:t>
      </w:r>
    </w:p>
    <w:p w14:paraId="4879B112" w14:textId="6746D088" w:rsidR="00F90BBC" w:rsidRPr="00F90BBC" w:rsidRDefault="00D05622" w:rsidP="00F90BBC">
      <w:pPr>
        <w:spacing w:after="120"/>
        <w:ind w:left="720" w:hanging="720"/>
        <w:rPr>
          <w:sz w:val="24"/>
          <w:szCs w:val="24"/>
        </w:rPr>
      </w:pPr>
      <w:r>
        <w:rPr>
          <w:rFonts w:cstheme="minorHAnsi"/>
          <w:sz w:val="24"/>
          <w:szCs w:val="24"/>
        </w:rPr>
        <w:t>6</w:t>
      </w:r>
      <w:r w:rsidR="00FF0EF4" w:rsidRPr="00F90BBC">
        <w:rPr>
          <w:rFonts w:cstheme="minorHAnsi"/>
          <w:sz w:val="24"/>
          <w:szCs w:val="24"/>
        </w:rPr>
        <w:t>.2</w:t>
      </w:r>
      <w:r w:rsidR="00FF0EF4" w:rsidRPr="00F90BBC">
        <w:rPr>
          <w:rFonts w:cstheme="minorHAnsi"/>
          <w:sz w:val="24"/>
          <w:szCs w:val="24"/>
        </w:rPr>
        <w:tab/>
      </w:r>
      <w:r w:rsidR="00F90BBC" w:rsidRPr="00F90BBC">
        <w:rPr>
          <w:sz w:val="24"/>
          <w:szCs w:val="24"/>
        </w:rPr>
        <w:t xml:space="preserve">Following the appointment of the AE (V) in April 2021, they are working with the </w:t>
      </w:r>
      <w:r w:rsidR="00A87965">
        <w:rPr>
          <w:sz w:val="24"/>
          <w:szCs w:val="24"/>
        </w:rPr>
        <w:t xml:space="preserve">Trust </w:t>
      </w:r>
      <w:r w:rsidR="00F90BBC" w:rsidRPr="00F90BBC">
        <w:rPr>
          <w:sz w:val="24"/>
          <w:szCs w:val="24"/>
        </w:rPr>
        <w:t>ventilation group to progress arising issues, asset and compliance data checks, reviewing management processes and organisational governance arrangements.</w:t>
      </w:r>
    </w:p>
    <w:p w14:paraId="3C635E77" w14:textId="698CA134" w:rsidR="00841E07" w:rsidRPr="00F90BBC" w:rsidRDefault="00D05622" w:rsidP="000C23C9">
      <w:pPr>
        <w:spacing w:after="120"/>
        <w:ind w:left="720" w:hanging="720"/>
        <w:rPr>
          <w:rFonts w:cstheme="minorHAnsi"/>
          <w:sz w:val="24"/>
          <w:szCs w:val="24"/>
        </w:rPr>
      </w:pPr>
      <w:r>
        <w:rPr>
          <w:rFonts w:cstheme="minorHAnsi"/>
          <w:sz w:val="24"/>
          <w:szCs w:val="24"/>
        </w:rPr>
        <w:t>6</w:t>
      </w:r>
      <w:r w:rsidR="00FF0EF4" w:rsidRPr="00F90BBC">
        <w:rPr>
          <w:rFonts w:cstheme="minorHAnsi"/>
          <w:sz w:val="24"/>
          <w:szCs w:val="24"/>
        </w:rPr>
        <w:t>.3</w:t>
      </w:r>
      <w:r w:rsidR="00FF0EF4" w:rsidRPr="00F90BBC">
        <w:rPr>
          <w:rFonts w:cstheme="minorHAnsi"/>
          <w:sz w:val="24"/>
          <w:szCs w:val="24"/>
        </w:rPr>
        <w:tab/>
      </w:r>
      <w:r w:rsidR="00841E07" w:rsidRPr="00F90BBC">
        <w:rPr>
          <w:rFonts w:cstheme="minorHAnsi"/>
          <w:sz w:val="24"/>
          <w:szCs w:val="24"/>
        </w:rPr>
        <w:t>An initial Ventilation Safety Group too</w:t>
      </w:r>
      <w:r w:rsidR="00B3429D" w:rsidRPr="00F90BBC">
        <w:rPr>
          <w:rFonts w:cstheme="minorHAnsi"/>
          <w:sz w:val="24"/>
          <w:szCs w:val="24"/>
        </w:rPr>
        <w:t>k</w:t>
      </w:r>
      <w:r w:rsidR="00841E07" w:rsidRPr="00F90BBC">
        <w:rPr>
          <w:rFonts w:cstheme="minorHAnsi"/>
          <w:sz w:val="24"/>
          <w:szCs w:val="24"/>
        </w:rPr>
        <w:t xml:space="preserve"> place in </w:t>
      </w:r>
      <w:r w:rsidR="00936777" w:rsidRPr="00F90BBC">
        <w:rPr>
          <w:rFonts w:cstheme="minorHAnsi"/>
          <w:sz w:val="24"/>
          <w:szCs w:val="24"/>
        </w:rPr>
        <w:t>May 2021 and</w:t>
      </w:r>
      <w:r w:rsidR="00F90BBC" w:rsidRPr="00F90BBC">
        <w:rPr>
          <w:sz w:val="24"/>
          <w:szCs w:val="24"/>
        </w:rPr>
        <w:t xml:space="preserve"> has met subsequently at agreed intervals and the work plan continues to be developed</w:t>
      </w:r>
      <w:r w:rsidR="00A87965">
        <w:rPr>
          <w:sz w:val="24"/>
          <w:szCs w:val="24"/>
        </w:rPr>
        <w:t>.</w:t>
      </w:r>
      <w:r w:rsidR="00F90BBC" w:rsidRPr="00F90BBC">
        <w:rPr>
          <w:sz w:val="24"/>
          <w:szCs w:val="24"/>
        </w:rPr>
        <w:t xml:space="preserve"> </w:t>
      </w:r>
    </w:p>
    <w:p w14:paraId="4B2BDD50" w14:textId="58CB351B" w:rsidR="00841E07" w:rsidRPr="00F90BBC" w:rsidRDefault="00D05622" w:rsidP="000C23C9">
      <w:pPr>
        <w:spacing w:after="120"/>
        <w:ind w:left="720" w:hanging="720"/>
        <w:rPr>
          <w:rFonts w:cstheme="minorHAnsi"/>
          <w:sz w:val="24"/>
          <w:szCs w:val="24"/>
        </w:rPr>
      </w:pPr>
      <w:r>
        <w:rPr>
          <w:rFonts w:cstheme="minorHAnsi"/>
          <w:sz w:val="24"/>
          <w:szCs w:val="24"/>
        </w:rPr>
        <w:t>6</w:t>
      </w:r>
      <w:r w:rsidR="00FF0EF4" w:rsidRPr="00F90BBC">
        <w:rPr>
          <w:rFonts w:cstheme="minorHAnsi"/>
          <w:sz w:val="24"/>
          <w:szCs w:val="24"/>
        </w:rPr>
        <w:t>.4</w:t>
      </w:r>
      <w:r w:rsidR="00FF0EF4" w:rsidRPr="00F90BBC">
        <w:rPr>
          <w:rFonts w:cstheme="minorHAnsi"/>
          <w:sz w:val="24"/>
          <w:szCs w:val="24"/>
        </w:rPr>
        <w:tab/>
      </w:r>
      <w:r w:rsidR="00841E07" w:rsidRPr="00F90BBC">
        <w:rPr>
          <w:rFonts w:cstheme="minorHAnsi"/>
          <w:sz w:val="24"/>
          <w:szCs w:val="24"/>
        </w:rPr>
        <w:t xml:space="preserve">A full ventilation audit is </w:t>
      </w:r>
      <w:r w:rsidR="00F90BBC" w:rsidRPr="00F90BBC">
        <w:rPr>
          <w:rFonts w:cstheme="minorHAnsi"/>
          <w:sz w:val="24"/>
          <w:szCs w:val="24"/>
        </w:rPr>
        <w:t>required,</w:t>
      </w:r>
      <w:r w:rsidR="00841E07" w:rsidRPr="00F90BBC">
        <w:rPr>
          <w:rFonts w:cstheme="minorHAnsi"/>
          <w:sz w:val="24"/>
          <w:szCs w:val="24"/>
        </w:rPr>
        <w:t xml:space="preserve"> </w:t>
      </w:r>
      <w:r w:rsidR="00A87965">
        <w:rPr>
          <w:rFonts w:cstheme="minorHAnsi"/>
          <w:sz w:val="24"/>
          <w:szCs w:val="24"/>
        </w:rPr>
        <w:t>a</w:t>
      </w:r>
      <w:r w:rsidR="00841E07" w:rsidRPr="00F90BBC">
        <w:rPr>
          <w:rFonts w:cstheme="minorHAnsi"/>
          <w:sz w:val="24"/>
          <w:szCs w:val="24"/>
        </w:rPr>
        <w:t xml:space="preserve">nd a brief is being developed </w:t>
      </w:r>
      <w:r w:rsidR="00936777" w:rsidRPr="00F90BBC">
        <w:rPr>
          <w:rFonts w:cstheme="minorHAnsi"/>
          <w:sz w:val="24"/>
          <w:szCs w:val="24"/>
        </w:rPr>
        <w:t>to</w:t>
      </w:r>
      <w:r w:rsidR="00841E07" w:rsidRPr="00F90BBC">
        <w:rPr>
          <w:rFonts w:cstheme="minorHAnsi"/>
          <w:sz w:val="24"/>
          <w:szCs w:val="24"/>
        </w:rPr>
        <w:t xml:space="preserve"> obtain quotations.</w:t>
      </w:r>
      <w:r w:rsidR="00F90BBC" w:rsidRPr="00F90BBC">
        <w:rPr>
          <w:rFonts w:cstheme="minorHAnsi"/>
          <w:sz w:val="24"/>
          <w:szCs w:val="24"/>
        </w:rPr>
        <w:t xml:space="preserve"> </w:t>
      </w:r>
      <w:r w:rsidR="00F90BBC" w:rsidRPr="00F90BBC">
        <w:rPr>
          <w:sz w:val="24"/>
          <w:szCs w:val="24"/>
        </w:rPr>
        <w:t>This action is under review by the Vent</w:t>
      </w:r>
      <w:r w:rsidR="00A87965">
        <w:rPr>
          <w:sz w:val="24"/>
          <w:szCs w:val="24"/>
        </w:rPr>
        <w:t>ilation</w:t>
      </w:r>
      <w:r w:rsidR="00F90BBC" w:rsidRPr="00F90BBC">
        <w:rPr>
          <w:sz w:val="24"/>
          <w:szCs w:val="24"/>
        </w:rPr>
        <w:t xml:space="preserve"> group </w:t>
      </w:r>
      <w:r w:rsidR="00A87965">
        <w:rPr>
          <w:sz w:val="24"/>
          <w:szCs w:val="24"/>
        </w:rPr>
        <w:t>and</w:t>
      </w:r>
      <w:r w:rsidR="00731133">
        <w:rPr>
          <w:sz w:val="24"/>
          <w:szCs w:val="24"/>
        </w:rPr>
        <w:t xml:space="preserve"> </w:t>
      </w:r>
      <w:r w:rsidR="00F90BBC" w:rsidRPr="00F90BBC">
        <w:rPr>
          <w:sz w:val="24"/>
          <w:szCs w:val="24"/>
        </w:rPr>
        <w:t>forms part of the work being undertaken by T</w:t>
      </w:r>
      <w:r w:rsidR="009F010E">
        <w:rPr>
          <w:sz w:val="24"/>
          <w:szCs w:val="24"/>
        </w:rPr>
        <w:t xml:space="preserve">urner </w:t>
      </w:r>
      <w:r w:rsidR="00F90BBC" w:rsidRPr="00F90BBC">
        <w:rPr>
          <w:sz w:val="24"/>
          <w:szCs w:val="24"/>
        </w:rPr>
        <w:t>&amp;T</w:t>
      </w:r>
      <w:r w:rsidR="009F010E">
        <w:rPr>
          <w:sz w:val="24"/>
          <w:szCs w:val="24"/>
        </w:rPr>
        <w:t>ownsend, Facilities Management</w:t>
      </w:r>
      <w:r w:rsidR="00F90BBC" w:rsidRPr="00F90BBC">
        <w:rPr>
          <w:sz w:val="24"/>
          <w:szCs w:val="24"/>
        </w:rPr>
        <w:t xml:space="preserve"> in 7.5 below.</w:t>
      </w:r>
    </w:p>
    <w:p w14:paraId="6CD616FC" w14:textId="3950722E" w:rsidR="00841E07" w:rsidRPr="00F90BBC" w:rsidRDefault="001A042D" w:rsidP="000C23C9">
      <w:pPr>
        <w:spacing w:after="120"/>
        <w:ind w:left="720" w:hanging="720"/>
        <w:rPr>
          <w:rFonts w:cstheme="minorHAnsi"/>
          <w:sz w:val="24"/>
          <w:szCs w:val="24"/>
        </w:rPr>
      </w:pPr>
      <w:r>
        <w:rPr>
          <w:rFonts w:cstheme="minorHAnsi"/>
          <w:sz w:val="24"/>
          <w:szCs w:val="24"/>
        </w:rPr>
        <w:t>6</w:t>
      </w:r>
      <w:r w:rsidR="00FF0EF4" w:rsidRPr="00F90BBC">
        <w:rPr>
          <w:rFonts w:cstheme="minorHAnsi"/>
          <w:sz w:val="24"/>
          <w:szCs w:val="24"/>
        </w:rPr>
        <w:t>.5</w:t>
      </w:r>
      <w:r w:rsidR="00FF0EF4" w:rsidRPr="00F90BBC">
        <w:rPr>
          <w:rFonts w:cstheme="minorHAnsi"/>
          <w:sz w:val="24"/>
          <w:szCs w:val="24"/>
        </w:rPr>
        <w:tab/>
      </w:r>
      <w:r w:rsidR="00841E07" w:rsidRPr="00F90BBC">
        <w:rPr>
          <w:rFonts w:cstheme="minorHAnsi"/>
          <w:sz w:val="24"/>
          <w:szCs w:val="24"/>
        </w:rPr>
        <w:t xml:space="preserve">Information regarding the maintenance and management of systems from the shared service – hosted by UHL is being reviewed by the </w:t>
      </w:r>
      <w:r w:rsidR="00696716" w:rsidRPr="00F90BBC">
        <w:rPr>
          <w:rFonts w:cstheme="minorHAnsi"/>
          <w:sz w:val="24"/>
          <w:szCs w:val="24"/>
        </w:rPr>
        <w:t>AE</w:t>
      </w:r>
      <w:r w:rsidR="00841E07" w:rsidRPr="00F90BBC">
        <w:rPr>
          <w:rFonts w:cstheme="minorHAnsi"/>
          <w:sz w:val="24"/>
          <w:szCs w:val="24"/>
        </w:rPr>
        <w:t>.</w:t>
      </w:r>
    </w:p>
    <w:p w14:paraId="6C3CA1FA" w14:textId="44FDCBD9" w:rsidR="00841E07" w:rsidRPr="00F90BBC" w:rsidRDefault="001A042D" w:rsidP="000C23C9">
      <w:pPr>
        <w:spacing w:after="120"/>
        <w:ind w:left="720" w:hanging="720"/>
        <w:rPr>
          <w:rFonts w:cstheme="minorHAnsi"/>
          <w:sz w:val="24"/>
          <w:szCs w:val="24"/>
        </w:rPr>
      </w:pPr>
      <w:r>
        <w:rPr>
          <w:rFonts w:cstheme="minorHAnsi"/>
          <w:sz w:val="24"/>
          <w:szCs w:val="24"/>
        </w:rPr>
        <w:t>6</w:t>
      </w:r>
      <w:r w:rsidR="00FF0EF4" w:rsidRPr="00F90BBC">
        <w:rPr>
          <w:rFonts w:cstheme="minorHAnsi"/>
          <w:sz w:val="24"/>
          <w:szCs w:val="24"/>
        </w:rPr>
        <w:t>.6</w:t>
      </w:r>
      <w:r w:rsidR="00FF0EF4" w:rsidRPr="00F90BBC">
        <w:rPr>
          <w:rFonts w:cstheme="minorHAnsi"/>
          <w:sz w:val="24"/>
          <w:szCs w:val="24"/>
        </w:rPr>
        <w:tab/>
      </w:r>
      <w:r w:rsidR="00841E07" w:rsidRPr="00F90BBC">
        <w:rPr>
          <w:rFonts w:cstheme="minorHAnsi"/>
          <w:sz w:val="24"/>
          <w:szCs w:val="24"/>
        </w:rPr>
        <w:t xml:space="preserve">The </w:t>
      </w:r>
      <w:r w:rsidR="00883DA2" w:rsidRPr="00F90BBC">
        <w:rPr>
          <w:rFonts w:cstheme="minorHAnsi"/>
          <w:sz w:val="24"/>
          <w:szCs w:val="24"/>
        </w:rPr>
        <w:t>AE provides</w:t>
      </w:r>
      <w:r w:rsidR="00841E07" w:rsidRPr="00F90BBC">
        <w:rPr>
          <w:rFonts w:cstheme="minorHAnsi"/>
          <w:sz w:val="24"/>
          <w:szCs w:val="24"/>
        </w:rPr>
        <w:t xml:space="preserve"> advice and recommendations to individual queries raised and work has been undertaken at the E</w:t>
      </w:r>
      <w:r w:rsidR="00B3429D" w:rsidRPr="00F90BBC">
        <w:rPr>
          <w:rFonts w:cstheme="minorHAnsi"/>
          <w:sz w:val="24"/>
          <w:szCs w:val="24"/>
        </w:rPr>
        <w:t xml:space="preserve">lectro </w:t>
      </w:r>
      <w:r w:rsidR="00841E07" w:rsidRPr="00F90BBC">
        <w:rPr>
          <w:rFonts w:cstheme="minorHAnsi"/>
          <w:sz w:val="24"/>
          <w:szCs w:val="24"/>
        </w:rPr>
        <w:t>C</w:t>
      </w:r>
      <w:r w:rsidR="00B3429D" w:rsidRPr="00F90BBC">
        <w:rPr>
          <w:rFonts w:cstheme="minorHAnsi"/>
          <w:sz w:val="24"/>
          <w:szCs w:val="24"/>
        </w:rPr>
        <w:t xml:space="preserve">onvulsive </w:t>
      </w:r>
      <w:r w:rsidR="00841E07" w:rsidRPr="00F90BBC">
        <w:rPr>
          <w:rFonts w:cstheme="minorHAnsi"/>
          <w:sz w:val="24"/>
          <w:szCs w:val="24"/>
        </w:rPr>
        <w:t>T</w:t>
      </w:r>
      <w:r w:rsidR="00B3429D" w:rsidRPr="00F90BBC">
        <w:rPr>
          <w:rFonts w:cstheme="minorHAnsi"/>
          <w:sz w:val="24"/>
          <w:szCs w:val="24"/>
        </w:rPr>
        <w:t>herapy (ECT)</w:t>
      </w:r>
      <w:r w:rsidR="00841E07" w:rsidRPr="00F90BBC">
        <w:rPr>
          <w:rFonts w:cstheme="minorHAnsi"/>
          <w:sz w:val="24"/>
          <w:szCs w:val="24"/>
        </w:rPr>
        <w:t xml:space="preserve"> suite at the Bradgate Unit to ensure that services can continue in a COVID</w:t>
      </w:r>
      <w:r w:rsidR="00B3429D" w:rsidRPr="00F90BBC">
        <w:rPr>
          <w:rFonts w:cstheme="minorHAnsi"/>
          <w:sz w:val="24"/>
          <w:szCs w:val="24"/>
        </w:rPr>
        <w:t>-19</w:t>
      </w:r>
      <w:r w:rsidR="00841E07" w:rsidRPr="00F90BBC">
        <w:rPr>
          <w:rFonts w:cstheme="minorHAnsi"/>
          <w:sz w:val="24"/>
          <w:szCs w:val="24"/>
        </w:rPr>
        <w:t xml:space="preserve"> safe way.</w:t>
      </w:r>
      <w:r w:rsidR="00F90BBC" w:rsidRPr="00F90BBC">
        <w:rPr>
          <w:rFonts w:cstheme="minorHAnsi"/>
          <w:sz w:val="24"/>
          <w:szCs w:val="24"/>
        </w:rPr>
        <w:t xml:space="preserve">  </w:t>
      </w:r>
      <w:r w:rsidR="00F90BBC" w:rsidRPr="00F90BBC">
        <w:rPr>
          <w:sz w:val="24"/>
          <w:szCs w:val="24"/>
        </w:rPr>
        <w:t>Minor works complete</w:t>
      </w:r>
      <w:r w:rsidR="0036455C">
        <w:rPr>
          <w:sz w:val="24"/>
          <w:szCs w:val="24"/>
        </w:rPr>
        <w:t>d</w:t>
      </w:r>
      <w:r w:rsidR="00F90BBC" w:rsidRPr="00F90BBC">
        <w:rPr>
          <w:sz w:val="24"/>
          <w:szCs w:val="24"/>
        </w:rPr>
        <w:t xml:space="preserve"> and </w:t>
      </w:r>
      <w:r w:rsidR="0036455C">
        <w:rPr>
          <w:sz w:val="24"/>
          <w:szCs w:val="24"/>
        </w:rPr>
        <w:t xml:space="preserve">the </w:t>
      </w:r>
      <w:r w:rsidR="00F90BBC" w:rsidRPr="00F90BBC">
        <w:rPr>
          <w:sz w:val="24"/>
          <w:szCs w:val="24"/>
        </w:rPr>
        <w:t xml:space="preserve">area </w:t>
      </w:r>
      <w:r w:rsidR="0036455C">
        <w:rPr>
          <w:sz w:val="24"/>
          <w:szCs w:val="24"/>
        </w:rPr>
        <w:t xml:space="preserve">is </w:t>
      </w:r>
      <w:r w:rsidR="00F90BBC" w:rsidRPr="00F90BBC">
        <w:rPr>
          <w:sz w:val="24"/>
          <w:szCs w:val="24"/>
        </w:rPr>
        <w:t>compliant for ventilation</w:t>
      </w:r>
      <w:r w:rsidR="0036455C">
        <w:rPr>
          <w:sz w:val="24"/>
          <w:szCs w:val="24"/>
        </w:rPr>
        <w:t xml:space="preserve">, </w:t>
      </w:r>
      <w:r w:rsidR="00F90BBC" w:rsidRPr="00F90BBC">
        <w:rPr>
          <w:sz w:val="24"/>
          <w:szCs w:val="24"/>
        </w:rPr>
        <w:t>further works planned to increase space and upgrade vent</w:t>
      </w:r>
      <w:r w:rsidR="0036455C">
        <w:rPr>
          <w:sz w:val="24"/>
          <w:szCs w:val="24"/>
        </w:rPr>
        <w:t>ilation</w:t>
      </w:r>
      <w:r w:rsidR="00F90BBC" w:rsidRPr="00F90BBC">
        <w:rPr>
          <w:sz w:val="24"/>
          <w:szCs w:val="24"/>
        </w:rPr>
        <w:t xml:space="preserve"> services due to age/condition.</w:t>
      </w:r>
    </w:p>
    <w:p w14:paraId="7F13A1F4" w14:textId="5A24D89E" w:rsidR="008A6F39" w:rsidRPr="000E645A" w:rsidRDefault="001A042D" w:rsidP="002B6695">
      <w:pPr>
        <w:spacing w:after="120"/>
        <w:rPr>
          <w:rFonts w:cstheme="minorHAnsi"/>
          <w:sz w:val="24"/>
          <w:szCs w:val="24"/>
        </w:rPr>
      </w:pPr>
      <w:r>
        <w:rPr>
          <w:rFonts w:cstheme="minorHAnsi"/>
          <w:sz w:val="24"/>
          <w:szCs w:val="24"/>
        </w:rPr>
        <w:t>6</w:t>
      </w:r>
      <w:r w:rsidR="00883DA2">
        <w:rPr>
          <w:rFonts w:cstheme="minorHAnsi"/>
          <w:sz w:val="24"/>
          <w:szCs w:val="24"/>
        </w:rPr>
        <w:t>.7</w:t>
      </w:r>
      <w:r w:rsidR="00FF0EF4" w:rsidRPr="000E645A">
        <w:rPr>
          <w:rFonts w:cstheme="minorHAnsi"/>
          <w:sz w:val="24"/>
          <w:szCs w:val="24"/>
        </w:rPr>
        <w:tab/>
      </w:r>
      <w:r w:rsidR="00841E07" w:rsidRPr="000E645A">
        <w:rPr>
          <w:rFonts w:cstheme="minorHAnsi"/>
          <w:sz w:val="24"/>
          <w:szCs w:val="24"/>
        </w:rPr>
        <w:t>There are no emerging or immediate risks identified for action.</w:t>
      </w:r>
      <w:r w:rsidR="00FF0EF4" w:rsidRPr="000E645A">
        <w:rPr>
          <w:rFonts w:cstheme="minorHAnsi"/>
          <w:sz w:val="24"/>
          <w:szCs w:val="24"/>
        </w:rPr>
        <w:t xml:space="preserve"> </w:t>
      </w:r>
      <w:bookmarkEnd w:id="3"/>
    </w:p>
    <w:p w14:paraId="2F3914E3" w14:textId="64283846" w:rsidR="000550D7" w:rsidRPr="000E645A" w:rsidRDefault="001A042D" w:rsidP="002038FA">
      <w:pPr>
        <w:spacing w:after="120"/>
        <w:ind w:left="720" w:hanging="720"/>
        <w:rPr>
          <w:b/>
          <w:sz w:val="24"/>
          <w:szCs w:val="24"/>
        </w:rPr>
      </w:pPr>
      <w:r>
        <w:rPr>
          <w:b/>
          <w:sz w:val="24"/>
          <w:szCs w:val="24"/>
        </w:rPr>
        <w:t>7</w:t>
      </w:r>
      <w:r w:rsidR="000550D7" w:rsidRPr="000E645A">
        <w:rPr>
          <w:b/>
          <w:sz w:val="24"/>
          <w:szCs w:val="24"/>
        </w:rPr>
        <w:t>.</w:t>
      </w:r>
      <w:r w:rsidR="000550D7" w:rsidRPr="000E645A">
        <w:rPr>
          <w:b/>
          <w:sz w:val="24"/>
          <w:szCs w:val="24"/>
        </w:rPr>
        <w:tab/>
      </w:r>
      <w:r w:rsidR="00841E07" w:rsidRPr="000E645A">
        <w:rPr>
          <w:b/>
          <w:sz w:val="24"/>
          <w:szCs w:val="24"/>
        </w:rPr>
        <w:t>Water Management</w:t>
      </w:r>
    </w:p>
    <w:p w14:paraId="0DAE03E3" w14:textId="4857AFC1" w:rsidR="00731133" w:rsidRDefault="00055200" w:rsidP="000C23C9">
      <w:pPr>
        <w:spacing w:after="120"/>
        <w:ind w:left="720" w:hanging="720"/>
        <w:rPr>
          <w:sz w:val="24"/>
          <w:szCs w:val="24"/>
        </w:rPr>
      </w:pPr>
      <w:r>
        <w:rPr>
          <w:sz w:val="24"/>
          <w:szCs w:val="24"/>
        </w:rPr>
        <w:t>7</w:t>
      </w:r>
      <w:r w:rsidR="001527C1" w:rsidRPr="000E645A">
        <w:rPr>
          <w:sz w:val="24"/>
          <w:szCs w:val="24"/>
        </w:rPr>
        <w:t>.1</w:t>
      </w:r>
      <w:r w:rsidR="001527C1" w:rsidRPr="000E645A">
        <w:rPr>
          <w:sz w:val="24"/>
          <w:szCs w:val="24"/>
        </w:rPr>
        <w:tab/>
      </w:r>
      <w:r w:rsidR="00731133">
        <w:rPr>
          <w:sz w:val="24"/>
          <w:szCs w:val="24"/>
        </w:rPr>
        <w:t xml:space="preserve">A serious incident report is in </w:t>
      </w:r>
      <w:r w:rsidR="000E46B7">
        <w:rPr>
          <w:sz w:val="24"/>
          <w:szCs w:val="24"/>
        </w:rPr>
        <w:t>progress</w:t>
      </w:r>
      <w:r w:rsidR="00731133">
        <w:rPr>
          <w:sz w:val="24"/>
          <w:szCs w:val="24"/>
        </w:rPr>
        <w:t xml:space="preserve"> regarding the legionella </w:t>
      </w:r>
      <w:r w:rsidR="000E46B7">
        <w:rPr>
          <w:sz w:val="24"/>
          <w:szCs w:val="24"/>
        </w:rPr>
        <w:t xml:space="preserve">previously reported and managed </w:t>
      </w:r>
      <w:r w:rsidR="00731133">
        <w:rPr>
          <w:sz w:val="24"/>
          <w:szCs w:val="24"/>
        </w:rPr>
        <w:t>at the Bradgate Unit</w:t>
      </w:r>
      <w:r w:rsidR="000E46B7">
        <w:rPr>
          <w:sz w:val="24"/>
          <w:szCs w:val="24"/>
        </w:rPr>
        <w:t>.</w:t>
      </w:r>
    </w:p>
    <w:p w14:paraId="3BE31D0F" w14:textId="04DEE371" w:rsidR="00D85962" w:rsidRPr="00BC3E0B" w:rsidRDefault="00BC3E0B" w:rsidP="00055200">
      <w:pPr>
        <w:spacing w:after="120"/>
        <w:ind w:left="720"/>
        <w:rPr>
          <w:rFonts w:cstheme="minorHAnsi"/>
          <w:sz w:val="24"/>
          <w:szCs w:val="24"/>
        </w:rPr>
      </w:pPr>
      <w:r w:rsidRPr="00BC3E0B">
        <w:rPr>
          <w:sz w:val="24"/>
          <w:szCs w:val="24"/>
        </w:rPr>
        <w:t xml:space="preserve">Precautionary water treatment work is now under way at </w:t>
      </w:r>
      <w:r w:rsidR="00F90BBC">
        <w:rPr>
          <w:sz w:val="24"/>
          <w:szCs w:val="24"/>
        </w:rPr>
        <w:t>Coalville Community Hospital</w:t>
      </w:r>
      <w:r w:rsidR="0036455C">
        <w:rPr>
          <w:sz w:val="24"/>
          <w:szCs w:val="24"/>
        </w:rPr>
        <w:t xml:space="preserve"> (CCH)</w:t>
      </w:r>
      <w:r w:rsidR="00F90BBC">
        <w:rPr>
          <w:sz w:val="24"/>
          <w:szCs w:val="24"/>
        </w:rPr>
        <w:t xml:space="preserve"> </w:t>
      </w:r>
      <w:r w:rsidRPr="00BC3E0B">
        <w:rPr>
          <w:sz w:val="24"/>
          <w:szCs w:val="24"/>
        </w:rPr>
        <w:t>following testing</w:t>
      </w:r>
      <w:r w:rsidR="00F90BBC">
        <w:rPr>
          <w:sz w:val="24"/>
          <w:szCs w:val="24"/>
        </w:rPr>
        <w:t xml:space="preserve"> after routine planned preventative management identified increased temperatures during the monitoring phase</w:t>
      </w:r>
      <w:r w:rsidRPr="00BC3E0B">
        <w:rPr>
          <w:sz w:val="24"/>
          <w:szCs w:val="24"/>
        </w:rPr>
        <w:t>.</w:t>
      </w:r>
      <w:r>
        <w:rPr>
          <w:sz w:val="24"/>
          <w:szCs w:val="24"/>
        </w:rPr>
        <w:t xml:space="preserve"> </w:t>
      </w:r>
      <w:r w:rsidRPr="00BC3E0B">
        <w:rPr>
          <w:sz w:val="24"/>
          <w:szCs w:val="24"/>
        </w:rPr>
        <w:t xml:space="preserve">Water samples taken from </w:t>
      </w:r>
      <w:r w:rsidR="00352195">
        <w:rPr>
          <w:sz w:val="24"/>
          <w:szCs w:val="24"/>
        </w:rPr>
        <w:t>CCH</w:t>
      </w:r>
      <w:r w:rsidRPr="00BC3E0B">
        <w:rPr>
          <w:sz w:val="24"/>
          <w:szCs w:val="24"/>
        </w:rPr>
        <w:t xml:space="preserve"> indic</w:t>
      </w:r>
      <w:r>
        <w:rPr>
          <w:sz w:val="24"/>
          <w:szCs w:val="24"/>
        </w:rPr>
        <w:t xml:space="preserve">ated </w:t>
      </w:r>
      <w:r w:rsidRPr="00BC3E0B">
        <w:rPr>
          <w:sz w:val="24"/>
          <w:szCs w:val="24"/>
        </w:rPr>
        <w:t xml:space="preserve">the presence of legionella. As a </w:t>
      </w:r>
      <w:r w:rsidR="002B6695" w:rsidRPr="00BC3E0B">
        <w:rPr>
          <w:sz w:val="24"/>
          <w:szCs w:val="24"/>
        </w:rPr>
        <w:t>precaution, immediate</w:t>
      </w:r>
      <w:r w:rsidRPr="00BC3E0B">
        <w:rPr>
          <w:sz w:val="24"/>
          <w:szCs w:val="24"/>
        </w:rPr>
        <w:t xml:space="preserve"> action across the whole building</w:t>
      </w:r>
      <w:r w:rsidR="00352195">
        <w:rPr>
          <w:sz w:val="24"/>
          <w:szCs w:val="24"/>
        </w:rPr>
        <w:t xml:space="preserve"> was undertaken </w:t>
      </w:r>
      <w:r w:rsidRPr="00BC3E0B">
        <w:rPr>
          <w:sz w:val="24"/>
          <w:szCs w:val="24"/>
        </w:rPr>
        <w:t xml:space="preserve">with advice and support from our water safety group and an independent water advisor (the authorising engineer).   </w:t>
      </w:r>
    </w:p>
    <w:p w14:paraId="39674AAF" w14:textId="175D2F2B" w:rsidR="00467C9D" w:rsidRPr="00352195" w:rsidRDefault="00055200" w:rsidP="00467C9D">
      <w:pPr>
        <w:ind w:left="720" w:hanging="720"/>
        <w:rPr>
          <w:rFonts w:cstheme="minorHAnsi"/>
          <w:sz w:val="24"/>
          <w:szCs w:val="24"/>
        </w:rPr>
      </w:pPr>
      <w:r>
        <w:rPr>
          <w:rFonts w:cstheme="minorHAnsi"/>
          <w:sz w:val="24"/>
          <w:szCs w:val="24"/>
        </w:rPr>
        <w:t>7</w:t>
      </w:r>
      <w:r w:rsidR="00FF0EF4" w:rsidRPr="00193A74">
        <w:rPr>
          <w:rFonts w:cstheme="minorHAnsi"/>
          <w:sz w:val="24"/>
          <w:szCs w:val="24"/>
        </w:rPr>
        <w:t>.2</w:t>
      </w:r>
      <w:r w:rsidR="00FF0EF4" w:rsidRPr="00193A74">
        <w:rPr>
          <w:rFonts w:cstheme="minorHAnsi"/>
          <w:sz w:val="24"/>
          <w:szCs w:val="24"/>
        </w:rPr>
        <w:tab/>
      </w:r>
      <w:r w:rsidR="00467C9D" w:rsidRPr="00352195">
        <w:rPr>
          <w:rFonts w:cstheme="minorHAnsi"/>
          <w:sz w:val="24"/>
          <w:szCs w:val="24"/>
        </w:rPr>
        <w:t xml:space="preserve">During routine water testing at Coalville hospital, traces of a very low risk of Legionella </w:t>
      </w:r>
      <w:r w:rsidR="00E70EDB" w:rsidRPr="00352195">
        <w:rPr>
          <w:rFonts w:cstheme="minorHAnsi"/>
          <w:sz w:val="24"/>
          <w:szCs w:val="24"/>
        </w:rPr>
        <w:t>Anisa</w:t>
      </w:r>
      <w:r w:rsidR="00467C9D" w:rsidRPr="00352195">
        <w:rPr>
          <w:rFonts w:cstheme="minorHAnsi"/>
          <w:sz w:val="24"/>
          <w:szCs w:val="24"/>
        </w:rPr>
        <w:t xml:space="preserve"> were detected in the water. The drinking </w:t>
      </w:r>
      <w:r w:rsidR="002B6695" w:rsidRPr="00352195">
        <w:rPr>
          <w:rFonts w:cstheme="minorHAnsi"/>
          <w:sz w:val="24"/>
          <w:szCs w:val="24"/>
        </w:rPr>
        <w:t>water remained</w:t>
      </w:r>
      <w:r w:rsidR="00467C9D" w:rsidRPr="00352195">
        <w:rPr>
          <w:rFonts w:cstheme="minorHAnsi"/>
          <w:sz w:val="24"/>
          <w:szCs w:val="24"/>
        </w:rPr>
        <w:t xml:space="preserve"> safe, but the following actions were taken:</w:t>
      </w:r>
    </w:p>
    <w:p w14:paraId="2E7C04F2" w14:textId="77777777" w:rsidR="00C704C9" w:rsidRPr="00352195" w:rsidRDefault="00467C9D" w:rsidP="00467C9D">
      <w:pPr>
        <w:pStyle w:val="ListParagraph"/>
        <w:numPr>
          <w:ilvl w:val="0"/>
          <w:numId w:val="28"/>
        </w:numPr>
        <w:rPr>
          <w:rFonts w:cstheme="minorHAnsi"/>
          <w:sz w:val="24"/>
          <w:szCs w:val="24"/>
        </w:rPr>
      </w:pPr>
      <w:r w:rsidRPr="00352195">
        <w:rPr>
          <w:rFonts w:cstheme="minorHAnsi"/>
          <w:sz w:val="24"/>
          <w:szCs w:val="24"/>
        </w:rPr>
        <w:t xml:space="preserve">immediate action to flush this out of the system. </w:t>
      </w:r>
    </w:p>
    <w:p w14:paraId="5E2BF167" w14:textId="77777777" w:rsidR="00C704C9" w:rsidRPr="00352195" w:rsidRDefault="00C704C9" w:rsidP="00467C9D">
      <w:pPr>
        <w:pStyle w:val="ListParagraph"/>
        <w:numPr>
          <w:ilvl w:val="0"/>
          <w:numId w:val="28"/>
        </w:numPr>
        <w:rPr>
          <w:rFonts w:cstheme="minorHAnsi"/>
          <w:sz w:val="24"/>
          <w:szCs w:val="24"/>
        </w:rPr>
      </w:pPr>
      <w:r w:rsidRPr="00352195">
        <w:rPr>
          <w:rFonts w:cstheme="minorHAnsi"/>
          <w:sz w:val="24"/>
          <w:szCs w:val="24"/>
        </w:rPr>
        <w:t>To maintain p</w:t>
      </w:r>
      <w:r w:rsidR="00467C9D" w:rsidRPr="00352195">
        <w:rPr>
          <w:rFonts w:cstheme="minorHAnsi"/>
          <w:sz w:val="24"/>
          <w:szCs w:val="24"/>
        </w:rPr>
        <w:t>atient and staff safety as a precautionary measure, install</w:t>
      </w:r>
      <w:r w:rsidRPr="00352195">
        <w:rPr>
          <w:rFonts w:cstheme="minorHAnsi"/>
          <w:sz w:val="24"/>
          <w:szCs w:val="24"/>
        </w:rPr>
        <w:t xml:space="preserve">ation of </w:t>
      </w:r>
      <w:r w:rsidR="00467C9D" w:rsidRPr="00352195">
        <w:rPr>
          <w:rFonts w:cstheme="minorHAnsi"/>
          <w:sz w:val="24"/>
          <w:szCs w:val="24"/>
        </w:rPr>
        <w:t>filters to the taps</w:t>
      </w:r>
      <w:r w:rsidRPr="00352195">
        <w:rPr>
          <w:rFonts w:cstheme="minorHAnsi"/>
          <w:sz w:val="24"/>
          <w:szCs w:val="24"/>
        </w:rPr>
        <w:t xml:space="preserve"> were carried out</w:t>
      </w:r>
    </w:p>
    <w:p w14:paraId="6EA1D065" w14:textId="77777777" w:rsidR="00C704C9" w:rsidRPr="00352195" w:rsidRDefault="00C704C9" w:rsidP="00467C9D">
      <w:pPr>
        <w:pStyle w:val="ListParagraph"/>
        <w:numPr>
          <w:ilvl w:val="0"/>
          <w:numId w:val="28"/>
        </w:numPr>
        <w:rPr>
          <w:rFonts w:cstheme="minorHAnsi"/>
          <w:sz w:val="24"/>
          <w:szCs w:val="24"/>
        </w:rPr>
      </w:pPr>
      <w:r w:rsidRPr="00352195">
        <w:rPr>
          <w:rFonts w:cstheme="minorHAnsi"/>
          <w:sz w:val="24"/>
          <w:szCs w:val="24"/>
        </w:rPr>
        <w:t>D</w:t>
      </w:r>
      <w:r w:rsidR="00467C9D" w:rsidRPr="00352195">
        <w:rPr>
          <w:rFonts w:cstheme="minorHAnsi"/>
          <w:sz w:val="24"/>
          <w:szCs w:val="24"/>
        </w:rPr>
        <w:t xml:space="preserve">esignated drinking water taps that have been clearly identified as safe. </w:t>
      </w:r>
    </w:p>
    <w:p w14:paraId="531B4C2E" w14:textId="72C61B1E" w:rsidR="00467C9D" w:rsidRPr="00352195" w:rsidRDefault="00C704C9" w:rsidP="00414BBF">
      <w:pPr>
        <w:pStyle w:val="ListParagraph"/>
        <w:numPr>
          <w:ilvl w:val="0"/>
          <w:numId w:val="28"/>
        </w:numPr>
        <w:rPr>
          <w:rFonts w:cstheme="minorHAnsi"/>
          <w:sz w:val="24"/>
          <w:szCs w:val="24"/>
        </w:rPr>
      </w:pPr>
      <w:r w:rsidRPr="00352195">
        <w:rPr>
          <w:rFonts w:cstheme="minorHAnsi"/>
          <w:sz w:val="24"/>
          <w:szCs w:val="24"/>
        </w:rPr>
        <w:t>Patient admissions to the wards were held</w:t>
      </w:r>
      <w:r w:rsidR="00467C9D" w:rsidRPr="00352195">
        <w:rPr>
          <w:rFonts w:cstheme="minorHAnsi"/>
          <w:sz w:val="24"/>
          <w:szCs w:val="24"/>
        </w:rPr>
        <w:t xml:space="preserve"> until the system has been flushed </w:t>
      </w:r>
    </w:p>
    <w:p w14:paraId="59465F7E" w14:textId="1D39D631" w:rsidR="00467C9D" w:rsidRDefault="00467C9D" w:rsidP="00C704C9">
      <w:pPr>
        <w:ind w:left="720"/>
        <w:rPr>
          <w:rFonts w:cstheme="minorHAnsi"/>
          <w:sz w:val="24"/>
          <w:szCs w:val="24"/>
        </w:rPr>
      </w:pPr>
      <w:r w:rsidRPr="00352195">
        <w:rPr>
          <w:rFonts w:cstheme="minorHAnsi"/>
          <w:sz w:val="24"/>
          <w:szCs w:val="24"/>
        </w:rPr>
        <w:t xml:space="preserve">The </w:t>
      </w:r>
      <w:r w:rsidR="00C704C9" w:rsidRPr="00352195">
        <w:rPr>
          <w:rFonts w:cstheme="minorHAnsi"/>
          <w:sz w:val="24"/>
          <w:szCs w:val="24"/>
        </w:rPr>
        <w:t>remedial work took</w:t>
      </w:r>
      <w:r w:rsidRPr="00352195">
        <w:rPr>
          <w:rFonts w:cstheme="minorHAnsi"/>
          <w:sz w:val="24"/>
          <w:szCs w:val="24"/>
        </w:rPr>
        <w:t xml:space="preserve"> place overnight </w:t>
      </w:r>
      <w:r w:rsidR="0036455C">
        <w:rPr>
          <w:rFonts w:cstheme="minorHAnsi"/>
          <w:sz w:val="24"/>
          <w:szCs w:val="24"/>
        </w:rPr>
        <w:t xml:space="preserve">on </w:t>
      </w:r>
      <w:r w:rsidRPr="00352195">
        <w:rPr>
          <w:rFonts w:cstheme="minorHAnsi"/>
          <w:sz w:val="24"/>
          <w:szCs w:val="24"/>
        </w:rPr>
        <w:t xml:space="preserve">24 November 2021 from 9pm for approximately four hours to minimise disruption to services across the hospital. This </w:t>
      </w:r>
      <w:r w:rsidR="00C704C9" w:rsidRPr="00352195">
        <w:rPr>
          <w:rFonts w:cstheme="minorHAnsi"/>
          <w:sz w:val="24"/>
          <w:szCs w:val="24"/>
        </w:rPr>
        <w:t>involved</w:t>
      </w:r>
      <w:r w:rsidRPr="00352195">
        <w:rPr>
          <w:rFonts w:cstheme="minorHAnsi"/>
          <w:sz w:val="24"/>
          <w:szCs w:val="24"/>
        </w:rPr>
        <w:t xml:space="preserve"> disinfecting the pipes throughout Coalville hospital as part of our precautionary measures and continuing to flush it out until the pipe work is clean.  </w:t>
      </w:r>
      <w:r w:rsidR="00936777" w:rsidRPr="00352195">
        <w:rPr>
          <w:rFonts w:cstheme="minorHAnsi"/>
          <w:sz w:val="24"/>
          <w:szCs w:val="24"/>
        </w:rPr>
        <w:t>All sinks</w:t>
      </w:r>
      <w:r w:rsidRPr="00352195">
        <w:rPr>
          <w:rFonts w:cstheme="minorHAnsi"/>
          <w:sz w:val="24"/>
          <w:szCs w:val="24"/>
        </w:rPr>
        <w:t xml:space="preserve"> and showers</w:t>
      </w:r>
      <w:r w:rsidR="00C704C9" w:rsidRPr="00352195">
        <w:rPr>
          <w:rFonts w:cstheme="minorHAnsi"/>
          <w:sz w:val="24"/>
          <w:szCs w:val="24"/>
        </w:rPr>
        <w:t xml:space="preserve"> had</w:t>
      </w:r>
      <w:r w:rsidRPr="00352195">
        <w:rPr>
          <w:rFonts w:cstheme="minorHAnsi"/>
          <w:sz w:val="24"/>
          <w:szCs w:val="24"/>
        </w:rPr>
        <w:t xml:space="preserve"> signage to show they </w:t>
      </w:r>
      <w:r w:rsidR="0036455C">
        <w:rPr>
          <w:rFonts w:cstheme="minorHAnsi"/>
          <w:sz w:val="24"/>
          <w:szCs w:val="24"/>
        </w:rPr>
        <w:t>were</w:t>
      </w:r>
      <w:r w:rsidRPr="00352195">
        <w:rPr>
          <w:rFonts w:cstheme="minorHAnsi"/>
          <w:sz w:val="24"/>
          <w:szCs w:val="24"/>
        </w:rPr>
        <w:t xml:space="preserve"> not to be used, and additional water bottles for handwashing and </w:t>
      </w:r>
      <w:r w:rsidR="00936777" w:rsidRPr="00352195">
        <w:rPr>
          <w:rFonts w:cstheme="minorHAnsi"/>
          <w:sz w:val="24"/>
          <w:szCs w:val="24"/>
        </w:rPr>
        <w:t>drinking made</w:t>
      </w:r>
      <w:r w:rsidRPr="00352195">
        <w:rPr>
          <w:rFonts w:cstheme="minorHAnsi"/>
          <w:sz w:val="24"/>
          <w:szCs w:val="24"/>
        </w:rPr>
        <w:t xml:space="preserve"> available during that period. </w:t>
      </w:r>
    </w:p>
    <w:p w14:paraId="573DF9AB" w14:textId="594D76DA" w:rsidR="00193A74" w:rsidRPr="00352195" w:rsidRDefault="00055200" w:rsidP="00352195">
      <w:pPr>
        <w:pStyle w:val="PlainText"/>
        <w:ind w:left="720" w:hanging="720"/>
        <w:rPr>
          <w:rFonts w:asciiTheme="minorHAnsi" w:hAnsiTheme="minorHAnsi" w:cstheme="minorHAnsi"/>
          <w:sz w:val="24"/>
          <w:szCs w:val="24"/>
        </w:rPr>
      </w:pPr>
      <w:r>
        <w:rPr>
          <w:rFonts w:asciiTheme="minorHAnsi" w:hAnsiTheme="minorHAnsi" w:cstheme="minorHAnsi"/>
          <w:sz w:val="24"/>
          <w:szCs w:val="24"/>
        </w:rPr>
        <w:t>7</w:t>
      </w:r>
      <w:r w:rsidR="00C704C9" w:rsidRPr="00352195">
        <w:rPr>
          <w:rFonts w:asciiTheme="minorHAnsi" w:hAnsiTheme="minorHAnsi" w:cstheme="minorHAnsi"/>
          <w:sz w:val="24"/>
          <w:szCs w:val="24"/>
        </w:rPr>
        <w:t>.3</w:t>
      </w:r>
      <w:r w:rsidR="00C704C9" w:rsidRPr="00352195">
        <w:rPr>
          <w:rFonts w:asciiTheme="minorHAnsi" w:hAnsiTheme="minorHAnsi" w:cstheme="minorHAnsi"/>
          <w:sz w:val="24"/>
          <w:szCs w:val="24"/>
        </w:rPr>
        <w:tab/>
      </w:r>
      <w:r w:rsidR="00193A74" w:rsidRPr="00352195">
        <w:rPr>
          <w:rFonts w:asciiTheme="minorHAnsi" w:hAnsiTheme="minorHAnsi" w:cstheme="minorHAnsi"/>
          <w:sz w:val="24"/>
          <w:szCs w:val="24"/>
        </w:rPr>
        <w:t xml:space="preserve"> </w:t>
      </w:r>
      <w:r w:rsidR="00936777" w:rsidRPr="00352195">
        <w:rPr>
          <w:rFonts w:asciiTheme="minorHAnsi" w:hAnsiTheme="minorHAnsi" w:cstheme="minorHAnsi"/>
          <w:sz w:val="24"/>
          <w:szCs w:val="24"/>
        </w:rPr>
        <w:t xml:space="preserve">Additional </w:t>
      </w:r>
      <w:r w:rsidR="00936777">
        <w:rPr>
          <w:rFonts w:asciiTheme="minorHAnsi" w:hAnsiTheme="minorHAnsi" w:cstheme="minorHAnsi"/>
          <w:sz w:val="24"/>
          <w:szCs w:val="24"/>
        </w:rPr>
        <w:t>point</w:t>
      </w:r>
      <w:r w:rsidR="00294CF5">
        <w:rPr>
          <w:rFonts w:asciiTheme="minorHAnsi" w:hAnsiTheme="minorHAnsi" w:cstheme="minorHAnsi"/>
          <w:sz w:val="24"/>
          <w:szCs w:val="24"/>
        </w:rPr>
        <w:t xml:space="preserve"> of use (</w:t>
      </w:r>
      <w:r w:rsidR="00936777" w:rsidRPr="00352195">
        <w:rPr>
          <w:rFonts w:asciiTheme="minorHAnsi" w:hAnsiTheme="minorHAnsi" w:cstheme="minorHAnsi"/>
          <w:sz w:val="24"/>
          <w:szCs w:val="24"/>
        </w:rPr>
        <w:t>POU) filters</w:t>
      </w:r>
      <w:r w:rsidR="00193A74" w:rsidRPr="00352195">
        <w:rPr>
          <w:rFonts w:asciiTheme="minorHAnsi" w:hAnsiTheme="minorHAnsi" w:cstheme="minorHAnsi"/>
          <w:sz w:val="24"/>
          <w:szCs w:val="24"/>
        </w:rPr>
        <w:t xml:space="preserve"> which have been delivered to site and the remainder planned for 9</w:t>
      </w:r>
      <w:r w:rsidR="0036455C">
        <w:rPr>
          <w:rFonts w:asciiTheme="minorHAnsi" w:hAnsiTheme="minorHAnsi" w:cstheme="minorHAnsi"/>
          <w:sz w:val="24"/>
          <w:szCs w:val="24"/>
        </w:rPr>
        <w:t xml:space="preserve"> December </w:t>
      </w:r>
      <w:r w:rsidR="00193A74" w:rsidRPr="00352195">
        <w:rPr>
          <w:rFonts w:asciiTheme="minorHAnsi" w:hAnsiTheme="minorHAnsi" w:cstheme="minorHAnsi"/>
          <w:sz w:val="24"/>
          <w:szCs w:val="24"/>
        </w:rPr>
        <w:t>21</w:t>
      </w:r>
      <w:r w:rsidR="0042087A">
        <w:rPr>
          <w:rFonts w:asciiTheme="minorHAnsi" w:hAnsiTheme="minorHAnsi" w:cstheme="minorHAnsi"/>
          <w:sz w:val="24"/>
          <w:szCs w:val="24"/>
        </w:rPr>
        <w:t xml:space="preserve">. </w:t>
      </w:r>
      <w:r w:rsidR="00193A74" w:rsidRPr="00352195">
        <w:rPr>
          <w:rFonts w:asciiTheme="minorHAnsi" w:hAnsiTheme="minorHAnsi" w:cstheme="minorHAnsi"/>
          <w:sz w:val="24"/>
          <w:szCs w:val="24"/>
        </w:rPr>
        <w:t>Once installed, if there are any residual bugs within the system that remain after the cleaning process, the filters will remove them.  The POU filters are a temporary solution.</w:t>
      </w:r>
      <w:r w:rsidR="00E70EDB">
        <w:rPr>
          <w:rFonts w:asciiTheme="minorHAnsi" w:hAnsiTheme="minorHAnsi" w:cstheme="minorHAnsi"/>
          <w:sz w:val="24"/>
          <w:szCs w:val="24"/>
        </w:rPr>
        <w:t xml:space="preserve"> Mitigating actions </w:t>
      </w:r>
      <w:r w:rsidR="00936777">
        <w:rPr>
          <w:rFonts w:asciiTheme="minorHAnsi" w:hAnsiTheme="minorHAnsi" w:cstheme="minorHAnsi"/>
          <w:sz w:val="24"/>
          <w:szCs w:val="24"/>
        </w:rPr>
        <w:t>were</w:t>
      </w:r>
      <w:r w:rsidR="00E70EDB">
        <w:rPr>
          <w:rFonts w:asciiTheme="minorHAnsi" w:hAnsiTheme="minorHAnsi" w:cstheme="minorHAnsi"/>
          <w:sz w:val="24"/>
          <w:szCs w:val="24"/>
        </w:rPr>
        <w:t xml:space="preserve"> undertaken to reduce the risk whilst the filters were unavailable </w:t>
      </w:r>
    </w:p>
    <w:p w14:paraId="7F9FFCD1" w14:textId="77777777" w:rsidR="00193A74" w:rsidRPr="00352195" w:rsidRDefault="00193A74" w:rsidP="00193A74">
      <w:pPr>
        <w:pStyle w:val="PlainText"/>
        <w:rPr>
          <w:rFonts w:asciiTheme="minorHAnsi" w:hAnsiTheme="minorHAnsi" w:cstheme="minorHAnsi"/>
          <w:sz w:val="24"/>
          <w:szCs w:val="24"/>
        </w:rPr>
      </w:pPr>
    </w:p>
    <w:p w14:paraId="37B2ED1D" w14:textId="14EEBA50" w:rsidR="00193A74" w:rsidRPr="00352195" w:rsidRDefault="00193A74" w:rsidP="00352195">
      <w:pPr>
        <w:pStyle w:val="PlainText"/>
        <w:ind w:left="720"/>
        <w:rPr>
          <w:rFonts w:asciiTheme="minorHAnsi" w:hAnsiTheme="minorHAnsi" w:cstheme="minorHAnsi"/>
          <w:sz w:val="24"/>
          <w:szCs w:val="24"/>
        </w:rPr>
      </w:pPr>
      <w:r w:rsidRPr="00352195">
        <w:rPr>
          <w:rFonts w:asciiTheme="minorHAnsi" w:hAnsiTheme="minorHAnsi" w:cstheme="minorHAnsi"/>
          <w:sz w:val="24"/>
          <w:szCs w:val="24"/>
        </w:rPr>
        <w:t xml:space="preserve">This </w:t>
      </w:r>
      <w:r w:rsidR="00352195" w:rsidRPr="00352195">
        <w:rPr>
          <w:rFonts w:asciiTheme="minorHAnsi" w:hAnsiTheme="minorHAnsi" w:cstheme="minorHAnsi"/>
          <w:sz w:val="24"/>
          <w:szCs w:val="24"/>
        </w:rPr>
        <w:t>has enabled</w:t>
      </w:r>
      <w:r w:rsidRPr="00352195">
        <w:rPr>
          <w:rFonts w:asciiTheme="minorHAnsi" w:hAnsiTheme="minorHAnsi" w:cstheme="minorHAnsi"/>
          <w:sz w:val="24"/>
          <w:szCs w:val="24"/>
        </w:rPr>
        <w:t xml:space="preserve"> </w:t>
      </w:r>
      <w:r w:rsidR="00352195" w:rsidRPr="00352195">
        <w:rPr>
          <w:rFonts w:asciiTheme="minorHAnsi" w:hAnsiTheme="minorHAnsi" w:cstheme="minorHAnsi"/>
          <w:sz w:val="24"/>
          <w:szCs w:val="24"/>
        </w:rPr>
        <w:t>LPT</w:t>
      </w:r>
      <w:r w:rsidRPr="00352195">
        <w:rPr>
          <w:rFonts w:asciiTheme="minorHAnsi" w:hAnsiTheme="minorHAnsi" w:cstheme="minorHAnsi"/>
          <w:sz w:val="24"/>
          <w:szCs w:val="24"/>
        </w:rPr>
        <w:t xml:space="preserve"> to trigger the re-sampling process, which is being arranged for GES to attend</w:t>
      </w:r>
      <w:r w:rsidR="00352195" w:rsidRPr="00352195">
        <w:rPr>
          <w:rFonts w:asciiTheme="minorHAnsi" w:hAnsiTheme="minorHAnsi" w:cstheme="minorHAnsi"/>
          <w:sz w:val="24"/>
          <w:szCs w:val="24"/>
        </w:rPr>
        <w:t xml:space="preserve"> 08/12/21 Samp</w:t>
      </w:r>
      <w:r w:rsidRPr="00352195">
        <w:rPr>
          <w:rFonts w:asciiTheme="minorHAnsi" w:hAnsiTheme="minorHAnsi" w:cstheme="minorHAnsi"/>
          <w:sz w:val="24"/>
          <w:szCs w:val="24"/>
        </w:rPr>
        <w:t>les will take 14 days to obtain a full result.</w:t>
      </w:r>
      <w:r w:rsidR="00E70EDB">
        <w:rPr>
          <w:rFonts w:asciiTheme="minorHAnsi" w:hAnsiTheme="minorHAnsi" w:cstheme="minorHAnsi"/>
          <w:sz w:val="24"/>
          <w:szCs w:val="24"/>
        </w:rPr>
        <w:t xml:space="preserve"> The </w:t>
      </w:r>
      <w:r w:rsidR="00936777">
        <w:rPr>
          <w:rFonts w:asciiTheme="minorHAnsi" w:hAnsiTheme="minorHAnsi" w:cstheme="minorHAnsi"/>
          <w:sz w:val="24"/>
          <w:szCs w:val="24"/>
        </w:rPr>
        <w:t>longer-term</w:t>
      </w:r>
      <w:r w:rsidR="00E70EDB">
        <w:rPr>
          <w:rFonts w:asciiTheme="minorHAnsi" w:hAnsiTheme="minorHAnsi" w:cstheme="minorHAnsi"/>
          <w:sz w:val="24"/>
          <w:szCs w:val="24"/>
        </w:rPr>
        <w:t xml:space="preserve"> solution will be addressed through the water management group in line with national recommendations</w:t>
      </w:r>
    </w:p>
    <w:p w14:paraId="663F4FDE" w14:textId="77777777" w:rsidR="00193A74" w:rsidRPr="00352195" w:rsidRDefault="00193A74" w:rsidP="00193A74">
      <w:pPr>
        <w:pStyle w:val="PlainText"/>
        <w:rPr>
          <w:rFonts w:asciiTheme="minorHAnsi" w:hAnsiTheme="minorHAnsi" w:cstheme="minorHAnsi"/>
          <w:sz w:val="24"/>
          <w:szCs w:val="24"/>
        </w:rPr>
      </w:pPr>
    </w:p>
    <w:p w14:paraId="7506468E" w14:textId="69146AD0" w:rsidR="00193A74" w:rsidRPr="00352195" w:rsidRDefault="0036455C" w:rsidP="003D345D">
      <w:pPr>
        <w:pStyle w:val="PlainText"/>
        <w:ind w:left="720"/>
        <w:rPr>
          <w:rFonts w:cstheme="minorHAnsi"/>
          <w:sz w:val="24"/>
          <w:szCs w:val="24"/>
        </w:rPr>
      </w:pPr>
      <w:r>
        <w:rPr>
          <w:rFonts w:asciiTheme="minorHAnsi" w:hAnsiTheme="minorHAnsi" w:cstheme="minorHAnsi"/>
          <w:sz w:val="24"/>
          <w:szCs w:val="24"/>
        </w:rPr>
        <w:t xml:space="preserve">To note it has </w:t>
      </w:r>
      <w:r w:rsidR="00936777">
        <w:rPr>
          <w:rFonts w:asciiTheme="minorHAnsi" w:hAnsiTheme="minorHAnsi" w:cstheme="minorHAnsi"/>
          <w:sz w:val="24"/>
          <w:szCs w:val="24"/>
        </w:rPr>
        <w:t xml:space="preserve">been </w:t>
      </w:r>
      <w:r w:rsidR="00936777" w:rsidRPr="00352195">
        <w:rPr>
          <w:rFonts w:asciiTheme="minorHAnsi" w:hAnsiTheme="minorHAnsi" w:cstheme="minorHAnsi"/>
          <w:sz w:val="24"/>
          <w:szCs w:val="24"/>
        </w:rPr>
        <w:t>confirmed</w:t>
      </w:r>
      <w:r w:rsidR="00193A74" w:rsidRPr="00352195">
        <w:rPr>
          <w:rFonts w:asciiTheme="minorHAnsi" w:hAnsiTheme="minorHAnsi" w:cstheme="minorHAnsi"/>
          <w:sz w:val="24"/>
          <w:szCs w:val="24"/>
        </w:rPr>
        <w:t xml:space="preserve"> that </w:t>
      </w:r>
      <w:r>
        <w:rPr>
          <w:rFonts w:asciiTheme="minorHAnsi" w:hAnsiTheme="minorHAnsi" w:cstheme="minorHAnsi"/>
          <w:sz w:val="24"/>
          <w:szCs w:val="24"/>
        </w:rPr>
        <w:t xml:space="preserve">the </w:t>
      </w:r>
      <w:r w:rsidR="00193A74" w:rsidRPr="00352195">
        <w:rPr>
          <w:rFonts w:asciiTheme="minorHAnsi" w:hAnsiTheme="minorHAnsi" w:cstheme="minorHAnsi"/>
          <w:sz w:val="24"/>
          <w:szCs w:val="24"/>
        </w:rPr>
        <w:t>Hawthorne</w:t>
      </w:r>
      <w:r>
        <w:rPr>
          <w:rFonts w:asciiTheme="minorHAnsi" w:hAnsiTheme="minorHAnsi" w:cstheme="minorHAnsi"/>
          <w:sz w:val="24"/>
          <w:szCs w:val="24"/>
        </w:rPr>
        <w:t xml:space="preserve"> centre</w:t>
      </w:r>
      <w:r w:rsidR="00E70EDB">
        <w:rPr>
          <w:rFonts w:asciiTheme="minorHAnsi" w:hAnsiTheme="minorHAnsi" w:cstheme="minorHAnsi"/>
          <w:sz w:val="24"/>
          <w:szCs w:val="24"/>
        </w:rPr>
        <w:t xml:space="preserve"> which is based on the Coalville Community Hospital site has not been affected due to a separate water system</w:t>
      </w:r>
    </w:p>
    <w:p w14:paraId="4C7A0140" w14:textId="77777777" w:rsidR="00055200" w:rsidRDefault="00055200" w:rsidP="000E645A">
      <w:pPr>
        <w:spacing w:after="120"/>
        <w:ind w:left="720" w:hanging="720"/>
        <w:rPr>
          <w:rFonts w:cstheme="minorHAnsi"/>
          <w:sz w:val="24"/>
          <w:szCs w:val="24"/>
        </w:rPr>
      </w:pPr>
    </w:p>
    <w:p w14:paraId="026F1DC6" w14:textId="768C5945" w:rsidR="00D85962" w:rsidRPr="00352195" w:rsidRDefault="003022E5" w:rsidP="000E645A">
      <w:pPr>
        <w:spacing w:after="120"/>
        <w:ind w:left="720" w:hanging="720"/>
        <w:rPr>
          <w:rFonts w:cstheme="minorHAnsi"/>
          <w:sz w:val="24"/>
          <w:szCs w:val="24"/>
        </w:rPr>
      </w:pPr>
      <w:r w:rsidRPr="00352195">
        <w:rPr>
          <w:rFonts w:cstheme="minorHAnsi"/>
          <w:sz w:val="24"/>
          <w:szCs w:val="24"/>
        </w:rPr>
        <w:t>8</w:t>
      </w:r>
      <w:r w:rsidR="00FF0EF4" w:rsidRPr="00352195">
        <w:rPr>
          <w:rFonts w:cstheme="minorHAnsi"/>
          <w:sz w:val="24"/>
          <w:szCs w:val="24"/>
        </w:rPr>
        <w:t>.3</w:t>
      </w:r>
      <w:r w:rsidR="00FF0EF4" w:rsidRPr="00352195">
        <w:rPr>
          <w:rFonts w:cstheme="minorHAnsi"/>
          <w:sz w:val="24"/>
          <w:szCs w:val="24"/>
        </w:rPr>
        <w:tab/>
      </w:r>
      <w:r w:rsidR="00D85962" w:rsidRPr="000274AC">
        <w:rPr>
          <w:rFonts w:cstheme="minorHAnsi"/>
          <w:sz w:val="24"/>
          <w:szCs w:val="24"/>
        </w:rPr>
        <w:t xml:space="preserve">Risk </w:t>
      </w:r>
      <w:r w:rsidR="000274AC" w:rsidRPr="000274AC">
        <w:rPr>
          <w:rFonts w:cstheme="minorHAnsi"/>
          <w:sz w:val="24"/>
          <w:szCs w:val="24"/>
        </w:rPr>
        <w:t>5064 has</w:t>
      </w:r>
      <w:r w:rsidR="00D85962" w:rsidRPr="00352195">
        <w:rPr>
          <w:rFonts w:cstheme="minorHAnsi"/>
          <w:sz w:val="24"/>
          <w:szCs w:val="24"/>
        </w:rPr>
        <w:t xml:space="preserve"> been</w:t>
      </w:r>
      <w:r w:rsidR="000274AC">
        <w:rPr>
          <w:rFonts w:cstheme="minorHAnsi"/>
          <w:sz w:val="24"/>
          <w:szCs w:val="24"/>
        </w:rPr>
        <w:t xml:space="preserve"> developed and will be</w:t>
      </w:r>
      <w:r w:rsidR="00D85962" w:rsidRPr="00352195">
        <w:rPr>
          <w:rFonts w:cstheme="minorHAnsi"/>
          <w:sz w:val="24"/>
          <w:szCs w:val="24"/>
        </w:rPr>
        <w:t xml:space="preserve"> escalated as an organisational risk and the actions are being monitored through the O</w:t>
      </w:r>
      <w:r w:rsidRPr="00352195">
        <w:rPr>
          <w:rFonts w:cstheme="minorHAnsi"/>
          <w:sz w:val="24"/>
          <w:szCs w:val="24"/>
        </w:rPr>
        <w:t xml:space="preserve">rganisational </w:t>
      </w:r>
      <w:r w:rsidR="00D85962" w:rsidRPr="00352195">
        <w:rPr>
          <w:rFonts w:cstheme="minorHAnsi"/>
          <w:sz w:val="24"/>
          <w:szCs w:val="24"/>
        </w:rPr>
        <w:t>R</w:t>
      </w:r>
      <w:r w:rsidRPr="00352195">
        <w:rPr>
          <w:rFonts w:cstheme="minorHAnsi"/>
          <w:sz w:val="24"/>
          <w:szCs w:val="24"/>
        </w:rPr>
        <w:t xml:space="preserve">isk </w:t>
      </w:r>
      <w:r w:rsidR="00D85962" w:rsidRPr="00352195">
        <w:rPr>
          <w:rFonts w:cstheme="minorHAnsi"/>
          <w:sz w:val="24"/>
          <w:szCs w:val="24"/>
        </w:rPr>
        <w:t>R</w:t>
      </w:r>
      <w:r w:rsidRPr="00352195">
        <w:rPr>
          <w:rFonts w:cstheme="minorHAnsi"/>
          <w:sz w:val="24"/>
          <w:szCs w:val="24"/>
        </w:rPr>
        <w:t>egister review</w:t>
      </w:r>
      <w:r w:rsidR="00D85962" w:rsidRPr="00352195">
        <w:rPr>
          <w:rFonts w:cstheme="minorHAnsi"/>
          <w:sz w:val="24"/>
          <w:szCs w:val="24"/>
        </w:rPr>
        <w:t xml:space="preserve"> process.</w:t>
      </w:r>
    </w:p>
    <w:p w14:paraId="137AB24A" w14:textId="77777777" w:rsidR="00352195" w:rsidRDefault="00352195" w:rsidP="002038FA">
      <w:pPr>
        <w:spacing w:after="120"/>
        <w:ind w:left="720" w:hanging="720"/>
        <w:rPr>
          <w:b/>
          <w:sz w:val="24"/>
          <w:szCs w:val="24"/>
        </w:rPr>
      </w:pPr>
    </w:p>
    <w:p w14:paraId="5855CE8D" w14:textId="4B6C4408" w:rsidR="00FF0EF4" w:rsidRPr="002038FA" w:rsidRDefault="003022E5" w:rsidP="002038FA">
      <w:pPr>
        <w:spacing w:after="120"/>
        <w:ind w:left="720" w:hanging="720"/>
        <w:rPr>
          <w:b/>
          <w:sz w:val="24"/>
          <w:szCs w:val="24"/>
        </w:rPr>
      </w:pPr>
      <w:r>
        <w:rPr>
          <w:b/>
          <w:sz w:val="24"/>
          <w:szCs w:val="24"/>
        </w:rPr>
        <w:t>9</w:t>
      </w:r>
      <w:r w:rsidR="000550D7" w:rsidRPr="000E645A">
        <w:rPr>
          <w:b/>
          <w:sz w:val="24"/>
          <w:szCs w:val="24"/>
        </w:rPr>
        <w:t>.</w:t>
      </w:r>
      <w:r w:rsidR="000550D7" w:rsidRPr="000E645A">
        <w:rPr>
          <w:b/>
          <w:sz w:val="24"/>
          <w:szCs w:val="24"/>
        </w:rPr>
        <w:tab/>
      </w:r>
      <w:r w:rsidR="001527C1" w:rsidRPr="000E645A">
        <w:rPr>
          <w:b/>
          <w:sz w:val="24"/>
          <w:szCs w:val="24"/>
        </w:rPr>
        <w:t xml:space="preserve">Hand hygiene </w:t>
      </w:r>
    </w:p>
    <w:p w14:paraId="17770826" w14:textId="2BA2C53A" w:rsidR="00A5009D" w:rsidRDefault="00A5009D" w:rsidP="00A5009D">
      <w:pPr>
        <w:spacing w:after="120"/>
        <w:ind w:left="720" w:hanging="720"/>
        <w:rPr>
          <w:sz w:val="24"/>
          <w:szCs w:val="24"/>
        </w:rPr>
      </w:pPr>
      <w:r>
        <w:rPr>
          <w:sz w:val="24"/>
          <w:szCs w:val="24"/>
        </w:rPr>
        <w:t xml:space="preserve">9.1       The total number of audits required per month by all teams equates to 1516 audits per month to ensure more robust representative auditing. The aim in 2021/22 was to maintain the total number of audits at 909 audits (60%).  </w:t>
      </w:r>
    </w:p>
    <w:p w14:paraId="4C80627C" w14:textId="0C5EBAA2" w:rsidR="00A5009D" w:rsidRDefault="00A5009D" w:rsidP="00A5009D">
      <w:pPr>
        <w:spacing w:after="120"/>
        <w:ind w:left="709" w:hanging="709"/>
        <w:rPr>
          <w:sz w:val="24"/>
          <w:szCs w:val="24"/>
        </w:rPr>
      </w:pPr>
      <w:r>
        <w:rPr>
          <w:sz w:val="24"/>
          <w:szCs w:val="24"/>
        </w:rPr>
        <w:t>9.2        In quarter 1 audits returned averaged 965 per month which dipped to an average of 863 for quarter 2. Quarter 3 data has started with a return of 821 audits for October</w:t>
      </w:r>
      <w:r w:rsidR="0036455C">
        <w:rPr>
          <w:sz w:val="24"/>
          <w:szCs w:val="24"/>
        </w:rPr>
        <w:t xml:space="preserve"> 2021</w:t>
      </w:r>
      <w:r>
        <w:rPr>
          <w:sz w:val="24"/>
          <w:szCs w:val="24"/>
        </w:rPr>
        <w:t xml:space="preserve">. </w:t>
      </w:r>
      <w:r w:rsidR="0036455C">
        <w:rPr>
          <w:sz w:val="24"/>
          <w:szCs w:val="24"/>
        </w:rPr>
        <w:t xml:space="preserve">Analysis and feedback </w:t>
      </w:r>
      <w:r w:rsidR="00936777">
        <w:rPr>
          <w:sz w:val="24"/>
          <w:szCs w:val="24"/>
        </w:rPr>
        <w:t>have</w:t>
      </w:r>
      <w:r w:rsidR="0036455C">
        <w:rPr>
          <w:sz w:val="24"/>
          <w:szCs w:val="24"/>
        </w:rPr>
        <w:t xml:space="preserve"> shown that this has been impacted by </w:t>
      </w:r>
      <w:r w:rsidR="005751B4">
        <w:rPr>
          <w:sz w:val="24"/>
          <w:szCs w:val="24"/>
        </w:rPr>
        <w:t>staff</w:t>
      </w:r>
      <w:r w:rsidR="0036455C">
        <w:rPr>
          <w:sz w:val="24"/>
          <w:szCs w:val="24"/>
        </w:rPr>
        <w:t xml:space="preserve"> working from home</w:t>
      </w:r>
      <w:r w:rsidR="005751B4">
        <w:rPr>
          <w:sz w:val="24"/>
          <w:szCs w:val="24"/>
        </w:rPr>
        <w:t xml:space="preserve">, changes to link IPC staff and staffing challenges affecting time to audit and </w:t>
      </w:r>
      <w:r w:rsidR="00936777">
        <w:rPr>
          <w:sz w:val="24"/>
          <w:szCs w:val="24"/>
        </w:rPr>
        <w:t>input.</w:t>
      </w:r>
      <w:r>
        <w:rPr>
          <w:sz w:val="24"/>
          <w:szCs w:val="24"/>
        </w:rPr>
        <w:t xml:space="preserve"> Every effort is being made to return the figures back to the expected level.</w:t>
      </w:r>
    </w:p>
    <w:p w14:paraId="744F103A" w14:textId="77777777" w:rsidR="00A5009D" w:rsidRDefault="00A5009D" w:rsidP="00A5009D">
      <w:pPr>
        <w:spacing w:after="120"/>
        <w:ind w:left="709" w:hanging="709"/>
        <w:rPr>
          <w:sz w:val="24"/>
          <w:szCs w:val="24"/>
        </w:rPr>
      </w:pPr>
      <w:r>
        <w:rPr>
          <w:sz w:val="24"/>
          <w:szCs w:val="24"/>
        </w:rPr>
        <w:t>9.3        The graph indicates that despite all challenges faced that the number of audits remains close to, although slightly below the expected number of returns. Work continues to improve and sustain the number of audits and representativeness acknowledging the impact of staff working from home.</w:t>
      </w:r>
    </w:p>
    <w:p w14:paraId="182E7177" w14:textId="1BB14CB1" w:rsidR="00A5009D" w:rsidRDefault="00A5009D" w:rsidP="00A5009D">
      <w:pPr>
        <w:spacing w:after="120"/>
        <w:ind w:left="720" w:hanging="11"/>
        <w:rPr>
          <w:sz w:val="24"/>
          <w:szCs w:val="24"/>
        </w:rPr>
      </w:pPr>
      <w:r>
        <w:rPr>
          <w:noProof/>
        </w:rPr>
        <w:drawing>
          <wp:inline distT="0" distB="0" distL="0" distR="0" wp14:anchorId="31C5E7E9" wp14:editId="0E2AD16F">
            <wp:extent cx="4578350" cy="27495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p>
    <w:p w14:paraId="48C3A764" w14:textId="2E10A3CB" w:rsidR="00A5009D" w:rsidRDefault="00A5009D" w:rsidP="00A5009D">
      <w:pPr>
        <w:spacing w:after="120"/>
        <w:ind w:left="720" w:hanging="720"/>
        <w:rPr>
          <w:sz w:val="24"/>
          <w:szCs w:val="24"/>
        </w:rPr>
      </w:pPr>
      <w:r>
        <w:rPr>
          <w:sz w:val="24"/>
          <w:szCs w:val="24"/>
        </w:rPr>
        <w:t xml:space="preserve">9.4       The quality improvement project aimed to improve adherence in handwashing as part of safe infection prevention and control practice across services in the organisation and for the Trust to increase the number of audits whilst maintaining an 85% compliance rate. The project is being supported through the Trust Quality Improvement Knowledge hub. The improvement interventions focused on data cleansing and quality, working with the directorates to improve accuracy of recording </w:t>
      </w:r>
      <w:r w:rsidR="00936777">
        <w:rPr>
          <w:sz w:val="24"/>
          <w:szCs w:val="24"/>
        </w:rPr>
        <w:t>and governance</w:t>
      </w:r>
      <w:r>
        <w:rPr>
          <w:sz w:val="24"/>
          <w:szCs w:val="24"/>
        </w:rPr>
        <w:t xml:space="preserve"> monitoring. It also aimed to refocus mind sets and behaviours and the importance of hand hygiene. This is </w:t>
      </w:r>
      <w:r w:rsidR="005751B4">
        <w:rPr>
          <w:sz w:val="24"/>
          <w:szCs w:val="24"/>
        </w:rPr>
        <w:t xml:space="preserve">a continuous improvement cycle </w:t>
      </w:r>
      <w:r w:rsidR="00936777">
        <w:rPr>
          <w:sz w:val="24"/>
          <w:szCs w:val="24"/>
        </w:rPr>
        <w:t>with a</w:t>
      </w:r>
      <w:r>
        <w:rPr>
          <w:sz w:val="24"/>
          <w:szCs w:val="24"/>
        </w:rPr>
        <w:t xml:space="preserve"> new reporting suite will be available by the end of Quarter 3.</w:t>
      </w:r>
    </w:p>
    <w:p w14:paraId="14F973E8" w14:textId="77777777" w:rsidR="00A5009D" w:rsidRDefault="00A5009D" w:rsidP="00A5009D">
      <w:pPr>
        <w:spacing w:after="120"/>
        <w:ind w:left="720" w:hanging="720"/>
        <w:rPr>
          <w:sz w:val="24"/>
          <w:szCs w:val="24"/>
        </w:rPr>
      </w:pPr>
      <w:r>
        <w:rPr>
          <w:sz w:val="24"/>
          <w:szCs w:val="24"/>
        </w:rPr>
        <w:t>9.5       In terms of practice and results of the audits, there has been sustained compliance performance for the year at 99%. It is anticipated and expected that as the number of audits increase there may be a decline in the overall performance as it is a more reflective representation of clinical practice.</w:t>
      </w:r>
    </w:p>
    <w:p w14:paraId="40E0572F" w14:textId="77777777" w:rsidR="00A5009D" w:rsidRDefault="00A5009D" w:rsidP="00A5009D">
      <w:pPr>
        <w:spacing w:after="120"/>
        <w:ind w:left="720" w:hanging="720"/>
        <w:rPr>
          <w:sz w:val="24"/>
          <w:szCs w:val="24"/>
        </w:rPr>
      </w:pPr>
      <w:r>
        <w:rPr>
          <w:sz w:val="24"/>
          <w:szCs w:val="24"/>
        </w:rPr>
        <w:t>9.6       The Trust Infection Prevention and Control team continue with the in-patient clinical support visits that include a quality assurance review of hand hygiene practice and adherence to Personal Protective Equipment (PPE).</w:t>
      </w:r>
    </w:p>
    <w:p w14:paraId="29A20BFE" w14:textId="5BCCC892" w:rsidR="001527C1" w:rsidRPr="000915F3" w:rsidRDefault="001527C1" w:rsidP="000E645A">
      <w:pPr>
        <w:spacing w:after="120"/>
        <w:ind w:left="720" w:hanging="720"/>
        <w:rPr>
          <w:sz w:val="24"/>
          <w:szCs w:val="24"/>
        </w:rPr>
      </w:pPr>
    </w:p>
    <w:p w14:paraId="48B2D8C7" w14:textId="3FF1690C" w:rsidR="001527C1" w:rsidRPr="000915F3" w:rsidRDefault="000550D7" w:rsidP="000C23C9">
      <w:pPr>
        <w:pStyle w:val="Default"/>
        <w:spacing w:after="120" w:line="276" w:lineRule="auto"/>
        <w:rPr>
          <w:rFonts w:asciiTheme="minorHAnsi" w:hAnsiTheme="minorHAnsi"/>
          <w:b/>
          <w:color w:val="auto"/>
        </w:rPr>
      </w:pPr>
      <w:r w:rsidRPr="000915F3">
        <w:rPr>
          <w:rFonts w:asciiTheme="minorHAnsi" w:hAnsiTheme="minorHAnsi"/>
          <w:b/>
          <w:color w:val="auto"/>
        </w:rPr>
        <w:t>1</w:t>
      </w:r>
      <w:r w:rsidR="003022E5">
        <w:rPr>
          <w:rFonts w:asciiTheme="minorHAnsi" w:hAnsiTheme="minorHAnsi"/>
          <w:b/>
          <w:color w:val="auto"/>
        </w:rPr>
        <w:t>0</w:t>
      </w:r>
      <w:r w:rsidRPr="000915F3">
        <w:rPr>
          <w:rFonts w:asciiTheme="minorHAnsi" w:hAnsiTheme="minorHAnsi"/>
          <w:b/>
          <w:color w:val="auto"/>
        </w:rPr>
        <w:t>.</w:t>
      </w:r>
      <w:r w:rsidRPr="000915F3">
        <w:rPr>
          <w:rFonts w:asciiTheme="minorHAnsi" w:hAnsiTheme="minorHAnsi"/>
          <w:b/>
          <w:color w:val="auto"/>
        </w:rPr>
        <w:tab/>
      </w:r>
      <w:r w:rsidR="001527C1" w:rsidRPr="000915F3">
        <w:rPr>
          <w:rFonts w:asciiTheme="minorHAnsi" w:hAnsiTheme="minorHAnsi"/>
          <w:b/>
          <w:color w:val="auto"/>
        </w:rPr>
        <w:t xml:space="preserve">Cleaning </w:t>
      </w:r>
    </w:p>
    <w:p w14:paraId="17CE0D98" w14:textId="73EE15C7" w:rsidR="001527C1" w:rsidRPr="000915F3" w:rsidRDefault="001527C1" w:rsidP="00524AF2">
      <w:pPr>
        <w:pStyle w:val="Default"/>
        <w:spacing w:after="120" w:line="276" w:lineRule="auto"/>
        <w:ind w:left="720" w:hanging="720"/>
        <w:rPr>
          <w:rFonts w:asciiTheme="minorHAnsi" w:hAnsiTheme="minorHAnsi"/>
          <w:color w:val="auto"/>
        </w:rPr>
      </w:pPr>
      <w:r w:rsidRPr="000915F3">
        <w:rPr>
          <w:rFonts w:asciiTheme="minorHAnsi" w:hAnsiTheme="minorHAnsi"/>
          <w:color w:val="auto"/>
        </w:rPr>
        <w:t>1</w:t>
      </w:r>
      <w:r w:rsidR="009654C7">
        <w:rPr>
          <w:rFonts w:asciiTheme="minorHAnsi" w:hAnsiTheme="minorHAnsi"/>
          <w:color w:val="auto"/>
        </w:rPr>
        <w:t>0</w:t>
      </w:r>
      <w:r w:rsidRPr="000915F3">
        <w:rPr>
          <w:rFonts w:asciiTheme="minorHAnsi" w:hAnsiTheme="minorHAnsi"/>
          <w:color w:val="auto"/>
        </w:rPr>
        <w:t>.1</w:t>
      </w:r>
      <w:r w:rsidRPr="000915F3">
        <w:rPr>
          <w:rFonts w:asciiTheme="minorHAnsi" w:hAnsiTheme="minorHAnsi"/>
          <w:b/>
          <w:color w:val="auto"/>
        </w:rPr>
        <w:tab/>
      </w:r>
      <w:r w:rsidRPr="000915F3">
        <w:rPr>
          <w:rFonts w:asciiTheme="minorHAnsi" w:hAnsiTheme="minorHAnsi"/>
          <w:color w:val="auto"/>
        </w:rPr>
        <w:t xml:space="preserve">Cleaning scores are audited bi-monthly and reported through the </w:t>
      </w:r>
      <w:r w:rsidR="009654C7">
        <w:rPr>
          <w:rFonts w:asciiTheme="minorHAnsi" w:hAnsiTheme="minorHAnsi"/>
          <w:color w:val="auto"/>
        </w:rPr>
        <w:t xml:space="preserve">Trust </w:t>
      </w:r>
      <w:r w:rsidRPr="000915F3">
        <w:rPr>
          <w:rFonts w:asciiTheme="minorHAnsi" w:hAnsiTheme="minorHAnsi"/>
          <w:color w:val="auto"/>
        </w:rPr>
        <w:t>IPC</w:t>
      </w:r>
      <w:r w:rsidR="009654C7">
        <w:rPr>
          <w:rFonts w:asciiTheme="minorHAnsi" w:hAnsiTheme="minorHAnsi"/>
          <w:color w:val="auto"/>
        </w:rPr>
        <w:t xml:space="preserve"> </w:t>
      </w:r>
      <w:r w:rsidRPr="000915F3">
        <w:rPr>
          <w:rFonts w:asciiTheme="minorHAnsi" w:hAnsiTheme="minorHAnsi"/>
          <w:color w:val="auto"/>
        </w:rPr>
        <w:t>G</w:t>
      </w:r>
      <w:r w:rsidR="009654C7">
        <w:rPr>
          <w:rFonts w:asciiTheme="minorHAnsi" w:hAnsiTheme="minorHAnsi"/>
          <w:color w:val="auto"/>
        </w:rPr>
        <w:t>roup</w:t>
      </w:r>
      <w:r w:rsidRPr="000915F3">
        <w:rPr>
          <w:rFonts w:asciiTheme="minorHAnsi" w:hAnsiTheme="minorHAnsi"/>
          <w:color w:val="auto"/>
        </w:rPr>
        <w:t xml:space="preserve">. Exceptions are highlighted with mitigation and actions to remedy included in the report.  </w:t>
      </w:r>
      <w:r w:rsidR="00A4438A" w:rsidRPr="000915F3">
        <w:rPr>
          <w:rFonts w:asciiTheme="minorHAnsi" w:hAnsiTheme="minorHAnsi"/>
          <w:color w:val="auto"/>
        </w:rPr>
        <w:t xml:space="preserve"> </w:t>
      </w:r>
      <w:r w:rsidRPr="000915F3">
        <w:rPr>
          <w:rFonts w:asciiTheme="minorHAnsi" w:hAnsiTheme="minorHAnsi"/>
          <w:color w:val="auto"/>
        </w:rPr>
        <w:t xml:space="preserve">Work </w:t>
      </w:r>
      <w:r w:rsidR="009654C7">
        <w:rPr>
          <w:rFonts w:asciiTheme="minorHAnsi" w:hAnsiTheme="minorHAnsi"/>
          <w:color w:val="auto"/>
        </w:rPr>
        <w:t xml:space="preserve">continues </w:t>
      </w:r>
      <w:r w:rsidRPr="000915F3">
        <w:rPr>
          <w:rFonts w:asciiTheme="minorHAnsi" w:hAnsiTheme="minorHAnsi"/>
          <w:color w:val="auto"/>
        </w:rPr>
        <w:t xml:space="preserve">to </w:t>
      </w:r>
      <w:r w:rsidR="00E423B6" w:rsidRPr="000915F3">
        <w:rPr>
          <w:rFonts w:asciiTheme="minorHAnsi" w:hAnsiTheme="minorHAnsi"/>
          <w:color w:val="auto"/>
        </w:rPr>
        <w:t>ensure clinical</w:t>
      </w:r>
      <w:r w:rsidRPr="000915F3">
        <w:rPr>
          <w:rFonts w:asciiTheme="minorHAnsi" w:hAnsiTheme="minorHAnsi"/>
          <w:color w:val="auto"/>
        </w:rPr>
        <w:t xml:space="preserve"> leaders are present at the time of </w:t>
      </w:r>
      <w:r w:rsidR="00E423B6">
        <w:rPr>
          <w:rFonts w:asciiTheme="minorHAnsi" w:hAnsiTheme="minorHAnsi"/>
          <w:color w:val="auto"/>
        </w:rPr>
        <w:t xml:space="preserve">the </w:t>
      </w:r>
      <w:r w:rsidRPr="000915F3">
        <w:rPr>
          <w:rFonts w:asciiTheme="minorHAnsi" w:hAnsiTheme="minorHAnsi"/>
          <w:color w:val="auto"/>
        </w:rPr>
        <w:t>audit</w:t>
      </w:r>
      <w:r w:rsidR="00E423B6">
        <w:rPr>
          <w:rFonts w:asciiTheme="minorHAnsi" w:hAnsiTheme="minorHAnsi"/>
          <w:color w:val="auto"/>
        </w:rPr>
        <w:t>s</w:t>
      </w:r>
      <w:r w:rsidRPr="000915F3">
        <w:rPr>
          <w:rFonts w:asciiTheme="minorHAnsi" w:hAnsiTheme="minorHAnsi"/>
          <w:color w:val="auto"/>
        </w:rPr>
        <w:t xml:space="preserve"> to confirm and challenge as appropriate. </w:t>
      </w:r>
      <w:r w:rsidR="000C23C9">
        <w:rPr>
          <w:rFonts w:asciiTheme="minorHAnsi" w:hAnsiTheme="minorHAnsi"/>
          <w:color w:val="auto"/>
        </w:rPr>
        <w:t>In line with the national recommendations, two hourly touch point cleaning was implemented within inpatient areas. This process supported the reduction in outbreaks of infection</w:t>
      </w:r>
      <w:r w:rsidR="00965D2F">
        <w:rPr>
          <w:rFonts w:asciiTheme="minorHAnsi" w:hAnsiTheme="minorHAnsi"/>
          <w:color w:val="auto"/>
        </w:rPr>
        <w:t xml:space="preserve">, with specific reference to Covid-19.  This process has been documented and audited </w:t>
      </w:r>
      <w:r w:rsidR="00936777">
        <w:rPr>
          <w:rFonts w:asciiTheme="minorHAnsi" w:hAnsiTheme="minorHAnsi"/>
          <w:color w:val="auto"/>
        </w:rPr>
        <w:t>to</w:t>
      </w:r>
      <w:r w:rsidR="00965D2F">
        <w:rPr>
          <w:rFonts w:asciiTheme="minorHAnsi" w:hAnsiTheme="minorHAnsi"/>
          <w:color w:val="auto"/>
        </w:rPr>
        <w:t xml:space="preserve"> provide assurance.  A business case was developed and a roving team for cleaning supported the introduction of a third clean as well as a quick response to outbreak/cleaning requirements.</w:t>
      </w:r>
    </w:p>
    <w:p w14:paraId="56EC333E" w14:textId="7EA1B7A8" w:rsidR="001527C1" w:rsidRPr="000915F3" w:rsidRDefault="00FF0EF4">
      <w:pPr>
        <w:pStyle w:val="Default"/>
        <w:spacing w:after="120" w:line="276" w:lineRule="auto"/>
        <w:ind w:left="720" w:hanging="720"/>
        <w:rPr>
          <w:rFonts w:asciiTheme="minorHAnsi" w:hAnsiTheme="minorHAnsi"/>
          <w:color w:val="auto"/>
        </w:rPr>
      </w:pPr>
      <w:r w:rsidRPr="000915F3">
        <w:rPr>
          <w:rFonts w:asciiTheme="minorHAnsi" w:hAnsiTheme="minorHAnsi"/>
          <w:color w:val="auto"/>
        </w:rPr>
        <w:t>1</w:t>
      </w:r>
      <w:r w:rsidR="009654C7">
        <w:rPr>
          <w:rFonts w:asciiTheme="minorHAnsi" w:hAnsiTheme="minorHAnsi"/>
          <w:color w:val="auto"/>
        </w:rPr>
        <w:t>0</w:t>
      </w:r>
      <w:r w:rsidR="001527C1" w:rsidRPr="000915F3">
        <w:rPr>
          <w:rFonts w:asciiTheme="minorHAnsi" w:hAnsiTheme="minorHAnsi"/>
          <w:color w:val="auto"/>
        </w:rPr>
        <w:t>.2</w:t>
      </w:r>
      <w:r w:rsidR="001527C1" w:rsidRPr="000915F3">
        <w:rPr>
          <w:rFonts w:asciiTheme="minorHAnsi" w:hAnsiTheme="minorHAnsi"/>
          <w:color w:val="auto"/>
        </w:rPr>
        <w:tab/>
      </w:r>
      <w:r w:rsidR="001D318C" w:rsidRPr="000915F3">
        <w:rPr>
          <w:rFonts w:asciiTheme="minorHAnsi" w:hAnsiTheme="minorHAnsi"/>
          <w:color w:val="auto"/>
        </w:rPr>
        <w:t>A p</w:t>
      </w:r>
      <w:r w:rsidR="009654C7">
        <w:rPr>
          <w:rFonts w:asciiTheme="minorHAnsi" w:hAnsiTheme="minorHAnsi"/>
          <w:color w:val="auto"/>
        </w:rPr>
        <w:t>rogramme</w:t>
      </w:r>
      <w:r w:rsidR="001D318C" w:rsidRPr="000915F3">
        <w:rPr>
          <w:rFonts w:asciiTheme="minorHAnsi" w:hAnsiTheme="minorHAnsi"/>
          <w:color w:val="auto"/>
        </w:rPr>
        <w:t xml:space="preserve"> of work</w:t>
      </w:r>
      <w:r w:rsidR="009654C7">
        <w:rPr>
          <w:rFonts w:asciiTheme="minorHAnsi" w:hAnsiTheme="minorHAnsi"/>
          <w:color w:val="auto"/>
        </w:rPr>
        <w:t xml:space="preserve"> and </w:t>
      </w:r>
      <w:r w:rsidR="00E423B6">
        <w:rPr>
          <w:rFonts w:asciiTheme="minorHAnsi" w:hAnsiTheme="minorHAnsi"/>
          <w:color w:val="auto"/>
        </w:rPr>
        <w:t>actions</w:t>
      </w:r>
      <w:r w:rsidR="00E423B6" w:rsidRPr="000915F3">
        <w:rPr>
          <w:rFonts w:asciiTheme="minorHAnsi" w:hAnsiTheme="minorHAnsi"/>
          <w:color w:val="auto"/>
        </w:rPr>
        <w:t xml:space="preserve"> </w:t>
      </w:r>
      <w:r w:rsidR="004D7BA1">
        <w:rPr>
          <w:rFonts w:asciiTheme="minorHAnsi" w:hAnsiTheme="minorHAnsi"/>
          <w:color w:val="auto"/>
        </w:rPr>
        <w:t xml:space="preserve">continue to be put into </w:t>
      </w:r>
      <w:r w:rsidR="001D318C" w:rsidRPr="000915F3">
        <w:rPr>
          <w:rFonts w:asciiTheme="minorHAnsi" w:hAnsiTheme="minorHAnsi"/>
          <w:color w:val="auto"/>
        </w:rPr>
        <w:t>place to address the issues</w:t>
      </w:r>
      <w:r w:rsidR="004D7BA1">
        <w:rPr>
          <w:rFonts w:asciiTheme="minorHAnsi" w:hAnsiTheme="minorHAnsi"/>
          <w:color w:val="auto"/>
        </w:rPr>
        <w:t xml:space="preserve"> identified from the audits of the </w:t>
      </w:r>
      <w:r w:rsidR="00502367">
        <w:rPr>
          <w:rFonts w:asciiTheme="minorHAnsi" w:hAnsiTheme="minorHAnsi"/>
          <w:color w:val="auto"/>
        </w:rPr>
        <w:t>cleaners’</w:t>
      </w:r>
      <w:r w:rsidR="004D7BA1">
        <w:rPr>
          <w:rFonts w:asciiTheme="minorHAnsi" w:hAnsiTheme="minorHAnsi"/>
          <w:color w:val="auto"/>
        </w:rPr>
        <w:t xml:space="preserve"> rooms and equipment.</w:t>
      </w:r>
      <w:r w:rsidR="001D318C" w:rsidRPr="000915F3">
        <w:rPr>
          <w:rFonts w:asciiTheme="minorHAnsi" w:hAnsiTheme="minorHAnsi"/>
          <w:color w:val="auto"/>
        </w:rPr>
        <w:t xml:space="preserve"> </w:t>
      </w:r>
      <w:r w:rsidR="004D7BA1">
        <w:rPr>
          <w:rFonts w:asciiTheme="minorHAnsi" w:hAnsiTheme="minorHAnsi"/>
          <w:color w:val="auto"/>
        </w:rPr>
        <w:t xml:space="preserve"> All areas have been provided </w:t>
      </w:r>
      <w:r w:rsidR="00524AF2">
        <w:rPr>
          <w:rFonts w:asciiTheme="minorHAnsi" w:hAnsiTheme="minorHAnsi"/>
          <w:color w:val="auto"/>
        </w:rPr>
        <w:t>with new</w:t>
      </w:r>
      <w:r w:rsidR="004D7BA1">
        <w:rPr>
          <w:rFonts w:asciiTheme="minorHAnsi" w:hAnsiTheme="minorHAnsi"/>
          <w:color w:val="auto"/>
        </w:rPr>
        <w:t xml:space="preserve"> </w:t>
      </w:r>
      <w:r w:rsidR="00936777">
        <w:rPr>
          <w:rFonts w:asciiTheme="minorHAnsi" w:hAnsiTheme="minorHAnsi"/>
          <w:color w:val="auto"/>
        </w:rPr>
        <w:t>cleaner’s</w:t>
      </w:r>
      <w:r w:rsidR="004D7BA1">
        <w:rPr>
          <w:rFonts w:asciiTheme="minorHAnsi" w:hAnsiTheme="minorHAnsi"/>
          <w:color w:val="auto"/>
        </w:rPr>
        <w:t xml:space="preserve"> trolley’s which include a lockable cupboard to store COSHH products; to maintain the health and safety of the occupants of the areas being cleaned.</w:t>
      </w:r>
    </w:p>
    <w:p w14:paraId="3E76C61D" w14:textId="4867328E" w:rsidR="001527C1" w:rsidRPr="000915F3" w:rsidRDefault="001527C1" w:rsidP="002038FA">
      <w:pPr>
        <w:pStyle w:val="Default"/>
        <w:spacing w:after="120" w:line="276" w:lineRule="auto"/>
        <w:ind w:left="720" w:hanging="720"/>
        <w:rPr>
          <w:rFonts w:asciiTheme="minorHAnsi" w:hAnsiTheme="minorHAnsi"/>
          <w:color w:val="auto"/>
        </w:rPr>
      </w:pPr>
      <w:r w:rsidRPr="000915F3">
        <w:rPr>
          <w:rFonts w:asciiTheme="minorHAnsi" w:hAnsiTheme="minorHAnsi"/>
          <w:color w:val="auto"/>
        </w:rPr>
        <w:t>1</w:t>
      </w:r>
      <w:r w:rsidR="009654C7">
        <w:rPr>
          <w:rFonts w:asciiTheme="minorHAnsi" w:hAnsiTheme="minorHAnsi"/>
          <w:color w:val="auto"/>
        </w:rPr>
        <w:t>0</w:t>
      </w:r>
      <w:r w:rsidRPr="000915F3">
        <w:rPr>
          <w:rFonts w:asciiTheme="minorHAnsi" w:hAnsiTheme="minorHAnsi"/>
          <w:color w:val="auto"/>
        </w:rPr>
        <w:t>.3</w:t>
      </w:r>
      <w:r w:rsidRPr="000915F3">
        <w:rPr>
          <w:rFonts w:asciiTheme="minorHAnsi" w:hAnsiTheme="minorHAnsi"/>
          <w:color w:val="auto"/>
        </w:rPr>
        <w:tab/>
        <w:t xml:space="preserve">The Trust has a </w:t>
      </w:r>
      <w:r w:rsidR="00502367" w:rsidRPr="000915F3">
        <w:rPr>
          <w:rFonts w:asciiTheme="minorHAnsi" w:hAnsiTheme="minorHAnsi"/>
          <w:color w:val="auto"/>
        </w:rPr>
        <w:t>twelve-month</w:t>
      </w:r>
      <w:r w:rsidRPr="000915F3">
        <w:rPr>
          <w:rFonts w:asciiTheme="minorHAnsi" w:hAnsiTheme="minorHAnsi"/>
          <w:color w:val="auto"/>
        </w:rPr>
        <w:t xml:space="preserve"> rolling deep clean programme in place and progress is monitored at the IPC</w:t>
      </w:r>
      <w:r w:rsidR="00E423B6">
        <w:rPr>
          <w:rFonts w:asciiTheme="minorHAnsi" w:hAnsiTheme="minorHAnsi"/>
          <w:color w:val="auto"/>
        </w:rPr>
        <w:t xml:space="preserve"> </w:t>
      </w:r>
      <w:r w:rsidRPr="000915F3">
        <w:rPr>
          <w:rFonts w:asciiTheme="minorHAnsi" w:hAnsiTheme="minorHAnsi"/>
          <w:color w:val="auto"/>
        </w:rPr>
        <w:t>G</w:t>
      </w:r>
      <w:r w:rsidR="00E423B6">
        <w:rPr>
          <w:rFonts w:asciiTheme="minorHAnsi" w:hAnsiTheme="minorHAnsi"/>
          <w:color w:val="auto"/>
        </w:rPr>
        <w:t>roup</w:t>
      </w:r>
      <w:r w:rsidRPr="000915F3">
        <w:rPr>
          <w:rFonts w:asciiTheme="minorHAnsi" w:hAnsiTheme="minorHAnsi"/>
          <w:color w:val="auto"/>
        </w:rPr>
        <w:t xml:space="preserve"> a</w:t>
      </w:r>
      <w:r w:rsidR="0032340A" w:rsidRPr="000915F3">
        <w:rPr>
          <w:rFonts w:asciiTheme="minorHAnsi" w:hAnsiTheme="minorHAnsi"/>
          <w:color w:val="auto"/>
        </w:rPr>
        <w:t>nd LPT monthly cleaning meeting, again this has been delayed due to the pandemic.  Monitoring continues</w:t>
      </w:r>
      <w:r w:rsidR="001D318C" w:rsidRPr="000915F3">
        <w:rPr>
          <w:rFonts w:asciiTheme="minorHAnsi" w:hAnsiTheme="minorHAnsi"/>
          <w:color w:val="auto"/>
        </w:rPr>
        <w:t xml:space="preserve"> through the IPC group meeting.</w:t>
      </w:r>
      <w:r w:rsidR="0032340A" w:rsidRPr="000915F3">
        <w:rPr>
          <w:rFonts w:asciiTheme="minorHAnsi" w:hAnsiTheme="minorHAnsi"/>
          <w:color w:val="auto"/>
        </w:rPr>
        <w:t xml:space="preserve"> </w:t>
      </w:r>
    </w:p>
    <w:p w14:paraId="6D9B1249" w14:textId="653DE9B4" w:rsidR="00FF0EF4" w:rsidRDefault="00FF0EF4" w:rsidP="00BC3E0B">
      <w:pPr>
        <w:pStyle w:val="Default"/>
        <w:spacing w:after="120" w:line="276" w:lineRule="auto"/>
        <w:ind w:left="720" w:hanging="720"/>
        <w:rPr>
          <w:rFonts w:asciiTheme="minorHAnsi" w:hAnsiTheme="minorHAnsi"/>
          <w:color w:val="auto"/>
        </w:rPr>
      </w:pPr>
      <w:r w:rsidRPr="000915F3">
        <w:rPr>
          <w:rFonts w:asciiTheme="minorHAnsi" w:hAnsiTheme="minorHAnsi"/>
          <w:color w:val="auto"/>
        </w:rPr>
        <w:t>1</w:t>
      </w:r>
      <w:r w:rsidR="0007304B">
        <w:rPr>
          <w:rFonts w:asciiTheme="minorHAnsi" w:hAnsiTheme="minorHAnsi"/>
          <w:color w:val="auto"/>
        </w:rPr>
        <w:t>0</w:t>
      </w:r>
      <w:r w:rsidR="001527C1" w:rsidRPr="000915F3">
        <w:rPr>
          <w:rFonts w:asciiTheme="minorHAnsi" w:hAnsiTheme="minorHAnsi"/>
          <w:color w:val="auto"/>
        </w:rPr>
        <w:t>.4</w:t>
      </w:r>
      <w:r w:rsidR="001527C1" w:rsidRPr="000915F3">
        <w:rPr>
          <w:rFonts w:asciiTheme="minorHAnsi" w:hAnsiTheme="minorHAnsi"/>
          <w:color w:val="auto"/>
        </w:rPr>
        <w:tab/>
      </w:r>
      <w:r w:rsidR="004D7BA1">
        <w:rPr>
          <w:rFonts w:asciiTheme="minorHAnsi" w:hAnsiTheme="minorHAnsi"/>
          <w:color w:val="auto"/>
        </w:rPr>
        <w:t>The recent publication of the</w:t>
      </w:r>
      <w:r w:rsidR="001A2241">
        <w:rPr>
          <w:rFonts w:asciiTheme="minorHAnsi" w:hAnsiTheme="minorHAnsi"/>
          <w:color w:val="auto"/>
        </w:rPr>
        <w:t xml:space="preserve"> updated</w:t>
      </w:r>
      <w:r w:rsidR="004D7BA1">
        <w:rPr>
          <w:rFonts w:asciiTheme="minorHAnsi" w:hAnsiTheme="minorHAnsi"/>
          <w:color w:val="auto"/>
        </w:rPr>
        <w:t xml:space="preserve"> </w:t>
      </w:r>
      <w:r w:rsidR="001A2241">
        <w:rPr>
          <w:rFonts w:asciiTheme="minorHAnsi" w:hAnsiTheme="minorHAnsi"/>
          <w:color w:val="auto"/>
        </w:rPr>
        <w:t xml:space="preserve">National </w:t>
      </w:r>
      <w:r w:rsidR="004D7BA1">
        <w:rPr>
          <w:rFonts w:asciiTheme="minorHAnsi" w:hAnsiTheme="minorHAnsi"/>
          <w:color w:val="auto"/>
        </w:rPr>
        <w:t>Standards for Healthcare Clean</w:t>
      </w:r>
      <w:r w:rsidR="001A2241">
        <w:rPr>
          <w:rFonts w:asciiTheme="minorHAnsi" w:hAnsiTheme="minorHAnsi"/>
          <w:color w:val="auto"/>
        </w:rPr>
        <w:t xml:space="preserve">liness 2021 states that healthcare </w:t>
      </w:r>
      <w:r w:rsidR="00502367">
        <w:rPr>
          <w:rFonts w:asciiTheme="minorHAnsi" w:hAnsiTheme="minorHAnsi"/>
          <w:color w:val="auto"/>
        </w:rPr>
        <w:t>establishments must</w:t>
      </w:r>
      <w:r w:rsidR="001A2241">
        <w:rPr>
          <w:rFonts w:asciiTheme="minorHAnsi" w:hAnsiTheme="minorHAnsi"/>
          <w:color w:val="auto"/>
        </w:rPr>
        <w:t xml:space="preserve"> be able to demonstrate how and to what standard they are being cleaned.  A programme of work has been developed to implement and monitor the levels of the standards.  Reporting will be through the IPC group meetings.</w:t>
      </w:r>
      <w:r w:rsidR="004D7BA1">
        <w:rPr>
          <w:rFonts w:asciiTheme="minorHAnsi" w:hAnsiTheme="minorHAnsi"/>
          <w:color w:val="auto"/>
        </w:rPr>
        <w:t xml:space="preserve"> </w:t>
      </w:r>
    </w:p>
    <w:p w14:paraId="133B954E" w14:textId="77777777" w:rsidR="00502367" w:rsidRPr="000915F3" w:rsidRDefault="00502367" w:rsidP="00BC3E0B">
      <w:pPr>
        <w:pStyle w:val="Default"/>
        <w:spacing w:after="120" w:line="276" w:lineRule="auto"/>
        <w:ind w:left="720" w:hanging="720"/>
        <w:rPr>
          <w:rFonts w:asciiTheme="minorHAnsi" w:hAnsiTheme="minorHAnsi"/>
          <w:color w:val="auto"/>
        </w:rPr>
      </w:pPr>
    </w:p>
    <w:p w14:paraId="71196CDC" w14:textId="77777777" w:rsidR="000550D7" w:rsidRPr="00524AF2" w:rsidRDefault="000550D7">
      <w:pPr>
        <w:pStyle w:val="Default"/>
        <w:spacing w:after="120" w:line="276" w:lineRule="auto"/>
        <w:ind w:left="720" w:hanging="720"/>
        <w:rPr>
          <w:rFonts w:asciiTheme="minorHAnsi" w:hAnsiTheme="minorHAnsi"/>
          <w:b/>
          <w:color w:val="auto"/>
        </w:rPr>
      </w:pPr>
      <w:r w:rsidRPr="00524AF2">
        <w:rPr>
          <w:rFonts w:asciiTheme="minorHAnsi" w:hAnsiTheme="minorHAnsi"/>
          <w:b/>
          <w:color w:val="auto"/>
        </w:rPr>
        <w:t>1</w:t>
      </w:r>
      <w:r w:rsidR="0007304B" w:rsidRPr="00524AF2">
        <w:rPr>
          <w:rFonts w:asciiTheme="minorHAnsi" w:hAnsiTheme="minorHAnsi"/>
          <w:b/>
          <w:color w:val="auto"/>
        </w:rPr>
        <w:t>1</w:t>
      </w:r>
      <w:r w:rsidRPr="00524AF2">
        <w:rPr>
          <w:rFonts w:asciiTheme="minorHAnsi" w:hAnsiTheme="minorHAnsi"/>
          <w:b/>
          <w:color w:val="auto"/>
        </w:rPr>
        <w:t>.</w:t>
      </w:r>
      <w:r w:rsidRPr="00524AF2">
        <w:rPr>
          <w:rFonts w:asciiTheme="minorHAnsi" w:hAnsiTheme="minorHAnsi"/>
          <w:color w:val="auto"/>
        </w:rPr>
        <w:tab/>
      </w:r>
      <w:r w:rsidR="001527C1" w:rsidRPr="00524AF2">
        <w:rPr>
          <w:rFonts w:asciiTheme="minorHAnsi" w:hAnsiTheme="minorHAnsi"/>
          <w:b/>
          <w:color w:val="auto"/>
        </w:rPr>
        <w:t>Decontamination</w:t>
      </w:r>
    </w:p>
    <w:p w14:paraId="1871E1D1" w14:textId="7A9F2F98" w:rsidR="00FE4DF6" w:rsidRPr="00524AF2" w:rsidRDefault="000550D7" w:rsidP="002E4C0A">
      <w:pPr>
        <w:spacing w:after="0" w:line="240" w:lineRule="auto"/>
        <w:ind w:left="720" w:hanging="720"/>
        <w:jc w:val="both"/>
        <w:rPr>
          <w:b/>
          <w:sz w:val="24"/>
          <w:szCs w:val="24"/>
        </w:rPr>
      </w:pPr>
      <w:r w:rsidRPr="00524AF2">
        <w:rPr>
          <w:sz w:val="24"/>
          <w:szCs w:val="24"/>
        </w:rPr>
        <w:t>1</w:t>
      </w:r>
      <w:r w:rsidR="0007304B" w:rsidRPr="00524AF2">
        <w:rPr>
          <w:sz w:val="24"/>
          <w:szCs w:val="24"/>
        </w:rPr>
        <w:t>1</w:t>
      </w:r>
      <w:r w:rsidRPr="00524AF2">
        <w:rPr>
          <w:sz w:val="24"/>
          <w:szCs w:val="24"/>
        </w:rPr>
        <w:t xml:space="preserve">.1 </w:t>
      </w:r>
      <w:r w:rsidRPr="00524AF2">
        <w:rPr>
          <w:sz w:val="24"/>
          <w:szCs w:val="24"/>
        </w:rPr>
        <w:tab/>
      </w:r>
      <w:r w:rsidR="002E4C0A" w:rsidRPr="00524AF2">
        <w:rPr>
          <w:sz w:val="24"/>
          <w:szCs w:val="24"/>
        </w:rPr>
        <w:t xml:space="preserve">During the review of </w:t>
      </w:r>
      <w:r w:rsidR="00936777" w:rsidRPr="00524AF2">
        <w:rPr>
          <w:sz w:val="24"/>
          <w:szCs w:val="24"/>
        </w:rPr>
        <w:t>several</w:t>
      </w:r>
      <w:r w:rsidR="002E4C0A" w:rsidRPr="00524AF2">
        <w:rPr>
          <w:sz w:val="24"/>
          <w:szCs w:val="24"/>
        </w:rPr>
        <w:t xml:space="preserve"> risks on the risk register, it was identified within Community Health Services that the risk regarding the decontamination processes for the Podiatry services, had not been reviewed for some time.  The following issues were picked up:</w:t>
      </w:r>
    </w:p>
    <w:p w14:paraId="63F0BCB5" w14:textId="77777777" w:rsidR="00FE4DF6" w:rsidRPr="00524AF2" w:rsidRDefault="00FE4DF6" w:rsidP="00FE4DF6">
      <w:pPr>
        <w:pStyle w:val="ListParagraph"/>
        <w:numPr>
          <w:ilvl w:val="0"/>
          <w:numId w:val="23"/>
        </w:numPr>
        <w:spacing w:after="0" w:line="240" w:lineRule="auto"/>
        <w:jc w:val="both"/>
        <w:rPr>
          <w:bCs/>
          <w:sz w:val="24"/>
          <w:szCs w:val="24"/>
        </w:rPr>
      </w:pPr>
      <w:r w:rsidRPr="00524AF2">
        <w:rPr>
          <w:bCs/>
          <w:sz w:val="24"/>
          <w:szCs w:val="24"/>
        </w:rPr>
        <w:t xml:space="preserve">Decontamination compliance was audited in 2016 and then the actions had not been progressed </w:t>
      </w:r>
    </w:p>
    <w:p w14:paraId="258444EC" w14:textId="77777777" w:rsidR="00FE4DF6" w:rsidRPr="00524AF2" w:rsidRDefault="00FE4DF6" w:rsidP="00FE4DF6">
      <w:pPr>
        <w:pStyle w:val="ListParagraph"/>
        <w:numPr>
          <w:ilvl w:val="0"/>
          <w:numId w:val="23"/>
        </w:numPr>
        <w:spacing w:after="0" w:line="240" w:lineRule="auto"/>
        <w:jc w:val="both"/>
        <w:rPr>
          <w:bCs/>
          <w:sz w:val="24"/>
          <w:szCs w:val="24"/>
        </w:rPr>
      </w:pPr>
      <w:r w:rsidRPr="00524AF2">
        <w:rPr>
          <w:bCs/>
          <w:sz w:val="24"/>
          <w:szCs w:val="24"/>
        </w:rPr>
        <w:t xml:space="preserve">There had been no further audit since 2016 </w:t>
      </w:r>
    </w:p>
    <w:p w14:paraId="5E54CB0E" w14:textId="77777777" w:rsidR="00FE4DF6" w:rsidRPr="00524AF2" w:rsidRDefault="00FE4DF6" w:rsidP="00FE4DF6">
      <w:pPr>
        <w:pStyle w:val="ListParagraph"/>
        <w:numPr>
          <w:ilvl w:val="0"/>
          <w:numId w:val="23"/>
        </w:numPr>
        <w:spacing w:after="0" w:line="240" w:lineRule="auto"/>
        <w:rPr>
          <w:bCs/>
          <w:sz w:val="24"/>
          <w:szCs w:val="24"/>
        </w:rPr>
      </w:pPr>
      <w:r w:rsidRPr="00524AF2">
        <w:rPr>
          <w:bCs/>
          <w:sz w:val="24"/>
          <w:szCs w:val="24"/>
        </w:rPr>
        <w:t>A risk was raised by the service lead in 2017, number 921. This risk should have been monitored through the directorate governance arrangements however, we have no access or data to support this.</w:t>
      </w:r>
    </w:p>
    <w:p w14:paraId="75FEB033" w14:textId="3FB4D78B" w:rsidR="00FE4DF6" w:rsidRPr="00524AF2" w:rsidRDefault="00FE4DF6" w:rsidP="00FE4DF6">
      <w:pPr>
        <w:pStyle w:val="ListParagraph"/>
        <w:numPr>
          <w:ilvl w:val="0"/>
          <w:numId w:val="23"/>
        </w:numPr>
        <w:spacing w:after="0" w:line="240" w:lineRule="auto"/>
        <w:jc w:val="both"/>
        <w:rPr>
          <w:bCs/>
          <w:sz w:val="24"/>
          <w:szCs w:val="24"/>
        </w:rPr>
      </w:pPr>
      <w:r w:rsidRPr="00524AF2">
        <w:rPr>
          <w:bCs/>
          <w:sz w:val="24"/>
          <w:szCs w:val="24"/>
        </w:rPr>
        <w:t xml:space="preserve">There has been no </w:t>
      </w:r>
      <w:r w:rsidR="005751B4">
        <w:rPr>
          <w:bCs/>
          <w:sz w:val="24"/>
          <w:szCs w:val="24"/>
        </w:rPr>
        <w:t xml:space="preserve">Decontamination </w:t>
      </w:r>
      <w:r w:rsidRPr="00524AF2">
        <w:rPr>
          <w:bCs/>
          <w:sz w:val="24"/>
          <w:szCs w:val="24"/>
        </w:rPr>
        <w:t>Authorise</w:t>
      </w:r>
      <w:r w:rsidR="002E4C0A" w:rsidRPr="00524AF2">
        <w:rPr>
          <w:bCs/>
          <w:sz w:val="24"/>
          <w:szCs w:val="24"/>
        </w:rPr>
        <w:t>d</w:t>
      </w:r>
      <w:r w:rsidRPr="00524AF2">
        <w:rPr>
          <w:bCs/>
          <w:sz w:val="24"/>
          <w:szCs w:val="24"/>
        </w:rPr>
        <w:t xml:space="preserve"> </w:t>
      </w:r>
      <w:r w:rsidR="005751B4">
        <w:rPr>
          <w:bCs/>
          <w:sz w:val="24"/>
          <w:szCs w:val="24"/>
        </w:rPr>
        <w:t>E</w:t>
      </w:r>
      <w:r w:rsidRPr="00524AF2">
        <w:rPr>
          <w:bCs/>
          <w:sz w:val="24"/>
          <w:szCs w:val="24"/>
        </w:rPr>
        <w:t xml:space="preserve">ngineer audit for 3 years </w:t>
      </w:r>
    </w:p>
    <w:p w14:paraId="46BA85BE" w14:textId="77777777" w:rsidR="00FE4DF6" w:rsidRPr="00524AF2" w:rsidRDefault="00FE4DF6" w:rsidP="00FE4DF6">
      <w:pPr>
        <w:pStyle w:val="ListParagraph"/>
        <w:numPr>
          <w:ilvl w:val="0"/>
          <w:numId w:val="23"/>
        </w:numPr>
        <w:spacing w:after="0" w:line="240" w:lineRule="auto"/>
        <w:jc w:val="both"/>
        <w:rPr>
          <w:bCs/>
          <w:sz w:val="24"/>
          <w:szCs w:val="24"/>
        </w:rPr>
      </w:pPr>
      <w:r w:rsidRPr="00524AF2">
        <w:rPr>
          <w:bCs/>
          <w:sz w:val="24"/>
          <w:szCs w:val="24"/>
        </w:rPr>
        <w:t xml:space="preserve">Lack of evidence within podiatry staff recording equipment compliance checks </w:t>
      </w:r>
    </w:p>
    <w:p w14:paraId="7CA9B58B" w14:textId="77777777" w:rsidR="00FE4DF6" w:rsidRPr="00524AF2" w:rsidRDefault="00FE4DF6" w:rsidP="00FE4DF6">
      <w:pPr>
        <w:pStyle w:val="ListParagraph"/>
        <w:numPr>
          <w:ilvl w:val="0"/>
          <w:numId w:val="23"/>
        </w:numPr>
        <w:spacing w:after="0" w:line="240" w:lineRule="auto"/>
        <w:jc w:val="both"/>
        <w:rPr>
          <w:bCs/>
          <w:sz w:val="24"/>
          <w:szCs w:val="24"/>
        </w:rPr>
      </w:pPr>
      <w:r w:rsidRPr="00524AF2">
        <w:rPr>
          <w:bCs/>
          <w:sz w:val="24"/>
          <w:szCs w:val="24"/>
        </w:rPr>
        <w:t xml:space="preserve">Lack of training on decontamination requirements </w:t>
      </w:r>
    </w:p>
    <w:p w14:paraId="15A68870" w14:textId="77777777" w:rsidR="00FE4DF6" w:rsidRPr="00524AF2" w:rsidRDefault="00FE4DF6" w:rsidP="00FE4DF6">
      <w:pPr>
        <w:spacing w:after="0" w:line="240" w:lineRule="auto"/>
        <w:jc w:val="both"/>
        <w:rPr>
          <w:bCs/>
          <w:sz w:val="24"/>
          <w:szCs w:val="24"/>
        </w:rPr>
      </w:pPr>
    </w:p>
    <w:p w14:paraId="30CCFCBE" w14:textId="2D6118B3" w:rsidR="00FE4DF6" w:rsidRPr="00524AF2" w:rsidRDefault="002E4C0A" w:rsidP="002E4C0A">
      <w:pPr>
        <w:spacing w:after="0" w:line="240" w:lineRule="auto"/>
        <w:jc w:val="both"/>
        <w:rPr>
          <w:bCs/>
          <w:sz w:val="24"/>
          <w:szCs w:val="24"/>
        </w:rPr>
      </w:pPr>
      <w:r w:rsidRPr="00524AF2">
        <w:rPr>
          <w:bCs/>
          <w:sz w:val="24"/>
          <w:szCs w:val="24"/>
        </w:rPr>
        <w:t>11.2</w:t>
      </w:r>
      <w:r w:rsidRPr="00524AF2">
        <w:rPr>
          <w:bCs/>
          <w:sz w:val="24"/>
          <w:szCs w:val="24"/>
        </w:rPr>
        <w:tab/>
        <w:t>The following r</w:t>
      </w:r>
      <w:r w:rsidR="00FE4DF6" w:rsidRPr="00524AF2">
        <w:rPr>
          <w:bCs/>
          <w:sz w:val="24"/>
          <w:szCs w:val="24"/>
        </w:rPr>
        <w:t xml:space="preserve">easons </w:t>
      </w:r>
      <w:r w:rsidRPr="00524AF2">
        <w:rPr>
          <w:bCs/>
          <w:sz w:val="24"/>
          <w:szCs w:val="24"/>
        </w:rPr>
        <w:t xml:space="preserve">were </w:t>
      </w:r>
      <w:r w:rsidR="00FE4DF6" w:rsidRPr="00524AF2">
        <w:rPr>
          <w:bCs/>
          <w:sz w:val="24"/>
          <w:szCs w:val="24"/>
        </w:rPr>
        <w:t>identified for the above gaps:</w:t>
      </w:r>
    </w:p>
    <w:p w14:paraId="4308C683" w14:textId="77777777" w:rsidR="00FE4DF6" w:rsidRPr="00524AF2" w:rsidRDefault="00FE4DF6" w:rsidP="00FE4DF6">
      <w:pPr>
        <w:pStyle w:val="ListParagraph"/>
        <w:numPr>
          <w:ilvl w:val="0"/>
          <w:numId w:val="24"/>
        </w:numPr>
        <w:spacing w:after="0" w:line="240" w:lineRule="auto"/>
        <w:jc w:val="both"/>
        <w:rPr>
          <w:bCs/>
          <w:sz w:val="24"/>
          <w:szCs w:val="24"/>
        </w:rPr>
      </w:pPr>
      <w:r w:rsidRPr="00524AF2">
        <w:rPr>
          <w:bCs/>
          <w:sz w:val="24"/>
          <w:szCs w:val="24"/>
        </w:rPr>
        <w:t xml:space="preserve">Change in service leads within podiatry and CHS management </w:t>
      </w:r>
    </w:p>
    <w:p w14:paraId="42B45FFD" w14:textId="77777777" w:rsidR="00FE4DF6" w:rsidRPr="00524AF2" w:rsidRDefault="00FE4DF6" w:rsidP="00FE4DF6">
      <w:pPr>
        <w:pStyle w:val="ListParagraph"/>
        <w:numPr>
          <w:ilvl w:val="0"/>
          <w:numId w:val="24"/>
        </w:numPr>
        <w:spacing w:after="0" w:line="240" w:lineRule="auto"/>
        <w:jc w:val="both"/>
        <w:rPr>
          <w:bCs/>
          <w:sz w:val="24"/>
          <w:szCs w:val="24"/>
        </w:rPr>
      </w:pPr>
      <w:r w:rsidRPr="00524AF2">
        <w:rPr>
          <w:bCs/>
          <w:sz w:val="24"/>
          <w:szCs w:val="24"/>
        </w:rPr>
        <w:t>Change in FM provision</w:t>
      </w:r>
    </w:p>
    <w:p w14:paraId="1CD342EE" w14:textId="77777777" w:rsidR="00FE4DF6" w:rsidRPr="00524AF2" w:rsidRDefault="00FE4DF6" w:rsidP="00FE4DF6">
      <w:pPr>
        <w:pStyle w:val="ListParagraph"/>
        <w:numPr>
          <w:ilvl w:val="0"/>
          <w:numId w:val="24"/>
        </w:numPr>
        <w:spacing w:after="0" w:line="240" w:lineRule="auto"/>
        <w:jc w:val="both"/>
        <w:rPr>
          <w:bCs/>
          <w:sz w:val="24"/>
          <w:szCs w:val="24"/>
        </w:rPr>
      </w:pPr>
      <w:r w:rsidRPr="00524AF2">
        <w:rPr>
          <w:bCs/>
          <w:sz w:val="24"/>
          <w:szCs w:val="24"/>
        </w:rPr>
        <w:t>Volume of work</w:t>
      </w:r>
    </w:p>
    <w:p w14:paraId="6FBB6C04" w14:textId="77777777" w:rsidR="00FE4DF6" w:rsidRPr="00524AF2" w:rsidRDefault="00FE4DF6" w:rsidP="00FE4DF6">
      <w:pPr>
        <w:spacing w:after="0" w:line="240" w:lineRule="auto"/>
        <w:jc w:val="both"/>
        <w:rPr>
          <w:bCs/>
          <w:sz w:val="24"/>
          <w:szCs w:val="24"/>
        </w:rPr>
      </w:pPr>
    </w:p>
    <w:p w14:paraId="042BC134" w14:textId="18DD48BA" w:rsidR="00FE4DF6" w:rsidRPr="00524AF2" w:rsidRDefault="002E4C0A" w:rsidP="002E4C0A">
      <w:pPr>
        <w:spacing w:after="0"/>
        <w:ind w:left="720" w:hanging="720"/>
        <w:jc w:val="both"/>
        <w:rPr>
          <w:sz w:val="24"/>
          <w:szCs w:val="24"/>
        </w:rPr>
      </w:pPr>
      <w:r w:rsidRPr="00524AF2">
        <w:rPr>
          <w:sz w:val="24"/>
          <w:szCs w:val="24"/>
        </w:rPr>
        <w:t>11.3</w:t>
      </w:r>
      <w:r w:rsidRPr="00524AF2">
        <w:rPr>
          <w:sz w:val="24"/>
          <w:szCs w:val="24"/>
        </w:rPr>
        <w:tab/>
      </w:r>
      <w:r w:rsidR="00FE4DF6" w:rsidRPr="00524AF2">
        <w:rPr>
          <w:sz w:val="24"/>
          <w:szCs w:val="24"/>
        </w:rPr>
        <w:t>Following the issue</w:t>
      </w:r>
      <w:r w:rsidR="00973603" w:rsidRPr="00524AF2">
        <w:rPr>
          <w:sz w:val="24"/>
          <w:szCs w:val="24"/>
        </w:rPr>
        <w:t>s</w:t>
      </w:r>
      <w:r w:rsidR="00FE4DF6" w:rsidRPr="00524AF2">
        <w:rPr>
          <w:sz w:val="24"/>
          <w:szCs w:val="24"/>
        </w:rPr>
        <w:t xml:space="preserve"> being identified </w:t>
      </w:r>
      <w:r w:rsidR="00973603" w:rsidRPr="00524AF2">
        <w:rPr>
          <w:sz w:val="24"/>
          <w:szCs w:val="24"/>
        </w:rPr>
        <w:t>a</w:t>
      </w:r>
      <w:r w:rsidR="00FE4DF6" w:rsidRPr="00524AF2">
        <w:rPr>
          <w:sz w:val="24"/>
          <w:szCs w:val="24"/>
        </w:rPr>
        <w:t xml:space="preserve"> series of meetings and the following actions have been completed: </w:t>
      </w:r>
    </w:p>
    <w:p w14:paraId="1D9FA329" w14:textId="77777777" w:rsidR="00FE4DF6" w:rsidRPr="00524AF2" w:rsidRDefault="00FE4DF6" w:rsidP="00FE4DF6">
      <w:pPr>
        <w:pStyle w:val="ListParagraph"/>
        <w:numPr>
          <w:ilvl w:val="0"/>
          <w:numId w:val="25"/>
        </w:numPr>
        <w:spacing w:after="0" w:line="240" w:lineRule="auto"/>
        <w:jc w:val="both"/>
        <w:rPr>
          <w:bCs/>
          <w:sz w:val="24"/>
          <w:szCs w:val="24"/>
        </w:rPr>
      </w:pPr>
      <w:r w:rsidRPr="00524AF2">
        <w:rPr>
          <w:bCs/>
          <w:sz w:val="24"/>
          <w:szCs w:val="24"/>
        </w:rPr>
        <w:t xml:space="preserve">Risk assessment placed on the risk register – Score 6 </w:t>
      </w:r>
    </w:p>
    <w:p w14:paraId="10432960" w14:textId="77777777" w:rsidR="00FE4DF6" w:rsidRPr="00524AF2" w:rsidRDefault="00FE4DF6" w:rsidP="00FE4DF6">
      <w:pPr>
        <w:pStyle w:val="ListParagraph"/>
        <w:numPr>
          <w:ilvl w:val="0"/>
          <w:numId w:val="25"/>
        </w:numPr>
        <w:spacing w:after="0" w:line="240" w:lineRule="auto"/>
        <w:jc w:val="both"/>
        <w:rPr>
          <w:bCs/>
          <w:sz w:val="24"/>
          <w:szCs w:val="24"/>
        </w:rPr>
      </w:pPr>
      <w:r w:rsidRPr="00524AF2">
        <w:rPr>
          <w:sz w:val="24"/>
          <w:szCs w:val="24"/>
        </w:rPr>
        <w:t>Dirty to clean workflow system in place</w:t>
      </w:r>
    </w:p>
    <w:p w14:paraId="7B96F44E" w14:textId="77777777" w:rsidR="00FE4DF6" w:rsidRPr="00524AF2" w:rsidRDefault="00FE4DF6" w:rsidP="00FE4DF6">
      <w:pPr>
        <w:pStyle w:val="ListParagraph"/>
        <w:numPr>
          <w:ilvl w:val="0"/>
          <w:numId w:val="25"/>
        </w:numPr>
        <w:spacing w:after="0" w:line="240" w:lineRule="auto"/>
        <w:jc w:val="both"/>
        <w:rPr>
          <w:sz w:val="24"/>
          <w:szCs w:val="24"/>
        </w:rPr>
      </w:pPr>
      <w:r w:rsidRPr="00524AF2">
        <w:rPr>
          <w:sz w:val="24"/>
          <w:szCs w:val="24"/>
        </w:rPr>
        <w:t>Staff have access to single use instruments where risk is high i.e., contact with tissue fluid</w:t>
      </w:r>
    </w:p>
    <w:p w14:paraId="69274986" w14:textId="77777777" w:rsidR="00FE4DF6" w:rsidRPr="00524AF2" w:rsidRDefault="00FE4DF6" w:rsidP="00FE4DF6">
      <w:pPr>
        <w:pStyle w:val="ListParagraph"/>
        <w:numPr>
          <w:ilvl w:val="0"/>
          <w:numId w:val="25"/>
        </w:numPr>
        <w:spacing w:after="0" w:line="240" w:lineRule="auto"/>
        <w:jc w:val="both"/>
        <w:rPr>
          <w:sz w:val="24"/>
          <w:szCs w:val="24"/>
        </w:rPr>
      </w:pPr>
      <w:r w:rsidRPr="00524AF2">
        <w:rPr>
          <w:sz w:val="24"/>
          <w:szCs w:val="24"/>
        </w:rPr>
        <w:t>Where washer disinfector not available there is a separate sink and appropriate PPE for staff in place to scrub instruments</w:t>
      </w:r>
    </w:p>
    <w:p w14:paraId="233C76D1" w14:textId="77777777" w:rsidR="00FE4DF6" w:rsidRPr="00524AF2" w:rsidRDefault="00FE4DF6" w:rsidP="00FE4DF6">
      <w:pPr>
        <w:pStyle w:val="ListParagraph"/>
        <w:numPr>
          <w:ilvl w:val="0"/>
          <w:numId w:val="25"/>
        </w:numPr>
        <w:spacing w:after="0" w:line="240" w:lineRule="auto"/>
        <w:jc w:val="both"/>
        <w:rPr>
          <w:sz w:val="24"/>
          <w:szCs w:val="24"/>
        </w:rPr>
      </w:pPr>
      <w:r w:rsidRPr="00524AF2">
        <w:rPr>
          <w:sz w:val="24"/>
          <w:szCs w:val="24"/>
        </w:rPr>
        <w:t>Instruments are all cleaned in a separate room to clinic room</w:t>
      </w:r>
    </w:p>
    <w:p w14:paraId="61A7014C" w14:textId="77777777" w:rsidR="00FE4DF6" w:rsidRPr="00524AF2" w:rsidRDefault="00FE4DF6" w:rsidP="00FE4DF6">
      <w:pPr>
        <w:pStyle w:val="ListParagraph"/>
        <w:numPr>
          <w:ilvl w:val="0"/>
          <w:numId w:val="25"/>
        </w:numPr>
        <w:spacing w:after="0" w:line="240" w:lineRule="auto"/>
        <w:jc w:val="both"/>
        <w:rPr>
          <w:sz w:val="24"/>
          <w:szCs w:val="24"/>
        </w:rPr>
      </w:pPr>
      <w:r w:rsidRPr="00524AF2">
        <w:rPr>
          <w:sz w:val="24"/>
          <w:szCs w:val="24"/>
        </w:rPr>
        <w:t>Steam sterilisers are validated and maintained and operated in accordance with the HTM2010</w:t>
      </w:r>
    </w:p>
    <w:p w14:paraId="5EE9A47D" w14:textId="77777777" w:rsidR="00FE4DF6" w:rsidRPr="00524AF2" w:rsidRDefault="00FE4DF6" w:rsidP="00FE4DF6">
      <w:pPr>
        <w:spacing w:after="0" w:line="240" w:lineRule="auto"/>
        <w:rPr>
          <w:sz w:val="24"/>
          <w:szCs w:val="24"/>
        </w:rPr>
      </w:pPr>
    </w:p>
    <w:p w14:paraId="44582E1F" w14:textId="34246E6E" w:rsidR="00FE4DF6" w:rsidRPr="00524AF2" w:rsidRDefault="00973603" w:rsidP="00FE4DF6">
      <w:pPr>
        <w:spacing w:after="0" w:line="240" w:lineRule="auto"/>
        <w:rPr>
          <w:sz w:val="24"/>
          <w:szCs w:val="24"/>
        </w:rPr>
      </w:pPr>
      <w:r w:rsidRPr="00524AF2">
        <w:rPr>
          <w:sz w:val="24"/>
          <w:szCs w:val="24"/>
        </w:rPr>
        <w:t>11.4</w:t>
      </w:r>
      <w:r w:rsidRPr="00524AF2">
        <w:rPr>
          <w:sz w:val="24"/>
          <w:szCs w:val="24"/>
        </w:rPr>
        <w:tab/>
        <w:t xml:space="preserve">The current </w:t>
      </w:r>
      <w:r w:rsidR="005751B4">
        <w:rPr>
          <w:sz w:val="24"/>
          <w:szCs w:val="24"/>
        </w:rPr>
        <w:t>k</w:t>
      </w:r>
      <w:r w:rsidR="00FE4DF6" w:rsidRPr="00524AF2">
        <w:rPr>
          <w:sz w:val="24"/>
          <w:szCs w:val="24"/>
        </w:rPr>
        <w:t xml:space="preserve">nown gaps in controls </w:t>
      </w:r>
      <w:r w:rsidRPr="00524AF2">
        <w:rPr>
          <w:sz w:val="24"/>
          <w:szCs w:val="24"/>
        </w:rPr>
        <w:t>have been identified as:</w:t>
      </w:r>
    </w:p>
    <w:p w14:paraId="05EE2585" w14:textId="77777777" w:rsidR="00FE4DF6" w:rsidRPr="00524AF2" w:rsidRDefault="00FE4DF6" w:rsidP="00FE4DF6">
      <w:pPr>
        <w:pStyle w:val="ListParagraph"/>
        <w:numPr>
          <w:ilvl w:val="0"/>
          <w:numId w:val="26"/>
        </w:numPr>
        <w:spacing w:after="0" w:line="240" w:lineRule="auto"/>
        <w:jc w:val="both"/>
        <w:rPr>
          <w:sz w:val="24"/>
          <w:szCs w:val="24"/>
        </w:rPr>
      </w:pPr>
      <w:r w:rsidRPr="00524AF2">
        <w:rPr>
          <w:sz w:val="24"/>
          <w:szCs w:val="24"/>
        </w:rPr>
        <w:t xml:space="preserve">For some autoclaves there is an inability to empty the reservoir at the end of the day posing infection control risk due to stagnant water </w:t>
      </w:r>
    </w:p>
    <w:p w14:paraId="1C221305" w14:textId="77777777" w:rsidR="00FE4DF6" w:rsidRPr="00524AF2" w:rsidRDefault="00FE4DF6" w:rsidP="00FE4DF6">
      <w:pPr>
        <w:pStyle w:val="ListParagraph"/>
        <w:numPr>
          <w:ilvl w:val="0"/>
          <w:numId w:val="26"/>
        </w:numPr>
        <w:spacing w:after="0" w:line="240" w:lineRule="auto"/>
        <w:jc w:val="both"/>
        <w:rPr>
          <w:sz w:val="24"/>
          <w:szCs w:val="24"/>
        </w:rPr>
      </w:pPr>
      <w:r w:rsidRPr="00524AF2">
        <w:rPr>
          <w:sz w:val="24"/>
          <w:szCs w:val="24"/>
        </w:rPr>
        <w:t xml:space="preserve">Washer disinfector not available in all clinics </w:t>
      </w:r>
    </w:p>
    <w:p w14:paraId="7D78DFCC" w14:textId="77777777" w:rsidR="005329D9" w:rsidRPr="00524AF2" w:rsidRDefault="00FE4DF6" w:rsidP="00973603">
      <w:pPr>
        <w:pStyle w:val="Default"/>
        <w:numPr>
          <w:ilvl w:val="0"/>
          <w:numId w:val="26"/>
        </w:numPr>
        <w:spacing w:after="120" w:line="276" w:lineRule="auto"/>
        <w:rPr>
          <w:rFonts w:asciiTheme="minorHAnsi" w:hAnsiTheme="minorHAnsi" w:cstheme="minorHAnsi"/>
        </w:rPr>
      </w:pPr>
      <w:r w:rsidRPr="00524AF2">
        <w:rPr>
          <w:rFonts w:asciiTheme="minorHAnsi" w:hAnsiTheme="minorHAnsi" w:cstheme="minorHAnsi"/>
        </w:rPr>
        <w:t>Missing documentation of the temperature recordings and holding times of the autoclaves</w:t>
      </w:r>
    </w:p>
    <w:p w14:paraId="12231B66" w14:textId="77777777" w:rsidR="005329D9" w:rsidRPr="00524AF2" w:rsidRDefault="005329D9" w:rsidP="00FE4DF6">
      <w:pPr>
        <w:pStyle w:val="Default"/>
        <w:spacing w:after="120" w:line="276" w:lineRule="auto"/>
        <w:ind w:left="720" w:hanging="720"/>
      </w:pPr>
    </w:p>
    <w:p w14:paraId="68B197E5" w14:textId="253288F3" w:rsidR="005329D9" w:rsidRPr="00524AF2" w:rsidRDefault="00973603" w:rsidP="00FE4DF6">
      <w:pPr>
        <w:pStyle w:val="Default"/>
        <w:spacing w:after="120" w:line="276" w:lineRule="auto"/>
        <w:ind w:left="720" w:hanging="720"/>
        <w:rPr>
          <w:rFonts w:asciiTheme="minorHAnsi" w:hAnsiTheme="minorHAnsi" w:cstheme="minorHAnsi"/>
        </w:rPr>
      </w:pPr>
      <w:r w:rsidRPr="00524AF2">
        <w:rPr>
          <w:rFonts w:asciiTheme="minorHAnsi" w:hAnsiTheme="minorHAnsi" w:cstheme="minorHAnsi"/>
        </w:rPr>
        <w:t>11.5</w:t>
      </w:r>
      <w:r w:rsidRPr="00524AF2">
        <w:rPr>
          <w:rFonts w:asciiTheme="minorHAnsi" w:hAnsiTheme="minorHAnsi" w:cstheme="minorHAnsi"/>
        </w:rPr>
        <w:tab/>
        <w:t xml:space="preserve"> </w:t>
      </w:r>
      <w:r w:rsidR="00936777" w:rsidRPr="00524AF2">
        <w:rPr>
          <w:rFonts w:asciiTheme="minorHAnsi" w:hAnsiTheme="minorHAnsi" w:cstheme="minorHAnsi"/>
        </w:rPr>
        <w:t>Several</w:t>
      </w:r>
      <w:r w:rsidRPr="00524AF2">
        <w:rPr>
          <w:rFonts w:asciiTheme="minorHAnsi" w:hAnsiTheme="minorHAnsi" w:cstheme="minorHAnsi"/>
        </w:rPr>
        <w:t xml:space="preserve"> actions have been identified and are currently being developed and u</w:t>
      </w:r>
      <w:r w:rsidR="005751B4">
        <w:rPr>
          <w:rFonts w:asciiTheme="minorHAnsi" w:hAnsiTheme="minorHAnsi" w:cstheme="minorHAnsi"/>
        </w:rPr>
        <w:t>p</w:t>
      </w:r>
      <w:r w:rsidRPr="00524AF2">
        <w:rPr>
          <w:rFonts w:asciiTheme="minorHAnsi" w:hAnsiTheme="minorHAnsi" w:cstheme="minorHAnsi"/>
        </w:rPr>
        <w:t>dated, with monitoring through the IPC group and the CHS governance route.  These include</w:t>
      </w:r>
      <w:r w:rsidR="00D241F9" w:rsidRPr="00524AF2">
        <w:rPr>
          <w:rFonts w:asciiTheme="minorHAnsi" w:hAnsiTheme="minorHAnsi" w:cstheme="minorHAnsi"/>
        </w:rPr>
        <w:t>, but not limited to</w:t>
      </w:r>
      <w:r w:rsidRPr="00524AF2">
        <w:rPr>
          <w:rFonts w:asciiTheme="minorHAnsi" w:hAnsiTheme="minorHAnsi" w:cstheme="minorHAnsi"/>
        </w:rPr>
        <w:t>:</w:t>
      </w:r>
    </w:p>
    <w:p w14:paraId="125BBA4C" w14:textId="0B294278" w:rsidR="00973603" w:rsidRPr="00524AF2" w:rsidRDefault="00973603" w:rsidP="00973603">
      <w:pPr>
        <w:pStyle w:val="Default"/>
        <w:numPr>
          <w:ilvl w:val="0"/>
          <w:numId w:val="27"/>
        </w:numPr>
        <w:spacing w:after="120" w:line="276" w:lineRule="auto"/>
        <w:rPr>
          <w:rFonts w:asciiTheme="minorHAnsi" w:hAnsiTheme="minorHAnsi" w:cstheme="minorHAnsi"/>
        </w:rPr>
      </w:pPr>
      <w:r w:rsidRPr="00524AF2">
        <w:rPr>
          <w:rFonts w:asciiTheme="minorHAnsi" w:hAnsiTheme="minorHAnsi" w:cstheme="minorHAnsi"/>
        </w:rPr>
        <w:t>Audits to start on 1</w:t>
      </w:r>
      <w:r w:rsidRPr="00524AF2">
        <w:rPr>
          <w:rFonts w:asciiTheme="minorHAnsi" w:hAnsiTheme="minorHAnsi" w:cstheme="minorHAnsi"/>
          <w:vertAlign w:val="superscript"/>
        </w:rPr>
        <w:t>st</w:t>
      </w:r>
      <w:r w:rsidRPr="00524AF2">
        <w:rPr>
          <w:rFonts w:asciiTheme="minorHAnsi" w:hAnsiTheme="minorHAnsi" w:cstheme="minorHAnsi"/>
        </w:rPr>
        <w:t xml:space="preserve"> December </w:t>
      </w:r>
      <w:r w:rsidR="005751B4">
        <w:rPr>
          <w:rFonts w:asciiTheme="minorHAnsi" w:hAnsiTheme="minorHAnsi" w:cstheme="minorHAnsi"/>
        </w:rPr>
        <w:t xml:space="preserve">2021 </w:t>
      </w:r>
      <w:r w:rsidRPr="00524AF2">
        <w:rPr>
          <w:rFonts w:asciiTheme="minorHAnsi" w:hAnsiTheme="minorHAnsi" w:cstheme="minorHAnsi"/>
        </w:rPr>
        <w:t>and complete by the end of January 2022</w:t>
      </w:r>
    </w:p>
    <w:p w14:paraId="1C4671F6" w14:textId="69E0D91F" w:rsidR="00973603" w:rsidRPr="00524AF2" w:rsidRDefault="00973603" w:rsidP="00973603">
      <w:pPr>
        <w:pStyle w:val="Default"/>
        <w:numPr>
          <w:ilvl w:val="0"/>
          <w:numId w:val="27"/>
        </w:numPr>
        <w:spacing w:after="120" w:line="276" w:lineRule="auto"/>
        <w:rPr>
          <w:rFonts w:asciiTheme="minorHAnsi" w:hAnsiTheme="minorHAnsi" w:cstheme="minorHAnsi"/>
        </w:rPr>
      </w:pPr>
      <w:r w:rsidRPr="00524AF2">
        <w:rPr>
          <w:rFonts w:asciiTheme="minorHAnsi" w:hAnsiTheme="minorHAnsi" w:cstheme="minorHAnsi"/>
        </w:rPr>
        <w:t xml:space="preserve">Re-establishing the decontamination group </w:t>
      </w:r>
      <w:r w:rsidR="006F62EF" w:rsidRPr="00524AF2">
        <w:rPr>
          <w:rFonts w:asciiTheme="minorHAnsi" w:hAnsiTheme="minorHAnsi" w:cstheme="minorHAnsi"/>
        </w:rPr>
        <w:t>with the first meeting scheduled for January 2022</w:t>
      </w:r>
    </w:p>
    <w:p w14:paraId="71F672F8" w14:textId="6016260C" w:rsidR="006F62EF" w:rsidRPr="00524AF2" w:rsidRDefault="006F62EF" w:rsidP="00973603">
      <w:pPr>
        <w:pStyle w:val="Default"/>
        <w:numPr>
          <w:ilvl w:val="0"/>
          <w:numId w:val="27"/>
        </w:numPr>
        <w:spacing w:after="120" w:line="276" w:lineRule="auto"/>
        <w:rPr>
          <w:rFonts w:asciiTheme="minorHAnsi" w:hAnsiTheme="minorHAnsi" w:cstheme="minorHAnsi"/>
        </w:rPr>
      </w:pPr>
      <w:r w:rsidRPr="00524AF2">
        <w:rPr>
          <w:rFonts w:asciiTheme="minorHAnsi" w:hAnsiTheme="minorHAnsi" w:cstheme="minorHAnsi"/>
        </w:rPr>
        <w:t>CHS decontamination operational meeting commencing 9 December 2021</w:t>
      </w:r>
    </w:p>
    <w:p w14:paraId="4CBE8A3A" w14:textId="3C16927A" w:rsidR="006F62EF" w:rsidRPr="00524AF2" w:rsidRDefault="006F62EF" w:rsidP="00973603">
      <w:pPr>
        <w:pStyle w:val="Default"/>
        <w:numPr>
          <w:ilvl w:val="0"/>
          <w:numId w:val="27"/>
        </w:numPr>
        <w:spacing w:after="120" w:line="276" w:lineRule="auto"/>
        <w:rPr>
          <w:rFonts w:asciiTheme="minorHAnsi" w:hAnsiTheme="minorHAnsi" w:cstheme="minorHAnsi"/>
        </w:rPr>
      </w:pPr>
      <w:r w:rsidRPr="00524AF2">
        <w:rPr>
          <w:rFonts w:asciiTheme="minorHAnsi" w:hAnsiTheme="minorHAnsi" w:cstheme="minorHAnsi"/>
        </w:rPr>
        <w:t>Roles and Responsibilities for Decontamination defined and agreed by January 2022</w:t>
      </w:r>
    </w:p>
    <w:p w14:paraId="48FE2BDC" w14:textId="239117CE" w:rsidR="006F62EF" w:rsidRPr="00524AF2" w:rsidRDefault="006F62EF" w:rsidP="00973603">
      <w:pPr>
        <w:pStyle w:val="Default"/>
        <w:numPr>
          <w:ilvl w:val="0"/>
          <w:numId w:val="27"/>
        </w:numPr>
        <w:spacing w:after="120" w:line="276" w:lineRule="auto"/>
        <w:rPr>
          <w:rFonts w:asciiTheme="minorHAnsi" w:hAnsiTheme="minorHAnsi" w:cstheme="minorHAnsi"/>
        </w:rPr>
      </w:pPr>
      <w:r w:rsidRPr="00524AF2">
        <w:rPr>
          <w:rFonts w:asciiTheme="minorHAnsi" w:hAnsiTheme="minorHAnsi" w:cstheme="minorHAnsi"/>
        </w:rPr>
        <w:t>Training needs analysis to be agreed in January 2022</w:t>
      </w:r>
    </w:p>
    <w:p w14:paraId="104AEC44" w14:textId="2556A98C" w:rsidR="006F62EF" w:rsidRPr="00524AF2" w:rsidRDefault="006F62EF" w:rsidP="006F62EF">
      <w:pPr>
        <w:pStyle w:val="Default"/>
        <w:spacing w:after="120" w:line="276" w:lineRule="auto"/>
        <w:rPr>
          <w:rFonts w:asciiTheme="minorHAnsi" w:hAnsiTheme="minorHAnsi" w:cstheme="minorHAnsi"/>
        </w:rPr>
      </w:pPr>
    </w:p>
    <w:p w14:paraId="08B32639" w14:textId="4D89DC48" w:rsidR="006F62EF" w:rsidRPr="00524AF2" w:rsidRDefault="006F62EF" w:rsidP="006F62EF">
      <w:pPr>
        <w:pStyle w:val="Default"/>
        <w:spacing w:after="120" w:line="276" w:lineRule="auto"/>
        <w:ind w:left="720" w:hanging="720"/>
        <w:rPr>
          <w:rFonts w:asciiTheme="minorHAnsi" w:hAnsiTheme="minorHAnsi" w:cstheme="minorHAnsi"/>
        </w:rPr>
      </w:pPr>
      <w:r w:rsidRPr="00524AF2">
        <w:rPr>
          <w:rFonts w:asciiTheme="minorHAnsi" w:hAnsiTheme="minorHAnsi" w:cstheme="minorHAnsi"/>
        </w:rPr>
        <w:t>11.6</w:t>
      </w:r>
      <w:r w:rsidRPr="00524AF2">
        <w:rPr>
          <w:rFonts w:asciiTheme="minorHAnsi" w:hAnsiTheme="minorHAnsi" w:cstheme="minorHAnsi"/>
        </w:rPr>
        <w:tab/>
        <w:t xml:space="preserve">A paper </w:t>
      </w:r>
      <w:r w:rsidR="00936777">
        <w:rPr>
          <w:rFonts w:asciiTheme="minorHAnsi" w:hAnsiTheme="minorHAnsi" w:cstheme="minorHAnsi"/>
        </w:rPr>
        <w:t>w</w:t>
      </w:r>
      <w:r w:rsidR="00936777" w:rsidRPr="00524AF2">
        <w:rPr>
          <w:rFonts w:asciiTheme="minorHAnsi" w:hAnsiTheme="minorHAnsi" w:cstheme="minorHAnsi"/>
        </w:rPr>
        <w:t>as submitted</w:t>
      </w:r>
      <w:r w:rsidRPr="00524AF2">
        <w:rPr>
          <w:rFonts w:asciiTheme="minorHAnsi" w:hAnsiTheme="minorHAnsi" w:cstheme="minorHAnsi"/>
        </w:rPr>
        <w:t xml:space="preserve"> to the Strategic Executive Board meeting on the 3 December 2021 for oversight of the identified </w:t>
      </w:r>
      <w:r w:rsidR="00D241F9" w:rsidRPr="00524AF2">
        <w:rPr>
          <w:rFonts w:asciiTheme="minorHAnsi" w:hAnsiTheme="minorHAnsi" w:cstheme="minorHAnsi"/>
        </w:rPr>
        <w:t>risks and actions with further detail.</w:t>
      </w:r>
    </w:p>
    <w:p w14:paraId="79375C21" w14:textId="77777777" w:rsidR="005329D9" w:rsidRPr="00524AF2" w:rsidRDefault="005329D9" w:rsidP="00FE4DF6">
      <w:pPr>
        <w:pStyle w:val="Default"/>
        <w:spacing w:after="120" w:line="276" w:lineRule="auto"/>
        <w:ind w:left="720" w:hanging="720"/>
      </w:pPr>
    </w:p>
    <w:p w14:paraId="6E9AB72B" w14:textId="77777777" w:rsidR="001527C1" w:rsidRPr="00D57B6F" w:rsidRDefault="004208FD" w:rsidP="00D57B6F">
      <w:pPr>
        <w:spacing w:after="120"/>
        <w:rPr>
          <w:b/>
          <w:sz w:val="24"/>
          <w:szCs w:val="24"/>
        </w:rPr>
      </w:pPr>
      <w:r w:rsidRPr="000915F3">
        <w:rPr>
          <w:b/>
          <w:sz w:val="24"/>
          <w:szCs w:val="24"/>
        </w:rPr>
        <w:t>1</w:t>
      </w:r>
      <w:r w:rsidR="00F04DB1">
        <w:rPr>
          <w:b/>
          <w:sz w:val="24"/>
          <w:szCs w:val="24"/>
        </w:rPr>
        <w:t>2</w:t>
      </w:r>
      <w:r w:rsidRPr="000915F3">
        <w:rPr>
          <w:b/>
          <w:sz w:val="24"/>
          <w:szCs w:val="24"/>
        </w:rPr>
        <w:t>.</w:t>
      </w:r>
      <w:r w:rsidRPr="000915F3">
        <w:rPr>
          <w:b/>
          <w:sz w:val="24"/>
          <w:szCs w:val="24"/>
        </w:rPr>
        <w:tab/>
      </w:r>
      <w:r w:rsidR="001527C1" w:rsidRPr="000915F3">
        <w:rPr>
          <w:b/>
          <w:sz w:val="24"/>
          <w:szCs w:val="24"/>
        </w:rPr>
        <w:t>Antimicrobial stewardship</w:t>
      </w:r>
    </w:p>
    <w:p w14:paraId="4071E76E" w14:textId="415AF494" w:rsidR="00883DA2" w:rsidRPr="000915F3" w:rsidRDefault="00FF0EF4" w:rsidP="000E645A">
      <w:pPr>
        <w:spacing w:after="120"/>
        <w:ind w:left="720" w:hanging="720"/>
        <w:rPr>
          <w:sz w:val="24"/>
          <w:szCs w:val="24"/>
        </w:rPr>
      </w:pPr>
      <w:r w:rsidRPr="000915F3">
        <w:rPr>
          <w:sz w:val="24"/>
          <w:szCs w:val="24"/>
        </w:rPr>
        <w:t>1</w:t>
      </w:r>
      <w:r w:rsidR="00F04DB1">
        <w:rPr>
          <w:sz w:val="24"/>
          <w:szCs w:val="24"/>
        </w:rPr>
        <w:t>2</w:t>
      </w:r>
      <w:r w:rsidRPr="000915F3">
        <w:rPr>
          <w:sz w:val="24"/>
          <w:szCs w:val="24"/>
        </w:rPr>
        <w:t>.1</w:t>
      </w:r>
      <w:r w:rsidRPr="000915F3">
        <w:rPr>
          <w:sz w:val="24"/>
          <w:szCs w:val="24"/>
        </w:rPr>
        <w:tab/>
      </w:r>
      <w:r w:rsidR="001527C1" w:rsidRPr="000915F3">
        <w:rPr>
          <w:sz w:val="24"/>
          <w:szCs w:val="24"/>
        </w:rPr>
        <w:t xml:space="preserve">Antimicrobial stewardship is reported to the Trust IPC group every </w:t>
      </w:r>
      <w:r w:rsidR="00F04DB1">
        <w:rPr>
          <w:sz w:val="24"/>
          <w:szCs w:val="24"/>
        </w:rPr>
        <w:t>six</w:t>
      </w:r>
      <w:r w:rsidR="001527C1" w:rsidRPr="000915F3">
        <w:rPr>
          <w:sz w:val="24"/>
          <w:szCs w:val="24"/>
        </w:rPr>
        <w:t xml:space="preserve"> months, with associated annual reports and audits including prescribing and consumption. </w:t>
      </w:r>
    </w:p>
    <w:p w14:paraId="6CC835B5" w14:textId="77777777" w:rsidR="001527C1" w:rsidRDefault="001527C1" w:rsidP="00D57B6F">
      <w:pPr>
        <w:spacing w:after="120"/>
        <w:ind w:left="720" w:hanging="720"/>
        <w:rPr>
          <w:sz w:val="24"/>
          <w:szCs w:val="24"/>
        </w:rPr>
      </w:pPr>
    </w:p>
    <w:p w14:paraId="30248F2A" w14:textId="77777777" w:rsidR="001527C1" w:rsidRPr="000E645A" w:rsidRDefault="00F04DB1" w:rsidP="002038FA">
      <w:pPr>
        <w:pStyle w:val="Default"/>
        <w:spacing w:after="120" w:line="276" w:lineRule="auto"/>
        <w:ind w:left="720" w:hanging="720"/>
        <w:rPr>
          <w:rFonts w:asciiTheme="minorHAnsi" w:hAnsiTheme="minorHAnsi" w:cstheme="minorHAnsi"/>
          <w:b/>
          <w:color w:val="4F81BD" w:themeColor="accent1"/>
          <w:sz w:val="30"/>
          <w:szCs w:val="30"/>
        </w:rPr>
      </w:pPr>
      <w:r w:rsidRPr="000E645A">
        <w:rPr>
          <w:rFonts w:asciiTheme="minorHAnsi" w:hAnsiTheme="minorHAnsi" w:cstheme="minorHAnsi"/>
          <w:b/>
          <w:color w:val="4F81BD" w:themeColor="accent1"/>
          <w:sz w:val="30"/>
          <w:szCs w:val="30"/>
        </w:rPr>
        <w:t>Proposal</w:t>
      </w:r>
    </w:p>
    <w:p w14:paraId="05950957" w14:textId="77777777" w:rsidR="001527C1" w:rsidRPr="002038FA" w:rsidRDefault="001527C1" w:rsidP="002038FA">
      <w:pPr>
        <w:spacing w:after="120"/>
        <w:rPr>
          <w:noProof/>
          <w:color w:val="000000"/>
          <w:sz w:val="24"/>
          <w:szCs w:val="24"/>
        </w:rPr>
      </w:pPr>
      <w:r w:rsidRPr="000E645A">
        <w:rPr>
          <w:noProof/>
          <w:color w:val="000000"/>
          <w:sz w:val="24"/>
          <w:szCs w:val="24"/>
        </w:rPr>
        <w:t xml:space="preserve">This six monthly report outlines assurance from the Director of Infection Preventon  and Control (DIPaC demonstrating compliance with the Health and Social Care Act 2008 (updated July 2015) also referred to as the Hygiene Code. The report also highlights the impact of the COVID-19 pandemic to the business as usual IPC work programme and quality improvement in response to  NHSE &amp; I </w:t>
      </w:r>
      <w:r w:rsidR="00F04DB1">
        <w:rPr>
          <w:noProof/>
          <w:color w:val="000000"/>
          <w:sz w:val="24"/>
          <w:szCs w:val="24"/>
        </w:rPr>
        <w:t xml:space="preserve">IPC </w:t>
      </w:r>
      <w:r w:rsidRPr="000E645A">
        <w:rPr>
          <w:noProof/>
          <w:color w:val="000000"/>
          <w:sz w:val="24"/>
          <w:szCs w:val="24"/>
        </w:rPr>
        <w:t>visit</w:t>
      </w:r>
      <w:r w:rsidR="00F04DB1">
        <w:rPr>
          <w:noProof/>
          <w:color w:val="000000"/>
          <w:sz w:val="24"/>
          <w:szCs w:val="24"/>
        </w:rPr>
        <w:t>s</w:t>
      </w:r>
      <w:r w:rsidRPr="000E645A">
        <w:rPr>
          <w:noProof/>
          <w:color w:val="000000"/>
          <w:sz w:val="24"/>
          <w:szCs w:val="24"/>
        </w:rPr>
        <w:t xml:space="preserve">. </w:t>
      </w:r>
    </w:p>
    <w:p w14:paraId="6626710A" w14:textId="77777777" w:rsidR="002038FA" w:rsidRDefault="002038FA" w:rsidP="000E645A">
      <w:pPr>
        <w:spacing w:after="120"/>
        <w:rPr>
          <w:rFonts w:eastAsia="Arial"/>
          <w:bCs/>
          <w:sz w:val="24"/>
          <w:szCs w:val="24"/>
        </w:rPr>
      </w:pPr>
    </w:p>
    <w:p w14:paraId="6BCB8424" w14:textId="77777777" w:rsidR="002475A8" w:rsidRPr="007F05FD" w:rsidRDefault="002475A8" w:rsidP="002038FA">
      <w:pPr>
        <w:spacing w:after="120"/>
        <w:rPr>
          <w:b/>
          <w:color w:val="4F81BD" w:themeColor="accent1"/>
          <w:sz w:val="28"/>
        </w:rPr>
      </w:pPr>
      <w:r>
        <w:rPr>
          <w:b/>
          <w:color w:val="4F81BD" w:themeColor="accent1"/>
          <w:sz w:val="28"/>
        </w:rPr>
        <w:t>Decision required</w:t>
      </w:r>
    </w:p>
    <w:p w14:paraId="79994E6A" w14:textId="77777777" w:rsidR="00F04DB1" w:rsidRPr="000E645A" w:rsidRDefault="002475A8" w:rsidP="002038FA">
      <w:pPr>
        <w:spacing w:after="120"/>
        <w:rPr>
          <w:noProof/>
          <w:color w:val="000000"/>
          <w:sz w:val="24"/>
          <w:szCs w:val="24"/>
        </w:rPr>
      </w:pPr>
      <w:r w:rsidRPr="00B657EE">
        <w:rPr>
          <w:sz w:val="24"/>
          <w:szCs w:val="24"/>
        </w:rPr>
        <w:t xml:space="preserve">The board is asked to confirm a level of assurance </w:t>
      </w:r>
      <w:r w:rsidRPr="00B657EE">
        <w:rPr>
          <w:rFonts w:cs="Arial"/>
          <w:sz w:val="24"/>
          <w:szCs w:val="24"/>
        </w:rPr>
        <w:t>that pr</w:t>
      </w:r>
      <w:r>
        <w:rPr>
          <w:rFonts w:cs="Arial"/>
          <w:sz w:val="24"/>
          <w:szCs w:val="24"/>
        </w:rPr>
        <w:t>ocesses are in place to monitor and ensure compliance with the Health and Social Care Act 2008 (updated July 2015) also referred to the as the Hygiene Code and NHS England IPC Board Assurance Framework to ensure that all IPC measures are taken in line with PHE Covid-19 guidance to ensure</w:t>
      </w:r>
      <w:r w:rsidRPr="00B657EE">
        <w:rPr>
          <w:rFonts w:cs="Arial"/>
          <w:sz w:val="24"/>
          <w:szCs w:val="24"/>
        </w:rPr>
        <w:t xml:space="preserve"> patient safety </w:t>
      </w:r>
      <w:r>
        <w:rPr>
          <w:rFonts w:cs="Arial"/>
          <w:sz w:val="24"/>
          <w:szCs w:val="24"/>
        </w:rPr>
        <w:t xml:space="preserve">and </w:t>
      </w:r>
      <w:r w:rsidRPr="00B657EE">
        <w:rPr>
          <w:rFonts w:cs="Arial"/>
          <w:sz w:val="24"/>
          <w:szCs w:val="24"/>
        </w:rPr>
        <w:t>care quality is</w:t>
      </w:r>
      <w:r>
        <w:rPr>
          <w:rFonts w:cs="Arial"/>
          <w:sz w:val="24"/>
          <w:szCs w:val="24"/>
        </w:rPr>
        <w:t xml:space="preserve"> maintained.</w:t>
      </w:r>
    </w:p>
    <w:p w14:paraId="096223BC" w14:textId="77777777" w:rsidR="001527C1" w:rsidRDefault="001527C1" w:rsidP="00FF0EF4">
      <w:pPr>
        <w:pStyle w:val="ListParagraph"/>
        <w:spacing w:after="0" w:line="240" w:lineRule="auto"/>
        <w:ind w:hanging="720"/>
        <w:rPr>
          <w:noProof/>
          <w:color w:val="000000"/>
          <w:sz w:val="24"/>
          <w:szCs w:val="24"/>
        </w:rPr>
      </w:pPr>
    </w:p>
    <w:p w14:paraId="15019414" w14:textId="77777777" w:rsidR="006B6E62" w:rsidRDefault="006B6E62" w:rsidP="00FF0EF4">
      <w:pPr>
        <w:pStyle w:val="ListParagraph"/>
        <w:spacing w:after="0" w:line="240" w:lineRule="auto"/>
        <w:ind w:hanging="720"/>
        <w:rPr>
          <w:noProof/>
          <w:color w:val="000000"/>
          <w:sz w:val="24"/>
          <w:szCs w:val="24"/>
        </w:rPr>
      </w:pPr>
    </w:p>
    <w:p w14:paraId="789A8041" w14:textId="77777777" w:rsidR="006B6E62" w:rsidRDefault="006B6E62" w:rsidP="00FF0EF4">
      <w:pPr>
        <w:pStyle w:val="ListParagraph"/>
        <w:spacing w:after="0" w:line="240" w:lineRule="auto"/>
        <w:ind w:hanging="720"/>
        <w:rPr>
          <w:noProof/>
          <w:color w:val="000000"/>
          <w:sz w:val="24"/>
          <w:szCs w:val="24"/>
        </w:rPr>
      </w:pPr>
    </w:p>
    <w:p w14:paraId="5A373845" w14:textId="77777777" w:rsidR="006B6E62" w:rsidRDefault="006B6E62" w:rsidP="00FF0EF4">
      <w:pPr>
        <w:pStyle w:val="ListParagraph"/>
        <w:spacing w:after="0" w:line="240" w:lineRule="auto"/>
        <w:ind w:hanging="720"/>
        <w:rPr>
          <w:noProof/>
          <w:color w:val="000000"/>
          <w:sz w:val="24"/>
          <w:szCs w:val="24"/>
        </w:rPr>
      </w:pPr>
    </w:p>
    <w:p w14:paraId="1376963F" w14:textId="77777777" w:rsidR="006B6E62" w:rsidRDefault="006B6E62" w:rsidP="00FF0EF4">
      <w:pPr>
        <w:pStyle w:val="ListParagraph"/>
        <w:spacing w:after="0" w:line="240" w:lineRule="auto"/>
        <w:ind w:hanging="720"/>
        <w:rPr>
          <w:noProof/>
          <w:color w:val="000000"/>
          <w:sz w:val="24"/>
          <w:szCs w:val="24"/>
        </w:rPr>
      </w:pPr>
    </w:p>
    <w:p w14:paraId="476EA6EF" w14:textId="77777777" w:rsidR="006B6E62" w:rsidRDefault="006B6E62" w:rsidP="00FF0EF4">
      <w:pPr>
        <w:pStyle w:val="ListParagraph"/>
        <w:spacing w:after="0" w:line="240" w:lineRule="auto"/>
        <w:ind w:hanging="720"/>
        <w:rPr>
          <w:noProof/>
          <w:color w:val="000000"/>
          <w:sz w:val="24"/>
          <w:szCs w:val="24"/>
        </w:rPr>
      </w:pPr>
    </w:p>
    <w:p w14:paraId="7B06F391" w14:textId="77777777" w:rsidR="006B6E62" w:rsidRDefault="006B6E62" w:rsidP="00FF0EF4">
      <w:pPr>
        <w:pStyle w:val="ListParagraph"/>
        <w:spacing w:after="0" w:line="240" w:lineRule="auto"/>
        <w:ind w:hanging="720"/>
        <w:rPr>
          <w:noProof/>
          <w:color w:val="000000"/>
          <w:sz w:val="24"/>
          <w:szCs w:val="24"/>
        </w:rPr>
      </w:pPr>
    </w:p>
    <w:p w14:paraId="54BAEC39" w14:textId="77777777" w:rsidR="006B6E62" w:rsidRDefault="006B6E62" w:rsidP="00FF0EF4">
      <w:pPr>
        <w:pStyle w:val="ListParagraph"/>
        <w:spacing w:after="0" w:line="240" w:lineRule="auto"/>
        <w:ind w:hanging="720"/>
        <w:rPr>
          <w:noProof/>
          <w:color w:val="000000"/>
          <w:sz w:val="24"/>
          <w:szCs w:val="24"/>
        </w:rPr>
      </w:pPr>
    </w:p>
    <w:p w14:paraId="70704E44" w14:textId="77777777" w:rsidR="006B6E62" w:rsidRPr="00936777" w:rsidRDefault="006B6E62" w:rsidP="00936777">
      <w:pPr>
        <w:spacing w:after="0" w:line="240" w:lineRule="auto"/>
        <w:rPr>
          <w:noProof/>
          <w:color w:val="000000"/>
          <w:sz w:val="24"/>
          <w:szCs w:val="24"/>
        </w:rPr>
      </w:pPr>
    </w:p>
    <w:p w14:paraId="1F778243" w14:textId="77777777" w:rsidR="002038FA" w:rsidRPr="002038FA" w:rsidRDefault="00455018" w:rsidP="002038FA">
      <w:pPr>
        <w:pStyle w:val="Heading2"/>
        <w:spacing w:before="0"/>
        <w:rPr>
          <w:rFonts w:asciiTheme="minorHAnsi" w:hAnsiTheme="minorHAnsi" w:cstheme="minorHAnsi"/>
          <w:sz w:val="28"/>
          <w:szCs w:val="28"/>
        </w:rPr>
      </w:pPr>
      <w:r>
        <w:rPr>
          <w:rFonts w:asciiTheme="minorHAnsi" w:hAnsiTheme="minorHAnsi" w:cstheme="minorHAnsi"/>
          <w:sz w:val="28"/>
          <w:szCs w:val="28"/>
        </w:rPr>
        <w:t>Governance t</w:t>
      </w:r>
      <w:r w:rsidR="0043360A" w:rsidRPr="00EA7354">
        <w:rPr>
          <w:rFonts w:asciiTheme="minorHAnsi" w:hAnsiTheme="minorHAnsi" w:cstheme="minorHAnsi"/>
          <w:sz w:val="28"/>
          <w:szCs w:val="28"/>
        </w:rPr>
        <w:t xml:space="preserve">able </w:t>
      </w:r>
    </w:p>
    <w:tbl>
      <w:tblPr>
        <w:tblStyle w:val="MediumGrid3-Accent1"/>
        <w:tblW w:w="0" w:type="auto"/>
        <w:tblInd w:w="108" w:type="dxa"/>
        <w:tblLook w:val="0480" w:firstRow="0" w:lastRow="0" w:firstColumn="1" w:lastColumn="0" w:noHBand="0" w:noVBand="1"/>
      </w:tblPr>
      <w:tblGrid>
        <w:gridCol w:w="4395"/>
        <w:gridCol w:w="2268"/>
        <w:gridCol w:w="2471"/>
      </w:tblGrid>
      <w:tr w:rsidR="0043360A" w:rsidRPr="00050DBC" w14:paraId="07EB1B74"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46CD0C0C" w14:textId="77777777" w:rsidR="0043360A" w:rsidRPr="00050DBC" w:rsidRDefault="0043360A" w:rsidP="008013B6">
            <w:pPr>
              <w:rPr>
                <w:sz w:val="20"/>
                <w:szCs w:val="20"/>
              </w:rPr>
            </w:pPr>
            <w:r w:rsidRPr="00050DBC">
              <w:rPr>
                <w:sz w:val="20"/>
                <w:szCs w:val="20"/>
              </w:rPr>
              <w:t>For Board and Board Committees:</w:t>
            </w:r>
          </w:p>
        </w:tc>
        <w:tc>
          <w:tcPr>
            <w:tcW w:w="4739" w:type="dxa"/>
            <w:gridSpan w:val="2"/>
          </w:tcPr>
          <w:p w14:paraId="4353FBAE" w14:textId="77777777"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Trust Board</w:t>
            </w:r>
          </w:p>
        </w:tc>
      </w:tr>
      <w:tr w:rsidR="0043360A" w:rsidRPr="00050DBC" w14:paraId="4C036E3B" w14:textId="77777777" w:rsidTr="00FF0EF4">
        <w:tc>
          <w:tcPr>
            <w:cnfStyle w:val="001000000000" w:firstRow="0" w:lastRow="0" w:firstColumn="1" w:lastColumn="0" w:oddVBand="0" w:evenVBand="0" w:oddHBand="0" w:evenHBand="0" w:firstRowFirstColumn="0" w:firstRowLastColumn="0" w:lastRowFirstColumn="0" w:lastRowLastColumn="0"/>
            <w:tcW w:w="4395" w:type="dxa"/>
            <w:hideMark/>
          </w:tcPr>
          <w:p w14:paraId="6188F16D" w14:textId="77777777" w:rsidR="0043360A" w:rsidRPr="00050DBC" w:rsidRDefault="0043360A" w:rsidP="008013B6">
            <w:pPr>
              <w:rPr>
                <w:sz w:val="20"/>
                <w:szCs w:val="20"/>
              </w:rPr>
            </w:pPr>
            <w:r w:rsidRPr="00050DBC">
              <w:rPr>
                <w:sz w:val="20"/>
                <w:szCs w:val="20"/>
              </w:rPr>
              <w:t>Paper sponsored by:</w:t>
            </w:r>
          </w:p>
        </w:tc>
        <w:tc>
          <w:tcPr>
            <w:tcW w:w="4739" w:type="dxa"/>
            <w:gridSpan w:val="2"/>
          </w:tcPr>
          <w:p w14:paraId="5DA2DCF4" w14:textId="5B27FB6B"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Anne Scott – </w:t>
            </w:r>
            <w:r w:rsidR="005751B4">
              <w:rPr>
                <w:sz w:val="20"/>
                <w:szCs w:val="20"/>
              </w:rPr>
              <w:t xml:space="preserve">Executive </w:t>
            </w:r>
            <w:r>
              <w:rPr>
                <w:sz w:val="20"/>
                <w:szCs w:val="20"/>
              </w:rPr>
              <w:t>Director of Nursing, AHP and Quality</w:t>
            </w:r>
          </w:p>
        </w:tc>
      </w:tr>
      <w:tr w:rsidR="0043360A" w:rsidRPr="00050DBC" w14:paraId="50E41629"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3AA8B55C" w14:textId="77777777" w:rsidR="0043360A" w:rsidRPr="00050DBC" w:rsidRDefault="0043360A" w:rsidP="008013B6">
            <w:pPr>
              <w:rPr>
                <w:sz w:val="20"/>
                <w:szCs w:val="20"/>
              </w:rPr>
            </w:pPr>
            <w:r w:rsidRPr="00050DBC">
              <w:rPr>
                <w:sz w:val="20"/>
                <w:szCs w:val="20"/>
              </w:rPr>
              <w:t>Paper authored by:</w:t>
            </w:r>
          </w:p>
        </w:tc>
        <w:tc>
          <w:tcPr>
            <w:tcW w:w="4739" w:type="dxa"/>
            <w:gridSpan w:val="2"/>
            <w:tcBorders>
              <w:top w:val="single" w:sz="6" w:space="0" w:color="FFFFFF" w:themeColor="background1"/>
              <w:left w:val="single" w:sz="6" w:space="0" w:color="FFFFFF" w:themeColor="background1"/>
              <w:bottom w:val="single" w:sz="6" w:space="0" w:color="FFFFFF" w:themeColor="background1"/>
            </w:tcBorders>
          </w:tcPr>
          <w:p w14:paraId="754261C9" w14:textId="77777777" w:rsidR="0043360A"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Amanda Hemsley – Lead Infection Prevention and Control Nurse</w:t>
            </w:r>
          </w:p>
          <w:p w14:paraId="0EAE5448" w14:textId="4D967473" w:rsidR="00FD129F" w:rsidRPr="00050DBC" w:rsidRDefault="00FD129F"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041BAB54" w14:textId="77777777" w:rsidTr="00FF0EF4">
        <w:tc>
          <w:tcPr>
            <w:cnfStyle w:val="001000000000" w:firstRow="0" w:lastRow="0" w:firstColumn="1" w:lastColumn="0" w:oddVBand="0" w:evenVBand="0" w:oddHBand="0" w:evenHBand="0" w:firstRowFirstColumn="0" w:firstRowLastColumn="0" w:lastRowFirstColumn="0" w:lastRowLastColumn="0"/>
            <w:tcW w:w="4395" w:type="dxa"/>
            <w:hideMark/>
          </w:tcPr>
          <w:p w14:paraId="59331216" w14:textId="77777777" w:rsidR="0043360A" w:rsidRPr="00050DBC" w:rsidRDefault="0043360A" w:rsidP="008013B6">
            <w:pPr>
              <w:rPr>
                <w:sz w:val="20"/>
                <w:szCs w:val="20"/>
              </w:rPr>
            </w:pPr>
            <w:r w:rsidRPr="00050DBC">
              <w:rPr>
                <w:sz w:val="20"/>
                <w:szCs w:val="20"/>
              </w:rPr>
              <w:t>Date submitted:</w:t>
            </w:r>
          </w:p>
        </w:tc>
        <w:tc>
          <w:tcPr>
            <w:tcW w:w="4739" w:type="dxa"/>
            <w:gridSpan w:val="2"/>
          </w:tcPr>
          <w:p w14:paraId="1749C51D" w14:textId="0EAC8C9D" w:rsidR="0043360A" w:rsidRPr="00050DBC" w:rsidRDefault="005751B4"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9.12.21</w:t>
            </w:r>
          </w:p>
        </w:tc>
      </w:tr>
      <w:tr w:rsidR="0043360A" w:rsidRPr="00050DBC" w14:paraId="00CA7B64"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4885510" w14:textId="77777777" w:rsidR="0043360A" w:rsidRPr="00050DBC" w:rsidRDefault="0043360A" w:rsidP="008013B6">
            <w:pPr>
              <w:rPr>
                <w:sz w:val="20"/>
                <w:szCs w:val="20"/>
              </w:rPr>
            </w:pPr>
            <w:r w:rsidRPr="00050DBC">
              <w:rPr>
                <w:sz w:val="20"/>
                <w:szCs w:val="20"/>
              </w:rPr>
              <w:t>State which Board Committee or other forum within the Trust’s governance structure, if any, have previously considered the report/this issue and the date of the relevant meeting(s):</w:t>
            </w:r>
          </w:p>
        </w:tc>
        <w:tc>
          <w:tcPr>
            <w:tcW w:w="4739" w:type="dxa"/>
            <w:gridSpan w:val="2"/>
          </w:tcPr>
          <w:p w14:paraId="6D340C58" w14:textId="77777777"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Direct to trust board</w:t>
            </w:r>
          </w:p>
        </w:tc>
      </w:tr>
      <w:tr w:rsidR="0043360A" w:rsidRPr="00050DBC" w14:paraId="3B68A078" w14:textId="77777777" w:rsidTr="00FF0EF4">
        <w:tc>
          <w:tcPr>
            <w:cnfStyle w:val="001000000000" w:firstRow="0" w:lastRow="0" w:firstColumn="1" w:lastColumn="0" w:oddVBand="0" w:evenVBand="0" w:oddHBand="0" w:evenHBand="0" w:firstRowFirstColumn="0" w:firstRowLastColumn="0" w:lastRowFirstColumn="0" w:lastRowLastColumn="0"/>
            <w:tcW w:w="4395" w:type="dxa"/>
          </w:tcPr>
          <w:p w14:paraId="72EC62B3" w14:textId="77777777" w:rsidR="0043360A" w:rsidRPr="00050DBC" w:rsidRDefault="0043360A" w:rsidP="008013B6">
            <w:pPr>
              <w:rPr>
                <w:sz w:val="20"/>
                <w:szCs w:val="20"/>
              </w:rPr>
            </w:pPr>
            <w:r w:rsidRPr="00050DBC">
              <w:rPr>
                <w:sz w:val="20"/>
                <w:szCs w:val="20"/>
              </w:rPr>
              <w:t>If considered elsewhere, state the level of assurance gained by the Board Committee or other forum i.e. assured/ partially assured / not assured:</w:t>
            </w:r>
          </w:p>
        </w:tc>
        <w:tc>
          <w:tcPr>
            <w:tcW w:w="4739" w:type="dxa"/>
            <w:gridSpan w:val="2"/>
          </w:tcPr>
          <w:p w14:paraId="71934FC8" w14:textId="77777777" w:rsidR="0043360A" w:rsidRPr="00050DBC" w:rsidRDefault="0043360A" w:rsidP="008013B6">
            <w:pPr>
              <w:cnfStyle w:val="000000000000" w:firstRow="0" w:lastRow="0" w:firstColumn="0" w:lastColumn="0" w:oddVBand="0" w:evenVBand="0" w:oddHBand="0" w:evenHBand="0" w:firstRowFirstColumn="0" w:firstRowLastColumn="0" w:lastRowFirstColumn="0" w:lastRowLastColumn="0"/>
              <w:rPr>
                <w:sz w:val="20"/>
                <w:szCs w:val="20"/>
              </w:rPr>
            </w:pPr>
          </w:p>
        </w:tc>
      </w:tr>
      <w:tr w:rsidR="0043360A" w:rsidRPr="00050DBC" w14:paraId="34C741F8"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7E0FC54" w14:textId="77777777" w:rsidR="0043360A" w:rsidRPr="00050DBC" w:rsidRDefault="0043360A" w:rsidP="008013B6">
            <w:pPr>
              <w:rPr>
                <w:sz w:val="20"/>
                <w:szCs w:val="20"/>
              </w:rPr>
            </w:pPr>
            <w:r w:rsidRPr="00050DBC">
              <w:rPr>
                <w:sz w:val="20"/>
                <w:szCs w:val="20"/>
              </w:rPr>
              <w:t>State whether this is a ‘one off’ report or, if not, when an update report will be provided for the purposes of corporate Agenda planning</w:t>
            </w:r>
            <w:r w:rsidRPr="00050DBC" w:rsidDel="00BD629A">
              <w:rPr>
                <w:sz w:val="20"/>
                <w:szCs w:val="20"/>
              </w:rPr>
              <w:t xml:space="preserve"> </w:t>
            </w:r>
          </w:p>
        </w:tc>
        <w:tc>
          <w:tcPr>
            <w:tcW w:w="4739" w:type="dxa"/>
            <w:gridSpan w:val="2"/>
          </w:tcPr>
          <w:p w14:paraId="4D3CE919" w14:textId="77777777"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 monthly report</w:t>
            </w:r>
          </w:p>
        </w:tc>
      </w:tr>
      <w:tr w:rsidR="0043360A" w:rsidRPr="00050DBC" w14:paraId="1A553E73" w14:textId="77777777" w:rsidTr="00443738">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5B3A916C" w14:textId="77777777" w:rsidR="0043360A" w:rsidRPr="00050DBC" w:rsidRDefault="001F1E8B" w:rsidP="00443738">
            <w:pPr>
              <w:rPr>
                <w:sz w:val="20"/>
                <w:szCs w:val="20"/>
              </w:rPr>
            </w:pPr>
            <w:r>
              <w:rPr>
                <w:sz w:val="20"/>
                <w:szCs w:val="20"/>
              </w:rPr>
              <w:t>S</w:t>
            </w:r>
            <w:r w:rsidR="00443738">
              <w:rPr>
                <w:sz w:val="20"/>
                <w:szCs w:val="20"/>
              </w:rPr>
              <w:t>TEP up to GREAT</w:t>
            </w:r>
            <w:r w:rsidR="0043360A" w:rsidRPr="00050DBC">
              <w:rPr>
                <w:sz w:val="20"/>
                <w:szCs w:val="20"/>
              </w:rPr>
              <w:t xml:space="preserve"> strategic alignment*:</w:t>
            </w: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70E9BD44" w14:textId="77777777" w:rsidR="0043360A" w:rsidRPr="00050DBC" w:rsidRDefault="00443738" w:rsidP="004437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1E1F"/>
                <w:sz w:val="20"/>
                <w:szCs w:val="20"/>
              </w:rPr>
            </w:pPr>
            <w:r>
              <w:rPr>
                <w:rStyle w:val="A5"/>
                <w:rFonts w:asciiTheme="minorHAnsi" w:hAnsiTheme="minorHAnsi" w:cstheme="minorHAnsi"/>
                <w:sz w:val="20"/>
                <w:szCs w:val="20"/>
              </w:rPr>
              <w:t xml:space="preserve">High </w:t>
            </w:r>
            <w:r w:rsidRPr="00443738">
              <w:rPr>
                <w:rStyle w:val="A5"/>
                <w:rFonts w:asciiTheme="minorHAnsi" w:hAnsiTheme="minorHAnsi" w:cstheme="minorHAnsi"/>
                <w:b/>
                <w:sz w:val="20"/>
                <w:szCs w:val="20"/>
              </w:rPr>
              <w:t>S</w:t>
            </w:r>
            <w:r>
              <w:rPr>
                <w:rStyle w:val="A5"/>
                <w:rFonts w:asciiTheme="minorHAnsi" w:hAnsiTheme="minorHAnsi" w:cstheme="minorHAnsi"/>
                <w:sz w:val="20"/>
                <w:szCs w:val="20"/>
              </w:rPr>
              <w:t>tandards</w:t>
            </w:r>
            <w:r w:rsidR="0043360A" w:rsidRPr="00050DBC">
              <w:rPr>
                <w:rStyle w:val="A5"/>
                <w:rFonts w:asciiTheme="minorHAnsi" w:hAnsiTheme="minorHAnsi" w:cstheme="minorHAnsi"/>
                <w:sz w:val="20"/>
                <w:szCs w:val="20"/>
              </w:rPr>
              <w:t xml:space="preserve"> </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520EBC28"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077DFDAC" w14:textId="77777777" w:rsidTr="0044373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5" w:type="dxa"/>
          </w:tcPr>
          <w:p w14:paraId="5349752D" w14:textId="77777777" w:rsidR="0043360A" w:rsidRPr="00050DBC" w:rsidRDefault="0043360A" w:rsidP="008013B6">
            <w:pPr>
              <w:rPr>
                <w:sz w:val="20"/>
                <w:szCs w:val="20"/>
              </w:rPr>
            </w:pPr>
          </w:p>
        </w:tc>
        <w:tc>
          <w:tcPr>
            <w:tcW w:w="2268" w:type="dxa"/>
            <w:hideMark/>
          </w:tcPr>
          <w:p w14:paraId="4421306A" w14:textId="77777777" w:rsidR="0043360A" w:rsidRPr="00050DBC"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T</w:t>
            </w:r>
            <w:r w:rsidRPr="00443738">
              <w:rPr>
                <w:rStyle w:val="A5"/>
                <w:rFonts w:asciiTheme="minorHAnsi" w:hAnsiTheme="minorHAnsi" w:cstheme="minorHAnsi"/>
                <w:bCs/>
                <w:sz w:val="20"/>
                <w:szCs w:val="20"/>
              </w:rPr>
              <w:t>ransformation</w:t>
            </w:r>
          </w:p>
        </w:tc>
        <w:tc>
          <w:tcPr>
            <w:tcW w:w="2471" w:type="dxa"/>
          </w:tcPr>
          <w:p w14:paraId="484B3005"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18962DD1" w14:textId="77777777" w:rsidTr="00443738">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tcPr>
          <w:p w14:paraId="07795866" w14:textId="77777777" w:rsidR="0043360A" w:rsidRPr="00050DBC" w:rsidRDefault="0043360A" w:rsidP="008013B6">
            <w:pPr>
              <w:rPr>
                <w:sz w:val="20"/>
                <w:szCs w:val="20"/>
              </w:rPr>
            </w:pP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540FB46" w14:textId="77777777" w:rsidR="0043360A" w:rsidRPr="00050DBC" w:rsidRDefault="00443738" w:rsidP="00443738">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E</w:t>
            </w:r>
            <w:r w:rsidRPr="00443738">
              <w:rPr>
                <w:rStyle w:val="A5"/>
                <w:rFonts w:asciiTheme="minorHAnsi" w:hAnsiTheme="minorHAnsi" w:cstheme="minorHAnsi"/>
                <w:bCs/>
                <w:sz w:val="20"/>
                <w:szCs w:val="20"/>
              </w:rPr>
              <w:t>nvironments</w:t>
            </w:r>
            <w:r w:rsidR="0043360A" w:rsidRPr="00050DBC">
              <w:rPr>
                <w:rStyle w:val="A5"/>
                <w:rFonts w:asciiTheme="minorHAnsi" w:hAnsiTheme="minorHAnsi" w:cstheme="minorHAnsi"/>
                <w:sz w:val="20"/>
                <w:szCs w:val="20"/>
              </w:rPr>
              <w:t xml:space="preserve"> </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38F48B71"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75CCF76D"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4687481" w14:textId="77777777" w:rsidR="0043360A" w:rsidRPr="00050DBC" w:rsidRDefault="0043360A" w:rsidP="008013B6">
            <w:pPr>
              <w:rPr>
                <w:sz w:val="20"/>
                <w:szCs w:val="20"/>
              </w:rPr>
            </w:pPr>
          </w:p>
        </w:tc>
        <w:tc>
          <w:tcPr>
            <w:tcW w:w="2268" w:type="dxa"/>
            <w:hideMark/>
          </w:tcPr>
          <w:p w14:paraId="464A60F0" w14:textId="77777777" w:rsidR="0043360A"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P</w:t>
            </w:r>
            <w:r>
              <w:rPr>
                <w:rStyle w:val="A5"/>
                <w:rFonts w:asciiTheme="minorHAnsi" w:hAnsiTheme="minorHAnsi" w:cstheme="minorHAnsi"/>
                <w:bCs/>
                <w:sz w:val="20"/>
                <w:szCs w:val="20"/>
              </w:rPr>
              <w:t>atient Involvement</w:t>
            </w:r>
          </w:p>
        </w:tc>
        <w:tc>
          <w:tcPr>
            <w:tcW w:w="2471" w:type="dxa"/>
          </w:tcPr>
          <w:p w14:paraId="2E75BC7E"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09BECCF5"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533CFFA4" w14:textId="77777777" w:rsidR="0043360A" w:rsidRPr="00443738" w:rsidRDefault="0043360A" w:rsidP="008013B6">
            <w:pPr>
              <w:rPr>
                <w:b w:val="0"/>
                <w:sz w:val="20"/>
                <w:szCs w:val="20"/>
              </w:rPr>
            </w:pPr>
          </w:p>
        </w:tc>
        <w:tc>
          <w:tcPr>
            <w:tcW w:w="2268" w:type="dxa"/>
          </w:tcPr>
          <w:p w14:paraId="662817E8" w14:textId="77777777" w:rsidR="0043360A"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bCs/>
                <w:sz w:val="20"/>
                <w:szCs w:val="20"/>
              </w:rPr>
            </w:pPr>
            <w:r w:rsidRPr="00443738">
              <w:rPr>
                <w:rStyle w:val="A5"/>
                <w:rFonts w:asciiTheme="minorHAnsi" w:hAnsiTheme="minorHAnsi" w:cstheme="minorHAnsi"/>
                <w:sz w:val="20"/>
                <w:szCs w:val="20"/>
              </w:rPr>
              <w:t xml:space="preserve">Well </w:t>
            </w:r>
            <w:r w:rsidRPr="00443738">
              <w:rPr>
                <w:rStyle w:val="A5"/>
                <w:rFonts w:asciiTheme="minorHAnsi" w:hAnsiTheme="minorHAnsi" w:cstheme="minorHAnsi"/>
                <w:b/>
                <w:sz w:val="20"/>
                <w:szCs w:val="20"/>
              </w:rPr>
              <w:t>G</w:t>
            </w:r>
            <w:r w:rsidRPr="00443738">
              <w:rPr>
                <w:rStyle w:val="A5"/>
                <w:rFonts w:asciiTheme="minorHAnsi" w:hAnsiTheme="minorHAnsi" w:cstheme="minorHAnsi"/>
                <w:sz w:val="20"/>
                <w:szCs w:val="20"/>
              </w:rPr>
              <w:t>overned</w:t>
            </w:r>
          </w:p>
        </w:tc>
        <w:tc>
          <w:tcPr>
            <w:tcW w:w="2471" w:type="dxa"/>
          </w:tcPr>
          <w:p w14:paraId="2B2A1D9D"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1F1E8B" w:rsidRPr="00050DBC" w14:paraId="12C88204"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77C979F7" w14:textId="77777777" w:rsidR="001F1E8B" w:rsidRPr="00050DBC" w:rsidRDefault="001F1E8B" w:rsidP="008013B6">
            <w:pPr>
              <w:rPr>
                <w:sz w:val="20"/>
                <w:szCs w:val="20"/>
              </w:rPr>
            </w:pPr>
          </w:p>
        </w:tc>
        <w:tc>
          <w:tcPr>
            <w:tcW w:w="2268" w:type="dxa"/>
          </w:tcPr>
          <w:p w14:paraId="0758E3F5" w14:textId="77777777" w:rsidR="001F1E8B"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sz w:val="20"/>
                <w:szCs w:val="20"/>
              </w:rPr>
              <w:t xml:space="preserve">Single Patient </w:t>
            </w:r>
            <w:r w:rsidRPr="00443738">
              <w:rPr>
                <w:rStyle w:val="A5"/>
                <w:rFonts w:asciiTheme="minorHAnsi" w:hAnsiTheme="minorHAnsi" w:cstheme="minorHAnsi"/>
                <w:b/>
                <w:sz w:val="20"/>
                <w:szCs w:val="20"/>
              </w:rPr>
              <w:t>R</w:t>
            </w:r>
            <w:r w:rsidRPr="00443738">
              <w:rPr>
                <w:rStyle w:val="A5"/>
                <w:rFonts w:asciiTheme="minorHAnsi" w:hAnsiTheme="minorHAnsi" w:cstheme="minorHAnsi"/>
                <w:sz w:val="20"/>
                <w:szCs w:val="20"/>
              </w:rPr>
              <w:t>ecord</w:t>
            </w:r>
          </w:p>
        </w:tc>
        <w:tc>
          <w:tcPr>
            <w:tcW w:w="2471" w:type="dxa"/>
          </w:tcPr>
          <w:p w14:paraId="782DDEC7" w14:textId="77777777" w:rsidR="001F1E8B" w:rsidRPr="00050DBC" w:rsidRDefault="001F1E8B"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1F1E8B" w:rsidRPr="00050DBC" w14:paraId="263D3FA7"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31308189" w14:textId="77777777" w:rsidR="001F1E8B" w:rsidRPr="00050DBC" w:rsidRDefault="001F1E8B" w:rsidP="008013B6">
            <w:pPr>
              <w:rPr>
                <w:sz w:val="20"/>
                <w:szCs w:val="20"/>
              </w:rPr>
            </w:pPr>
          </w:p>
        </w:tc>
        <w:tc>
          <w:tcPr>
            <w:tcW w:w="2268" w:type="dxa"/>
          </w:tcPr>
          <w:p w14:paraId="2CE63372" w14:textId="77777777" w:rsidR="001F1E8B"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b/>
                <w:sz w:val="20"/>
                <w:szCs w:val="20"/>
              </w:rPr>
              <w:t>E</w:t>
            </w:r>
            <w:r w:rsidRPr="00443738">
              <w:rPr>
                <w:rStyle w:val="A5"/>
                <w:rFonts w:asciiTheme="minorHAnsi" w:hAnsiTheme="minorHAnsi" w:cstheme="minorHAnsi"/>
                <w:sz w:val="20"/>
                <w:szCs w:val="20"/>
              </w:rPr>
              <w:t>quality, Leadership, Culture</w:t>
            </w:r>
          </w:p>
        </w:tc>
        <w:tc>
          <w:tcPr>
            <w:tcW w:w="2471" w:type="dxa"/>
          </w:tcPr>
          <w:p w14:paraId="16506B9E" w14:textId="77777777" w:rsidR="001F1E8B" w:rsidRPr="00050DBC" w:rsidRDefault="001F1E8B" w:rsidP="008013B6">
            <w:pPr>
              <w:cnfStyle w:val="000000000000" w:firstRow="0" w:lastRow="0" w:firstColumn="0" w:lastColumn="0" w:oddVBand="0" w:evenVBand="0" w:oddHBand="0" w:evenHBand="0" w:firstRowFirstColumn="0" w:firstRowLastColumn="0" w:lastRowFirstColumn="0" w:lastRowLastColumn="0"/>
              <w:rPr>
                <w:sz w:val="20"/>
                <w:szCs w:val="20"/>
              </w:rPr>
            </w:pPr>
          </w:p>
        </w:tc>
      </w:tr>
      <w:tr w:rsidR="001F1E8B" w:rsidRPr="00050DBC" w14:paraId="55260E77"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16BFA670" w14:textId="77777777" w:rsidR="001F1E8B" w:rsidRPr="00050DBC" w:rsidRDefault="001F1E8B" w:rsidP="008013B6">
            <w:pPr>
              <w:rPr>
                <w:sz w:val="20"/>
                <w:szCs w:val="20"/>
              </w:rPr>
            </w:pPr>
          </w:p>
        </w:tc>
        <w:tc>
          <w:tcPr>
            <w:tcW w:w="2268" w:type="dxa"/>
          </w:tcPr>
          <w:p w14:paraId="5160D613" w14:textId="77777777" w:rsidR="001F1E8B"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b/>
                <w:sz w:val="20"/>
                <w:szCs w:val="20"/>
              </w:rPr>
              <w:t>A</w:t>
            </w:r>
            <w:r w:rsidRPr="00443738">
              <w:rPr>
                <w:rStyle w:val="A5"/>
                <w:rFonts w:asciiTheme="minorHAnsi" w:hAnsiTheme="minorHAnsi" w:cstheme="minorHAnsi"/>
                <w:sz w:val="20"/>
                <w:szCs w:val="20"/>
              </w:rPr>
              <w:t>ccess to Services</w:t>
            </w:r>
          </w:p>
        </w:tc>
        <w:tc>
          <w:tcPr>
            <w:tcW w:w="2471" w:type="dxa"/>
          </w:tcPr>
          <w:p w14:paraId="0B018A5F" w14:textId="77777777" w:rsidR="001F1E8B" w:rsidRPr="00050DBC" w:rsidRDefault="001F1E8B"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43738" w:rsidRPr="00050DBC" w14:paraId="343E3EE8"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3005CEA9" w14:textId="77777777" w:rsidR="00443738" w:rsidRPr="00050DBC" w:rsidRDefault="00443738" w:rsidP="008013B6">
            <w:pPr>
              <w:rPr>
                <w:sz w:val="20"/>
                <w:szCs w:val="20"/>
              </w:rPr>
            </w:pPr>
          </w:p>
        </w:tc>
        <w:tc>
          <w:tcPr>
            <w:tcW w:w="2268" w:type="dxa"/>
          </w:tcPr>
          <w:p w14:paraId="1F0032C3" w14:textId="77777777" w:rsidR="00BD3855"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b/>
                <w:sz w:val="20"/>
                <w:szCs w:val="20"/>
              </w:rPr>
              <w:t>T</w:t>
            </w:r>
            <w:r w:rsidRPr="00443738">
              <w:rPr>
                <w:rStyle w:val="A5"/>
                <w:rFonts w:asciiTheme="minorHAnsi" w:hAnsiTheme="minorHAnsi" w:cstheme="minorHAnsi"/>
                <w:sz w:val="20"/>
                <w:szCs w:val="20"/>
              </w:rPr>
              <w:t>rustwide</w:t>
            </w:r>
          </w:p>
          <w:p w14:paraId="69D604A8" w14:textId="4EF16D70" w:rsidR="00443738"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sz w:val="20"/>
                <w:szCs w:val="20"/>
              </w:rPr>
              <w:t xml:space="preserve"> Quality Improvement</w:t>
            </w:r>
          </w:p>
        </w:tc>
        <w:tc>
          <w:tcPr>
            <w:tcW w:w="2471" w:type="dxa"/>
          </w:tcPr>
          <w:p w14:paraId="527D8403" w14:textId="77777777" w:rsidR="00443738"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05105C0B"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53001FA0" w14:textId="77777777" w:rsidR="0043360A" w:rsidRPr="00050DBC" w:rsidRDefault="0043360A" w:rsidP="008013B6">
            <w:pPr>
              <w:rPr>
                <w:sz w:val="20"/>
                <w:szCs w:val="20"/>
              </w:rPr>
            </w:pPr>
            <w:r w:rsidRPr="00050DBC">
              <w:rPr>
                <w:sz w:val="20"/>
                <w:szCs w:val="20"/>
              </w:rPr>
              <w:t>Organisational Risk Register considerations:</w:t>
            </w: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46CA12B1"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r w:rsidRPr="00050DBC">
              <w:rPr>
                <w:sz w:val="20"/>
                <w:szCs w:val="20"/>
              </w:rPr>
              <w:t>List risk number and title of risk</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513BFAC6" w14:textId="77777777" w:rsidR="0043360A" w:rsidRPr="00050DBC" w:rsidRDefault="002475A8"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5E1097" w:rsidRPr="00050DBC" w14:paraId="036DB602" w14:textId="77777777" w:rsidTr="00FF0EF4">
        <w:tc>
          <w:tcPr>
            <w:cnfStyle w:val="001000000000" w:firstRow="0" w:lastRow="0" w:firstColumn="1" w:lastColumn="0" w:oddVBand="0" w:evenVBand="0" w:oddHBand="0" w:evenHBand="0" w:firstRowFirstColumn="0" w:firstRowLastColumn="0" w:lastRowFirstColumn="0" w:lastRowLastColumn="0"/>
            <w:tcW w:w="4395" w:type="dxa"/>
          </w:tcPr>
          <w:p w14:paraId="5FA7CADD" w14:textId="77777777" w:rsidR="005E1097" w:rsidRPr="00050DBC" w:rsidRDefault="005E1097" w:rsidP="001F1E8B">
            <w:pPr>
              <w:rPr>
                <w:sz w:val="20"/>
                <w:szCs w:val="20"/>
              </w:rPr>
            </w:pPr>
            <w:r>
              <w:rPr>
                <w:sz w:val="20"/>
                <w:szCs w:val="20"/>
              </w:rPr>
              <w:t xml:space="preserve">Is the decision required consistent with </w:t>
            </w:r>
            <w:r w:rsidR="001F1E8B">
              <w:rPr>
                <w:sz w:val="20"/>
                <w:szCs w:val="20"/>
              </w:rPr>
              <w:t>LPT</w:t>
            </w:r>
            <w:r>
              <w:rPr>
                <w:sz w:val="20"/>
                <w:szCs w:val="20"/>
              </w:rPr>
              <w:t>’s risk appetite:</w:t>
            </w:r>
          </w:p>
        </w:tc>
        <w:tc>
          <w:tcPr>
            <w:tcW w:w="4739" w:type="dxa"/>
            <w:gridSpan w:val="2"/>
          </w:tcPr>
          <w:p w14:paraId="431E7B51" w14:textId="77777777" w:rsidR="005E1097" w:rsidRPr="00050DBC" w:rsidRDefault="002475A8"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3360A" w:rsidRPr="00050DBC" w14:paraId="6EB37349"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hideMark/>
          </w:tcPr>
          <w:p w14:paraId="22EC2D91" w14:textId="77777777" w:rsidR="0043360A" w:rsidRPr="00050DBC" w:rsidRDefault="0043360A" w:rsidP="008013B6">
            <w:pPr>
              <w:rPr>
                <w:sz w:val="20"/>
                <w:szCs w:val="20"/>
              </w:rPr>
            </w:pPr>
            <w:r w:rsidRPr="00050DBC">
              <w:rPr>
                <w:sz w:val="20"/>
                <w:szCs w:val="20"/>
              </w:rPr>
              <w:t>False and misleading information (FOMI) considerations:</w:t>
            </w:r>
          </w:p>
        </w:tc>
        <w:tc>
          <w:tcPr>
            <w:tcW w:w="4739" w:type="dxa"/>
            <w:gridSpan w:val="2"/>
          </w:tcPr>
          <w:p w14:paraId="599CC80D" w14:textId="77777777" w:rsidR="0043360A" w:rsidRPr="00050DBC" w:rsidRDefault="002475A8"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8013B6" w:rsidRPr="00050DBC" w14:paraId="4D608EE9" w14:textId="77777777" w:rsidTr="00FF0EF4">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tcPr>
          <w:p w14:paraId="755AAC2E" w14:textId="77777777" w:rsidR="008013B6" w:rsidRPr="00050DBC" w:rsidRDefault="008013B6" w:rsidP="008013B6">
            <w:pPr>
              <w:rPr>
                <w:sz w:val="20"/>
                <w:szCs w:val="20"/>
              </w:rPr>
            </w:pPr>
            <w:r w:rsidRPr="008013B6">
              <w:rPr>
                <w:sz w:val="20"/>
                <w:szCs w:val="20"/>
              </w:rPr>
              <w:t>Positive confirmation that the content does not risk the safety of patients or the public</w:t>
            </w:r>
          </w:p>
        </w:tc>
        <w:tc>
          <w:tcPr>
            <w:tcW w:w="4739" w:type="dxa"/>
            <w:gridSpan w:val="2"/>
            <w:tcBorders>
              <w:top w:val="single" w:sz="6" w:space="0" w:color="FFFFFF" w:themeColor="background1"/>
              <w:left w:val="single" w:sz="6" w:space="0" w:color="FFFFFF" w:themeColor="background1"/>
            </w:tcBorders>
          </w:tcPr>
          <w:p w14:paraId="328C59DF" w14:textId="77777777" w:rsidR="008013B6" w:rsidRPr="00050DBC" w:rsidRDefault="002475A8"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3360A" w:rsidRPr="00050DBC" w14:paraId="766ACF40"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0C5764C1" w14:textId="77777777" w:rsidR="0043360A" w:rsidRPr="00050DBC" w:rsidRDefault="0043360A" w:rsidP="008013B6">
            <w:pPr>
              <w:rPr>
                <w:sz w:val="20"/>
                <w:szCs w:val="20"/>
              </w:rPr>
            </w:pPr>
            <w:r w:rsidRPr="00050DBC">
              <w:rPr>
                <w:sz w:val="20"/>
                <w:szCs w:val="20"/>
              </w:rPr>
              <w:t>Equality considerations:</w:t>
            </w:r>
          </w:p>
        </w:tc>
        <w:tc>
          <w:tcPr>
            <w:tcW w:w="4739" w:type="dxa"/>
            <w:gridSpan w:val="2"/>
            <w:tcBorders>
              <w:top w:val="single" w:sz="6" w:space="0" w:color="FFFFFF" w:themeColor="background1"/>
              <w:left w:val="single" w:sz="6" w:space="0" w:color="FFFFFF" w:themeColor="background1"/>
            </w:tcBorders>
          </w:tcPr>
          <w:p w14:paraId="0FC0E701"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bl>
    <w:p w14:paraId="7A9DCBCC" w14:textId="77777777" w:rsidR="005E1097" w:rsidRDefault="005E1097" w:rsidP="008013B6">
      <w:pPr>
        <w:rPr>
          <w:i/>
        </w:rPr>
      </w:pPr>
    </w:p>
    <w:p w14:paraId="142A3CA3" w14:textId="1F577D07" w:rsidR="009B6427" w:rsidRPr="00936777" w:rsidRDefault="0043360A" w:rsidP="00936777">
      <w:pPr>
        <w:rPr>
          <w:i/>
        </w:rPr>
      </w:pPr>
      <w:r w:rsidRPr="0053357B">
        <w:rPr>
          <w:i/>
        </w:rPr>
        <w:t xml:space="preserve">Version </w:t>
      </w:r>
      <w:r w:rsidR="001F1E8B">
        <w:rPr>
          <w:i/>
        </w:rPr>
        <w:t>1</w:t>
      </w:r>
      <w:r w:rsidRPr="0053357B">
        <w:rPr>
          <w:i/>
        </w:rPr>
        <w:t>.0</w:t>
      </w:r>
      <w:r w:rsidR="009B6427" w:rsidRPr="009B6427">
        <w:rPr>
          <w:rFonts w:ascii="Calibri" w:eastAsia="Calibri" w:hAnsi="Calibri" w:cs="Times New Roman"/>
          <w:b/>
          <w:bCs/>
          <w:noProof/>
          <w:sz w:val="24"/>
          <w:szCs w:val="24"/>
          <w:lang w:eastAsia="en-GB"/>
        </w:rPr>
        <mc:AlternateContent>
          <mc:Choice Requires="wps">
            <w:drawing>
              <wp:anchor distT="45720" distB="45720" distL="114300" distR="114300" simplePos="0" relativeHeight="251712512" behindDoc="1" locked="0" layoutInCell="1" allowOverlap="1" wp14:anchorId="171FD374" wp14:editId="3AFFC0D0">
                <wp:simplePos x="0" y="0"/>
                <wp:positionH relativeFrom="column">
                  <wp:posOffset>-3175</wp:posOffset>
                </wp:positionH>
                <wp:positionV relativeFrom="paragraph">
                  <wp:posOffset>9525</wp:posOffset>
                </wp:positionV>
                <wp:extent cx="1031240" cy="276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76225"/>
                        </a:xfrm>
                        <a:prstGeom prst="rect">
                          <a:avLst/>
                        </a:prstGeom>
                        <a:solidFill>
                          <a:srgbClr val="FFFFFF"/>
                        </a:solidFill>
                        <a:ln w="9525">
                          <a:noFill/>
                          <a:miter lim="800000"/>
                          <a:headEnd/>
                          <a:tailEnd/>
                        </a:ln>
                      </wps:spPr>
                      <wps:txbx>
                        <w:txbxContent>
                          <w:p w14:paraId="4D57F5AC" w14:textId="6CE73E63" w:rsidR="007344B6" w:rsidRPr="009B6427" w:rsidRDefault="007344B6" w:rsidP="009B6427">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FD374" id="_x0000_t202" coordsize="21600,21600" o:spt="202" path="m,l,21600r21600,l21600,xe">
                <v:stroke joinstyle="miter"/>
                <v:path gradientshapeok="t" o:connecttype="rect"/>
              </v:shapetype>
              <v:shape id="Text Box 2" o:spid="_x0000_s1026" type="#_x0000_t202" style="position:absolute;margin-left:-.25pt;margin-top:.75pt;width:81.2pt;height:21.7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" stroked="f">
                <v:textbox>
                  <w:txbxContent>
                    <w:p w14:paraId="4D57F5AC" w14:textId="6CE73E63" w:rsidR="007344B6" w:rsidRPr="009B6427" w:rsidRDefault="007344B6" w:rsidP="009B6427">
                      <w:pPr>
                        <w:rPr>
                          <w:rFonts w:ascii="Arial" w:hAnsi="Arial" w:cs="Arial"/>
                          <w:b/>
                          <w:bCs/>
                          <w:sz w:val="24"/>
                          <w:szCs w:val="24"/>
                        </w:rPr>
                      </w:pPr>
                    </w:p>
                  </w:txbxContent>
                </v:textbox>
              </v:shape>
            </w:pict>
          </mc:Fallback>
        </mc:AlternateContent>
      </w:r>
    </w:p>
    <w:sectPr w:rsidR="009B6427" w:rsidRPr="00936777" w:rsidSect="002B6695">
      <w:headerReference w:type="default" r:id="rId10"/>
      <w:footerReference w:type="default" r:id="rId11"/>
      <w:pgSz w:w="11910" w:h="16840"/>
      <w:pgMar w:top="600" w:right="4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A197" w14:textId="77777777" w:rsidR="007344B6" w:rsidRDefault="007344B6">
      <w:pPr>
        <w:spacing w:after="0" w:line="240" w:lineRule="auto"/>
      </w:pPr>
      <w:r>
        <w:separator/>
      </w:r>
    </w:p>
  </w:endnote>
  <w:endnote w:type="continuationSeparator" w:id="0">
    <w:p w14:paraId="60856A13" w14:textId="77777777" w:rsidR="007344B6" w:rsidRDefault="0073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55 Roman">
    <w:altName w:val="Cambria"/>
    <w:panose1 w:val="00000000000000000000"/>
    <w:charset w:val="00"/>
    <w:family w:val="swiss"/>
    <w:notTrueType/>
    <w:pitch w:val="variable"/>
    <w:sig w:usb0="800000AF" w:usb1="4000204A"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DS Transpor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43810"/>
      <w:docPartObj>
        <w:docPartGallery w:val="Page Numbers (Bottom of Page)"/>
        <w:docPartUnique/>
      </w:docPartObj>
    </w:sdtPr>
    <w:sdtEndPr>
      <w:rPr>
        <w:noProof/>
      </w:rPr>
    </w:sdtEndPr>
    <w:sdtContent>
      <w:p w14:paraId="37E5B358" w14:textId="77777777" w:rsidR="007344B6" w:rsidRDefault="007344B6">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021E189B" w14:textId="77777777" w:rsidR="007344B6" w:rsidRDefault="007344B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7831" w14:textId="77777777" w:rsidR="007344B6" w:rsidRDefault="007344B6">
      <w:pPr>
        <w:spacing w:after="0" w:line="240" w:lineRule="auto"/>
      </w:pPr>
      <w:r>
        <w:separator/>
      </w:r>
    </w:p>
  </w:footnote>
  <w:footnote w:type="continuationSeparator" w:id="0">
    <w:p w14:paraId="3E5E5995" w14:textId="77777777" w:rsidR="007344B6" w:rsidRDefault="0073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5FE0" w14:textId="77777777" w:rsidR="007344B6" w:rsidRDefault="0073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A85"/>
    <w:multiLevelType w:val="hybridMultilevel"/>
    <w:tmpl w:val="7AD832F2"/>
    <w:lvl w:ilvl="0" w:tplc="2C7850FE">
      <w:start w:val="1"/>
      <w:numFmt w:val="lowerLetter"/>
      <w:lvlText w:val="%1)"/>
      <w:lvlJc w:val="left"/>
      <w:pPr>
        <w:ind w:left="1799" w:hanging="360"/>
      </w:pPr>
      <w:rPr>
        <w:rFonts w:hint="default"/>
      </w:r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1" w15:restartNumberingAfterBreak="0">
    <w:nsid w:val="0A312514"/>
    <w:multiLevelType w:val="hybridMultilevel"/>
    <w:tmpl w:val="6E96E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2562F1"/>
    <w:multiLevelType w:val="hybridMultilevel"/>
    <w:tmpl w:val="19D21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4065EF"/>
    <w:multiLevelType w:val="hybridMultilevel"/>
    <w:tmpl w:val="0FE080E0"/>
    <w:lvl w:ilvl="0" w:tplc="08090003">
      <w:start w:val="1"/>
      <w:numFmt w:val="bullet"/>
      <w:lvlText w:val="o"/>
      <w:lvlJc w:val="left"/>
      <w:pPr>
        <w:ind w:left="1439" w:hanging="360"/>
      </w:pPr>
      <w:rPr>
        <w:rFonts w:ascii="Courier New" w:hAnsi="Courier New" w:cs="Courier New"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4" w15:restartNumberingAfterBreak="0">
    <w:nsid w:val="12C00D3B"/>
    <w:multiLevelType w:val="hybridMultilevel"/>
    <w:tmpl w:val="997C9E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9B57E7"/>
    <w:multiLevelType w:val="hybridMultilevel"/>
    <w:tmpl w:val="EE748D7A"/>
    <w:lvl w:ilvl="0" w:tplc="EA94C7DA">
      <w:start w:val="1"/>
      <w:numFmt w:val="decimal"/>
      <w:lvlText w:val="%1."/>
      <w:lvlJc w:val="left"/>
      <w:pPr>
        <w:ind w:left="1040" w:hanging="401"/>
      </w:pPr>
      <w:rPr>
        <w:rFonts w:ascii="Arial" w:eastAsia="Arial" w:hAnsi="Arial" w:hint="default"/>
        <w:color w:val="005EB8"/>
        <w:sz w:val="36"/>
        <w:szCs w:val="36"/>
      </w:rPr>
    </w:lvl>
    <w:lvl w:ilvl="1" w:tplc="80026FEA">
      <w:start w:val="1"/>
      <w:numFmt w:val="bullet"/>
      <w:lvlText w:val="•"/>
      <w:lvlJc w:val="left"/>
      <w:pPr>
        <w:ind w:left="2089" w:hanging="401"/>
      </w:pPr>
      <w:rPr>
        <w:rFonts w:hint="default"/>
      </w:rPr>
    </w:lvl>
    <w:lvl w:ilvl="2" w:tplc="EFF4F86A">
      <w:start w:val="1"/>
      <w:numFmt w:val="bullet"/>
      <w:lvlText w:val="•"/>
      <w:lvlJc w:val="left"/>
      <w:pPr>
        <w:ind w:left="3138" w:hanging="401"/>
      </w:pPr>
      <w:rPr>
        <w:rFonts w:hint="default"/>
      </w:rPr>
    </w:lvl>
    <w:lvl w:ilvl="3" w:tplc="7D10374C">
      <w:start w:val="1"/>
      <w:numFmt w:val="bullet"/>
      <w:lvlText w:val="•"/>
      <w:lvlJc w:val="left"/>
      <w:pPr>
        <w:ind w:left="4186" w:hanging="401"/>
      </w:pPr>
      <w:rPr>
        <w:rFonts w:hint="default"/>
      </w:rPr>
    </w:lvl>
    <w:lvl w:ilvl="4" w:tplc="B298F3C8">
      <w:start w:val="1"/>
      <w:numFmt w:val="bullet"/>
      <w:lvlText w:val="•"/>
      <w:lvlJc w:val="left"/>
      <w:pPr>
        <w:ind w:left="5235" w:hanging="401"/>
      </w:pPr>
      <w:rPr>
        <w:rFonts w:hint="default"/>
      </w:rPr>
    </w:lvl>
    <w:lvl w:ilvl="5" w:tplc="EF66B6AC">
      <w:start w:val="1"/>
      <w:numFmt w:val="bullet"/>
      <w:lvlText w:val="•"/>
      <w:lvlJc w:val="left"/>
      <w:pPr>
        <w:ind w:left="6284" w:hanging="401"/>
      </w:pPr>
      <w:rPr>
        <w:rFonts w:hint="default"/>
      </w:rPr>
    </w:lvl>
    <w:lvl w:ilvl="6" w:tplc="65BC4E3A">
      <w:start w:val="1"/>
      <w:numFmt w:val="bullet"/>
      <w:lvlText w:val="•"/>
      <w:lvlJc w:val="left"/>
      <w:pPr>
        <w:ind w:left="7333" w:hanging="401"/>
      </w:pPr>
      <w:rPr>
        <w:rFonts w:hint="default"/>
      </w:rPr>
    </w:lvl>
    <w:lvl w:ilvl="7" w:tplc="855213A4">
      <w:start w:val="1"/>
      <w:numFmt w:val="bullet"/>
      <w:lvlText w:val="•"/>
      <w:lvlJc w:val="left"/>
      <w:pPr>
        <w:ind w:left="8381" w:hanging="401"/>
      </w:pPr>
      <w:rPr>
        <w:rFonts w:hint="default"/>
      </w:rPr>
    </w:lvl>
    <w:lvl w:ilvl="8" w:tplc="C7442AB0">
      <w:start w:val="1"/>
      <w:numFmt w:val="bullet"/>
      <w:lvlText w:val="•"/>
      <w:lvlJc w:val="left"/>
      <w:pPr>
        <w:ind w:left="9430" w:hanging="401"/>
      </w:pPr>
      <w:rPr>
        <w:rFonts w:hint="default"/>
      </w:rPr>
    </w:lvl>
  </w:abstractNum>
  <w:abstractNum w:abstractNumId="6" w15:restartNumberingAfterBreak="0">
    <w:nsid w:val="13D20D48"/>
    <w:multiLevelType w:val="hybridMultilevel"/>
    <w:tmpl w:val="77EE6B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5447F99"/>
    <w:multiLevelType w:val="hybridMultilevel"/>
    <w:tmpl w:val="B60A22B6"/>
    <w:lvl w:ilvl="0" w:tplc="08090003">
      <w:start w:val="1"/>
      <w:numFmt w:val="bullet"/>
      <w:lvlText w:val="o"/>
      <w:lvlJc w:val="left"/>
      <w:pPr>
        <w:ind w:left="1439" w:hanging="360"/>
      </w:pPr>
      <w:rPr>
        <w:rFonts w:ascii="Courier New" w:hAnsi="Courier New" w:cs="Courier New"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8" w15:restartNumberingAfterBreak="0">
    <w:nsid w:val="1550481A"/>
    <w:multiLevelType w:val="hybridMultilevel"/>
    <w:tmpl w:val="B37C1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E25D71"/>
    <w:multiLevelType w:val="hybridMultilevel"/>
    <w:tmpl w:val="24CAE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320F24"/>
    <w:multiLevelType w:val="hybridMultilevel"/>
    <w:tmpl w:val="888249A8"/>
    <w:lvl w:ilvl="0" w:tplc="78EA118C">
      <w:start w:val="1"/>
      <w:numFmt w:val="decimal"/>
      <w:lvlText w:val="%1."/>
      <w:lvlJc w:val="left"/>
      <w:pPr>
        <w:ind w:left="720" w:hanging="360"/>
      </w:pPr>
      <w:rPr>
        <w:rFonts w:ascii="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DE75E1"/>
    <w:multiLevelType w:val="hybridMultilevel"/>
    <w:tmpl w:val="2486AFD4"/>
    <w:lvl w:ilvl="0" w:tplc="D6C006D6">
      <w:start w:val="1"/>
      <w:numFmt w:val="bullet"/>
      <w:lvlText w:val=""/>
      <w:lvlJc w:val="left"/>
      <w:pPr>
        <w:ind w:left="719" w:hanging="360"/>
      </w:pPr>
      <w:rPr>
        <w:rFonts w:ascii="Symbol" w:eastAsia="Symbol" w:hAnsi="Symbol" w:hint="default"/>
        <w:sz w:val="24"/>
        <w:szCs w:val="24"/>
      </w:rPr>
    </w:lvl>
    <w:lvl w:ilvl="1" w:tplc="96A4A13C">
      <w:start w:val="1"/>
      <w:numFmt w:val="bullet"/>
      <w:lvlText w:val="•"/>
      <w:lvlJc w:val="left"/>
      <w:pPr>
        <w:ind w:left="1129" w:hanging="360"/>
      </w:pPr>
      <w:rPr>
        <w:rFonts w:hint="default"/>
      </w:rPr>
    </w:lvl>
    <w:lvl w:ilvl="2" w:tplc="2D2A2F5E">
      <w:start w:val="1"/>
      <w:numFmt w:val="bullet"/>
      <w:lvlText w:val="•"/>
      <w:lvlJc w:val="left"/>
      <w:pPr>
        <w:ind w:left="1539" w:hanging="360"/>
      </w:pPr>
      <w:rPr>
        <w:rFonts w:hint="default"/>
      </w:rPr>
    </w:lvl>
    <w:lvl w:ilvl="3" w:tplc="871009A8">
      <w:start w:val="1"/>
      <w:numFmt w:val="bullet"/>
      <w:lvlText w:val="•"/>
      <w:lvlJc w:val="left"/>
      <w:pPr>
        <w:ind w:left="1950" w:hanging="360"/>
      </w:pPr>
      <w:rPr>
        <w:rFonts w:hint="default"/>
      </w:rPr>
    </w:lvl>
    <w:lvl w:ilvl="4" w:tplc="F2809840">
      <w:start w:val="1"/>
      <w:numFmt w:val="bullet"/>
      <w:lvlText w:val="•"/>
      <w:lvlJc w:val="left"/>
      <w:pPr>
        <w:ind w:left="2360" w:hanging="360"/>
      </w:pPr>
      <w:rPr>
        <w:rFonts w:hint="default"/>
      </w:rPr>
    </w:lvl>
    <w:lvl w:ilvl="5" w:tplc="61EAE008">
      <w:start w:val="1"/>
      <w:numFmt w:val="bullet"/>
      <w:lvlText w:val="•"/>
      <w:lvlJc w:val="left"/>
      <w:pPr>
        <w:ind w:left="2770" w:hanging="360"/>
      </w:pPr>
      <w:rPr>
        <w:rFonts w:hint="default"/>
      </w:rPr>
    </w:lvl>
    <w:lvl w:ilvl="6" w:tplc="386E63DA">
      <w:start w:val="1"/>
      <w:numFmt w:val="bullet"/>
      <w:lvlText w:val="•"/>
      <w:lvlJc w:val="left"/>
      <w:pPr>
        <w:ind w:left="3181" w:hanging="360"/>
      </w:pPr>
      <w:rPr>
        <w:rFonts w:hint="default"/>
      </w:rPr>
    </w:lvl>
    <w:lvl w:ilvl="7" w:tplc="0DDAB0D8">
      <w:start w:val="1"/>
      <w:numFmt w:val="bullet"/>
      <w:lvlText w:val="•"/>
      <w:lvlJc w:val="left"/>
      <w:pPr>
        <w:ind w:left="3591" w:hanging="360"/>
      </w:pPr>
      <w:rPr>
        <w:rFonts w:hint="default"/>
      </w:rPr>
    </w:lvl>
    <w:lvl w:ilvl="8" w:tplc="C09CCCE4">
      <w:start w:val="1"/>
      <w:numFmt w:val="bullet"/>
      <w:lvlText w:val="•"/>
      <w:lvlJc w:val="left"/>
      <w:pPr>
        <w:ind w:left="4002" w:hanging="360"/>
      </w:pPr>
      <w:rPr>
        <w:rFonts w:hint="default"/>
      </w:rPr>
    </w:lvl>
  </w:abstractNum>
  <w:abstractNum w:abstractNumId="12" w15:restartNumberingAfterBreak="0">
    <w:nsid w:val="2F551E21"/>
    <w:multiLevelType w:val="hybridMultilevel"/>
    <w:tmpl w:val="36EA2BFA"/>
    <w:lvl w:ilvl="0" w:tplc="73D2ABFE">
      <w:start w:val="1"/>
      <w:numFmt w:val="bullet"/>
      <w:lvlText w:val=""/>
      <w:lvlJc w:val="left"/>
      <w:pPr>
        <w:ind w:left="719" w:hanging="360"/>
      </w:pPr>
      <w:rPr>
        <w:rFonts w:ascii="Symbol" w:eastAsia="Symbol" w:hAnsi="Symbol" w:hint="default"/>
        <w:sz w:val="24"/>
        <w:szCs w:val="24"/>
      </w:rPr>
    </w:lvl>
    <w:lvl w:ilvl="1" w:tplc="A6B05062">
      <w:start w:val="1"/>
      <w:numFmt w:val="bullet"/>
      <w:lvlText w:val="•"/>
      <w:lvlJc w:val="left"/>
      <w:pPr>
        <w:ind w:left="1128" w:hanging="360"/>
      </w:pPr>
      <w:rPr>
        <w:rFonts w:hint="default"/>
      </w:rPr>
    </w:lvl>
    <w:lvl w:ilvl="2" w:tplc="2DB00240">
      <w:start w:val="1"/>
      <w:numFmt w:val="bullet"/>
      <w:lvlText w:val="•"/>
      <w:lvlJc w:val="left"/>
      <w:pPr>
        <w:ind w:left="1537" w:hanging="360"/>
      </w:pPr>
      <w:rPr>
        <w:rFonts w:hint="default"/>
      </w:rPr>
    </w:lvl>
    <w:lvl w:ilvl="3" w:tplc="A0243498">
      <w:start w:val="1"/>
      <w:numFmt w:val="bullet"/>
      <w:lvlText w:val="•"/>
      <w:lvlJc w:val="left"/>
      <w:pPr>
        <w:ind w:left="1946" w:hanging="360"/>
      </w:pPr>
      <w:rPr>
        <w:rFonts w:hint="default"/>
      </w:rPr>
    </w:lvl>
    <w:lvl w:ilvl="4" w:tplc="14FC54D4">
      <w:start w:val="1"/>
      <w:numFmt w:val="bullet"/>
      <w:lvlText w:val="•"/>
      <w:lvlJc w:val="left"/>
      <w:pPr>
        <w:ind w:left="2355" w:hanging="360"/>
      </w:pPr>
      <w:rPr>
        <w:rFonts w:hint="default"/>
      </w:rPr>
    </w:lvl>
    <w:lvl w:ilvl="5" w:tplc="D24C4A66">
      <w:start w:val="1"/>
      <w:numFmt w:val="bullet"/>
      <w:lvlText w:val="•"/>
      <w:lvlJc w:val="left"/>
      <w:pPr>
        <w:ind w:left="2764" w:hanging="360"/>
      </w:pPr>
      <w:rPr>
        <w:rFonts w:hint="default"/>
      </w:rPr>
    </w:lvl>
    <w:lvl w:ilvl="6" w:tplc="7E5C069C">
      <w:start w:val="1"/>
      <w:numFmt w:val="bullet"/>
      <w:lvlText w:val="•"/>
      <w:lvlJc w:val="left"/>
      <w:pPr>
        <w:ind w:left="3174" w:hanging="360"/>
      </w:pPr>
      <w:rPr>
        <w:rFonts w:hint="default"/>
      </w:rPr>
    </w:lvl>
    <w:lvl w:ilvl="7" w:tplc="0824CC78">
      <w:start w:val="1"/>
      <w:numFmt w:val="bullet"/>
      <w:lvlText w:val="•"/>
      <w:lvlJc w:val="left"/>
      <w:pPr>
        <w:ind w:left="3583" w:hanging="360"/>
      </w:pPr>
      <w:rPr>
        <w:rFonts w:hint="default"/>
      </w:rPr>
    </w:lvl>
    <w:lvl w:ilvl="8" w:tplc="97122C5A">
      <w:start w:val="1"/>
      <w:numFmt w:val="bullet"/>
      <w:lvlText w:val="•"/>
      <w:lvlJc w:val="left"/>
      <w:pPr>
        <w:ind w:left="3992" w:hanging="360"/>
      </w:pPr>
      <w:rPr>
        <w:rFonts w:hint="default"/>
      </w:rPr>
    </w:lvl>
  </w:abstractNum>
  <w:abstractNum w:abstractNumId="13" w15:restartNumberingAfterBreak="0">
    <w:nsid w:val="33F2186A"/>
    <w:multiLevelType w:val="hybridMultilevel"/>
    <w:tmpl w:val="B35C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44A9F"/>
    <w:multiLevelType w:val="hybridMultilevel"/>
    <w:tmpl w:val="0D04BA60"/>
    <w:lvl w:ilvl="0" w:tplc="F654B64E">
      <w:start w:val="1"/>
      <w:numFmt w:val="bullet"/>
      <w:lvlText w:val=""/>
      <w:lvlJc w:val="left"/>
      <w:pPr>
        <w:ind w:left="719" w:hanging="360"/>
      </w:pPr>
      <w:rPr>
        <w:rFonts w:ascii="Symbol" w:eastAsia="Symbol" w:hAnsi="Symbol" w:hint="default"/>
        <w:sz w:val="24"/>
        <w:szCs w:val="24"/>
      </w:rPr>
    </w:lvl>
    <w:lvl w:ilvl="1" w:tplc="68609FC8">
      <w:start w:val="1"/>
      <w:numFmt w:val="bullet"/>
      <w:lvlText w:val="•"/>
      <w:lvlJc w:val="left"/>
      <w:pPr>
        <w:ind w:left="1128" w:hanging="360"/>
      </w:pPr>
      <w:rPr>
        <w:rFonts w:hint="default"/>
      </w:rPr>
    </w:lvl>
    <w:lvl w:ilvl="2" w:tplc="3FD8C0D2">
      <w:start w:val="1"/>
      <w:numFmt w:val="bullet"/>
      <w:lvlText w:val="•"/>
      <w:lvlJc w:val="left"/>
      <w:pPr>
        <w:ind w:left="1537" w:hanging="360"/>
      </w:pPr>
      <w:rPr>
        <w:rFonts w:hint="default"/>
      </w:rPr>
    </w:lvl>
    <w:lvl w:ilvl="3" w:tplc="C5FCCAB8">
      <w:start w:val="1"/>
      <w:numFmt w:val="bullet"/>
      <w:lvlText w:val="•"/>
      <w:lvlJc w:val="left"/>
      <w:pPr>
        <w:ind w:left="1946" w:hanging="360"/>
      </w:pPr>
      <w:rPr>
        <w:rFonts w:hint="default"/>
      </w:rPr>
    </w:lvl>
    <w:lvl w:ilvl="4" w:tplc="A2C6016E">
      <w:start w:val="1"/>
      <w:numFmt w:val="bullet"/>
      <w:lvlText w:val="•"/>
      <w:lvlJc w:val="left"/>
      <w:pPr>
        <w:ind w:left="2355" w:hanging="360"/>
      </w:pPr>
      <w:rPr>
        <w:rFonts w:hint="default"/>
      </w:rPr>
    </w:lvl>
    <w:lvl w:ilvl="5" w:tplc="477CDF30">
      <w:start w:val="1"/>
      <w:numFmt w:val="bullet"/>
      <w:lvlText w:val="•"/>
      <w:lvlJc w:val="left"/>
      <w:pPr>
        <w:ind w:left="2764" w:hanging="360"/>
      </w:pPr>
      <w:rPr>
        <w:rFonts w:hint="default"/>
      </w:rPr>
    </w:lvl>
    <w:lvl w:ilvl="6" w:tplc="E3DE3C68">
      <w:start w:val="1"/>
      <w:numFmt w:val="bullet"/>
      <w:lvlText w:val="•"/>
      <w:lvlJc w:val="left"/>
      <w:pPr>
        <w:ind w:left="3174" w:hanging="360"/>
      </w:pPr>
      <w:rPr>
        <w:rFonts w:hint="default"/>
      </w:rPr>
    </w:lvl>
    <w:lvl w:ilvl="7" w:tplc="E7961EB0">
      <w:start w:val="1"/>
      <w:numFmt w:val="bullet"/>
      <w:lvlText w:val="•"/>
      <w:lvlJc w:val="left"/>
      <w:pPr>
        <w:ind w:left="3583" w:hanging="360"/>
      </w:pPr>
      <w:rPr>
        <w:rFonts w:hint="default"/>
      </w:rPr>
    </w:lvl>
    <w:lvl w:ilvl="8" w:tplc="CD52559A">
      <w:start w:val="1"/>
      <w:numFmt w:val="bullet"/>
      <w:lvlText w:val="•"/>
      <w:lvlJc w:val="left"/>
      <w:pPr>
        <w:ind w:left="3992" w:hanging="360"/>
      </w:pPr>
      <w:rPr>
        <w:rFonts w:hint="default"/>
      </w:rPr>
    </w:lvl>
  </w:abstractNum>
  <w:abstractNum w:abstractNumId="15" w15:restartNumberingAfterBreak="0">
    <w:nsid w:val="3ECC5A33"/>
    <w:multiLevelType w:val="hybridMultilevel"/>
    <w:tmpl w:val="2132E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4C63226"/>
    <w:multiLevelType w:val="hybridMultilevel"/>
    <w:tmpl w:val="36829B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6628CB"/>
    <w:multiLevelType w:val="hybridMultilevel"/>
    <w:tmpl w:val="6AEC5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A85070"/>
    <w:multiLevelType w:val="hybridMultilevel"/>
    <w:tmpl w:val="3514B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705825"/>
    <w:multiLevelType w:val="hybridMultilevel"/>
    <w:tmpl w:val="BC744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0079C0"/>
    <w:multiLevelType w:val="hybridMultilevel"/>
    <w:tmpl w:val="3BE0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07348"/>
    <w:multiLevelType w:val="hybridMultilevel"/>
    <w:tmpl w:val="B76E6AFA"/>
    <w:lvl w:ilvl="0" w:tplc="61F67320">
      <w:start w:val="1"/>
      <w:numFmt w:val="decimal"/>
      <w:lvlText w:val="%1."/>
      <w:lvlJc w:val="left"/>
      <w:pPr>
        <w:ind w:left="925" w:hanging="425"/>
      </w:pPr>
      <w:rPr>
        <w:rFonts w:ascii="Arial" w:eastAsia="Arial" w:hAnsi="Arial" w:cs="Arial" w:hint="default"/>
        <w:b/>
        <w:bCs/>
        <w:spacing w:val="-1"/>
        <w:w w:val="100"/>
        <w:sz w:val="22"/>
        <w:szCs w:val="22"/>
        <w:lang w:val="en-GB" w:eastAsia="en-US" w:bidi="ar-SA"/>
      </w:rPr>
    </w:lvl>
    <w:lvl w:ilvl="1" w:tplc="17CE9B90">
      <w:numFmt w:val="bullet"/>
      <w:lvlText w:val=""/>
      <w:lvlJc w:val="left"/>
      <w:pPr>
        <w:ind w:left="1220" w:hanging="360"/>
      </w:pPr>
      <w:rPr>
        <w:rFonts w:hint="default"/>
        <w:w w:val="100"/>
        <w:lang w:val="en-GB" w:eastAsia="en-US" w:bidi="ar-SA"/>
      </w:rPr>
    </w:lvl>
    <w:lvl w:ilvl="2" w:tplc="64BC0018">
      <w:numFmt w:val="bullet"/>
      <w:lvlText w:val="•"/>
      <w:lvlJc w:val="left"/>
      <w:pPr>
        <w:ind w:left="2269" w:hanging="360"/>
      </w:pPr>
      <w:rPr>
        <w:rFonts w:hint="default"/>
        <w:lang w:val="en-GB" w:eastAsia="en-US" w:bidi="ar-SA"/>
      </w:rPr>
    </w:lvl>
    <w:lvl w:ilvl="3" w:tplc="E2B277A6">
      <w:numFmt w:val="bullet"/>
      <w:lvlText w:val="•"/>
      <w:lvlJc w:val="left"/>
      <w:pPr>
        <w:ind w:left="3319" w:hanging="360"/>
      </w:pPr>
      <w:rPr>
        <w:rFonts w:hint="default"/>
        <w:lang w:val="en-GB" w:eastAsia="en-US" w:bidi="ar-SA"/>
      </w:rPr>
    </w:lvl>
    <w:lvl w:ilvl="4" w:tplc="B47A1C88">
      <w:numFmt w:val="bullet"/>
      <w:lvlText w:val="•"/>
      <w:lvlJc w:val="left"/>
      <w:pPr>
        <w:ind w:left="4368" w:hanging="360"/>
      </w:pPr>
      <w:rPr>
        <w:rFonts w:hint="default"/>
        <w:lang w:val="en-GB" w:eastAsia="en-US" w:bidi="ar-SA"/>
      </w:rPr>
    </w:lvl>
    <w:lvl w:ilvl="5" w:tplc="D38AE54A">
      <w:numFmt w:val="bullet"/>
      <w:lvlText w:val="•"/>
      <w:lvlJc w:val="left"/>
      <w:pPr>
        <w:ind w:left="5418" w:hanging="360"/>
      </w:pPr>
      <w:rPr>
        <w:rFonts w:hint="default"/>
        <w:lang w:val="en-GB" w:eastAsia="en-US" w:bidi="ar-SA"/>
      </w:rPr>
    </w:lvl>
    <w:lvl w:ilvl="6" w:tplc="0B7E3DBC">
      <w:numFmt w:val="bullet"/>
      <w:lvlText w:val="•"/>
      <w:lvlJc w:val="left"/>
      <w:pPr>
        <w:ind w:left="6468" w:hanging="360"/>
      </w:pPr>
      <w:rPr>
        <w:rFonts w:hint="default"/>
        <w:lang w:val="en-GB" w:eastAsia="en-US" w:bidi="ar-SA"/>
      </w:rPr>
    </w:lvl>
    <w:lvl w:ilvl="7" w:tplc="B48008DA">
      <w:numFmt w:val="bullet"/>
      <w:lvlText w:val="•"/>
      <w:lvlJc w:val="left"/>
      <w:pPr>
        <w:ind w:left="7517" w:hanging="360"/>
      </w:pPr>
      <w:rPr>
        <w:rFonts w:hint="default"/>
        <w:lang w:val="en-GB" w:eastAsia="en-US" w:bidi="ar-SA"/>
      </w:rPr>
    </w:lvl>
    <w:lvl w:ilvl="8" w:tplc="F5E01712">
      <w:numFmt w:val="bullet"/>
      <w:lvlText w:val="•"/>
      <w:lvlJc w:val="left"/>
      <w:pPr>
        <w:ind w:left="8567" w:hanging="360"/>
      </w:pPr>
      <w:rPr>
        <w:rFonts w:hint="default"/>
        <w:lang w:val="en-GB" w:eastAsia="en-US" w:bidi="ar-SA"/>
      </w:rPr>
    </w:lvl>
  </w:abstractNum>
  <w:abstractNum w:abstractNumId="22" w15:restartNumberingAfterBreak="0">
    <w:nsid w:val="64056E00"/>
    <w:multiLevelType w:val="hybridMultilevel"/>
    <w:tmpl w:val="AB1A7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46A0200"/>
    <w:multiLevelType w:val="hybridMultilevel"/>
    <w:tmpl w:val="46B6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375F5"/>
    <w:multiLevelType w:val="hybridMultilevel"/>
    <w:tmpl w:val="174C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C046F"/>
    <w:multiLevelType w:val="hybridMultilevel"/>
    <w:tmpl w:val="3E5E0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F8523E"/>
    <w:multiLevelType w:val="hybridMultilevel"/>
    <w:tmpl w:val="90A22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A381E"/>
    <w:multiLevelType w:val="hybridMultilevel"/>
    <w:tmpl w:val="35AA40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2C4545"/>
    <w:multiLevelType w:val="hybridMultilevel"/>
    <w:tmpl w:val="F9666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02CAD"/>
    <w:multiLevelType w:val="hybridMultilevel"/>
    <w:tmpl w:val="390C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74C31"/>
    <w:multiLevelType w:val="hybridMultilevel"/>
    <w:tmpl w:val="6BB0AD20"/>
    <w:lvl w:ilvl="0" w:tplc="4B2E963E">
      <w:start w:val="1"/>
      <w:numFmt w:val="bullet"/>
      <w:lvlText w:val=""/>
      <w:lvlJc w:val="left"/>
      <w:pPr>
        <w:ind w:left="719" w:hanging="360"/>
      </w:pPr>
      <w:rPr>
        <w:rFonts w:ascii="Symbol" w:eastAsia="Symbol" w:hAnsi="Symbol" w:hint="default"/>
        <w:sz w:val="24"/>
        <w:szCs w:val="24"/>
      </w:rPr>
    </w:lvl>
    <w:lvl w:ilvl="1" w:tplc="4D66A968">
      <w:start w:val="1"/>
      <w:numFmt w:val="bullet"/>
      <w:lvlText w:val="•"/>
      <w:lvlJc w:val="left"/>
      <w:pPr>
        <w:ind w:left="1128" w:hanging="360"/>
      </w:pPr>
      <w:rPr>
        <w:rFonts w:hint="default"/>
      </w:rPr>
    </w:lvl>
    <w:lvl w:ilvl="2" w:tplc="6DCEE316">
      <w:start w:val="1"/>
      <w:numFmt w:val="bullet"/>
      <w:lvlText w:val="•"/>
      <w:lvlJc w:val="left"/>
      <w:pPr>
        <w:ind w:left="1537" w:hanging="360"/>
      </w:pPr>
      <w:rPr>
        <w:rFonts w:hint="default"/>
      </w:rPr>
    </w:lvl>
    <w:lvl w:ilvl="3" w:tplc="6118680A">
      <w:start w:val="1"/>
      <w:numFmt w:val="bullet"/>
      <w:lvlText w:val="•"/>
      <w:lvlJc w:val="left"/>
      <w:pPr>
        <w:ind w:left="1946" w:hanging="360"/>
      </w:pPr>
      <w:rPr>
        <w:rFonts w:hint="default"/>
      </w:rPr>
    </w:lvl>
    <w:lvl w:ilvl="4" w:tplc="D144CD64">
      <w:start w:val="1"/>
      <w:numFmt w:val="bullet"/>
      <w:lvlText w:val="•"/>
      <w:lvlJc w:val="left"/>
      <w:pPr>
        <w:ind w:left="2355" w:hanging="360"/>
      </w:pPr>
      <w:rPr>
        <w:rFonts w:hint="default"/>
      </w:rPr>
    </w:lvl>
    <w:lvl w:ilvl="5" w:tplc="2AD6A348">
      <w:start w:val="1"/>
      <w:numFmt w:val="bullet"/>
      <w:lvlText w:val="•"/>
      <w:lvlJc w:val="left"/>
      <w:pPr>
        <w:ind w:left="2764" w:hanging="360"/>
      </w:pPr>
      <w:rPr>
        <w:rFonts w:hint="default"/>
      </w:rPr>
    </w:lvl>
    <w:lvl w:ilvl="6" w:tplc="A16C4C80">
      <w:start w:val="1"/>
      <w:numFmt w:val="bullet"/>
      <w:lvlText w:val="•"/>
      <w:lvlJc w:val="left"/>
      <w:pPr>
        <w:ind w:left="3174" w:hanging="360"/>
      </w:pPr>
      <w:rPr>
        <w:rFonts w:hint="default"/>
      </w:rPr>
    </w:lvl>
    <w:lvl w:ilvl="7" w:tplc="17903C1E">
      <w:start w:val="1"/>
      <w:numFmt w:val="bullet"/>
      <w:lvlText w:val="•"/>
      <w:lvlJc w:val="left"/>
      <w:pPr>
        <w:ind w:left="3583" w:hanging="360"/>
      </w:pPr>
      <w:rPr>
        <w:rFonts w:hint="default"/>
      </w:rPr>
    </w:lvl>
    <w:lvl w:ilvl="8" w:tplc="BC989852">
      <w:start w:val="1"/>
      <w:numFmt w:val="bullet"/>
      <w:lvlText w:val="•"/>
      <w:lvlJc w:val="left"/>
      <w:pPr>
        <w:ind w:left="3992" w:hanging="360"/>
      </w:pPr>
      <w:rPr>
        <w:rFonts w:hint="default"/>
      </w:rPr>
    </w:lvl>
  </w:abstractNum>
  <w:abstractNum w:abstractNumId="31" w15:restartNumberingAfterBreak="0">
    <w:nsid w:val="7E9F5F89"/>
    <w:multiLevelType w:val="hybridMultilevel"/>
    <w:tmpl w:val="C5004764"/>
    <w:lvl w:ilvl="0" w:tplc="F654B64E">
      <w:start w:val="1"/>
      <w:numFmt w:val="bullet"/>
      <w:lvlText w:val=""/>
      <w:lvlJc w:val="left"/>
      <w:pPr>
        <w:ind w:left="72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
  </w:num>
  <w:num w:numId="4">
    <w:abstractNumId w:val="21"/>
  </w:num>
  <w:num w:numId="5">
    <w:abstractNumId w:val="23"/>
  </w:num>
  <w:num w:numId="6">
    <w:abstractNumId w:val="8"/>
  </w:num>
  <w:num w:numId="7">
    <w:abstractNumId w:val="26"/>
  </w:num>
  <w:num w:numId="8">
    <w:abstractNumId w:val="9"/>
  </w:num>
  <w:num w:numId="9">
    <w:abstractNumId w:val="24"/>
  </w:num>
  <w:num w:numId="10">
    <w:abstractNumId w:val="20"/>
  </w:num>
  <w:num w:numId="11">
    <w:abstractNumId w:val="5"/>
  </w:num>
  <w:num w:numId="12">
    <w:abstractNumId w:val="10"/>
  </w:num>
  <w:num w:numId="13">
    <w:abstractNumId w:val="11"/>
  </w:num>
  <w:num w:numId="14">
    <w:abstractNumId w:val="13"/>
  </w:num>
  <w:num w:numId="15">
    <w:abstractNumId w:val="14"/>
  </w:num>
  <w:num w:numId="16">
    <w:abstractNumId w:val="12"/>
  </w:num>
  <w:num w:numId="17">
    <w:abstractNumId w:val="7"/>
  </w:num>
  <w:num w:numId="18">
    <w:abstractNumId w:val="30"/>
  </w:num>
  <w:num w:numId="19">
    <w:abstractNumId w:val="3"/>
  </w:num>
  <w:num w:numId="20">
    <w:abstractNumId w:val="0"/>
  </w:num>
  <w:num w:numId="21">
    <w:abstractNumId w:val="31"/>
  </w:num>
  <w:num w:numId="22">
    <w:abstractNumId w:val="29"/>
  </w:num>
  <w:num w:numId="23">
    <w:abstractNumId w:val="4"/>
  </w:num>
  <w:num w:numId="24">
    <w:abstractNumId w:val="15"/>
  </w:num>
  <w:num w:numId="25">
    <w:abstractNumId w:val="27"/>
  </w:num>
  <w:num w:numId="26">
    <w:abstractNumId w:val="28"/>
  </w:num>
  <w:num w:numId="27">
    <w:abstractNumId w:val="22"/>
  </w:num>
  <w:num w:numId="28">
    <w:abstractNumId w:val="18"/>
  </w:num>
  <w:num w:numId="29">
    <w:abstractNumId w:val="17"/>
  </w:num>
  <w:num w:numId="30">
    <w:abstractNumId w:val="19"/>
  </w:num>
  <w:num w:numId="31">
    <w:abstractNumId w:val="16"/>
  </w:num>
  <w:num w:numId="3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0A"/>
    <w:rsid w:val="0000638B"/>
    <w:rsid w:val="00016DFC"/>
    <w:rsid w:val="000274AC"/>
    <w:rsid w:val="00044BB8"/>
    <w:rsid w:val="000550D7"/>
    <w:rsid w:val="00055200"/>
    <w:rsid w:val="00067A61"/>
    <w:rsid w:val="0007304B"/>
    <w:rsid w:val="0008575C"/>
    <w:rsid w:val="000915F3"/>
    <w:rsid w:val="000B1D72"/>
    <w:rsid w:val="000C23C9"/>
    <w:rsid w:val="000D14CA"/>
    <w:rsid w:val="000E2B82"/>
    <w:rsid w:val="000E2E74"/>
    <w:rsid w:val="000E46B7"/>
    <w:rsid w:val="000E645A"/>
    <w:rsid w:val="00104613"/>
    <w:rsid w:val="00116D47"/>
    <w:rsid w:val="00133294"/>
    <w:rsid w:val="00143B3F"/>
    <w:rsid w:val="001527C1"/>
    <w:rsid w:val="001533B5"/>
    <w:rsid w:val="00187229"/>
    <w:rsid w:val="00193A74"/>
    <w:rsid w:val="00195864"/>
    <w:rsid w:val="001A042D"/>
    <w:rsid w:val="001A2241"/>
    <w:rsid w:val="001B45A2"/>
    <w:rsid w:val="001D318C"/>
    <w:rsid w:val="001D44A4"/>
    <w:rsid w:val="001D7B29"/>
    <w:rsid w:val="001E2821"/>
    <w:rsid w:val="001F1E8B"/>
    <w:rsid w:val="001F69F3"/>
    <w:rsid w:val="00200E99"/>
    <w:rsid w:val="002038FA"/>
    <w:rsid w:val="00215B9C"/>
    <w:rsid w:val="002475A8"/>
    <w:rsid w:val="00257447"/>
    <w:rsid w:val="00273B95"/>
    <w:rsid w:val="00294CF5"/>
    <w:rsid w:val="00297698"/>
    <w:rsid w:val="002A75D3"/>
    <w:rsid w:val="002B52DA"/>
    <w:rsid w:val="002B6695"/>
    <w:rsid w:val="002E4C0A"/>
    <w:rsid w:val="003022E5"/>
    <w:rsid w:val="00306DC5"/>
    <w:rsid w:val="003077A3"/>
    <w:rsid w:val="0032340A"/>
    <w:rsid w:val="00352195"/>
    <w:rsid w:val="0036455C"/>
    <w:rsid w:val="003762AB"/>
    <w:rsid w:val="00391D55"/>
    <w:rsid w:val="003A0C7F"/>
    <w:rsid w:val="003D345D"/>
    <w:rsid w:val="003D34BA"/>
    <w:rsid w:val="00414BBF"/>
    <w:rsid w:val="0042087A"/>
    <w:rsid w:val="004208FD"/>
    <w:rsid w:val="0042313A"/>
    <w:rsid w:val="0043200B"/>
    <w:rsid w:val="0043360A"/>
    <w:rsid w:val="00437F65"/>
    <w:rsid w:val="00443738"/>
    <w:rsid w:val="00447CE9"/>
    <w:rsid w:val="00453DD1"/>
    <w:rsid w:val="0045413C"/>
    <w:rsid w:val="00455018"/>
    <w:rsid w:val="004675EB"/>
    <w:rsid w:val="00467C9D"/>
    <w:rsid w:val="004728B9"/>
    <w:rsid w:val="004B21C5"/>
    <w:rsid w:val="004B21EB"/>
    <w:rsid w:val="004B7BC7"/>
    <w:rsid w:val="004D05AA"/>
    <w:rsid w:val="004D7014"/>
    <w:rsid w:val="004D7BA1"/>
    <w:rsid w:val="00502367"/>
    <w:rsid w:val="00502B09"/>
    <w:rsid w:val="00524AF2"/>
    <w:rsid w:val="00527431"/>
    <w:rsid w:val="00527547"/>
    <w:rsid w:val="005329D9"/>
    <w:rsid w:val="005453CA"/>
    <w:rsid w:val="00551E50"/>
    <w:rsid w:val="005565D5"/>
    <w:rsid w:val="005751B4"/>
    <w:rsid w:val="005A0186"/>
    <w:rsid w:val="005A1B35"/>
    <w:rsid w:val="005C2928"/>
    <w:rsid w:val="005D6B60"/>
    <w:rsid w:val="005E1097"/>
    <w:rsid w:val="005E4B08"/>
    <w:rsid w:val="005E5539"/>
    <w:rsid w:val="005F5260"/>
    <w:rsid w:val="00605C2B"/>
    <w:rsid w:val="00635FCB"/>
    <w:rsid w:val="00653CC2"/>
    <w:rsid w:val="00677F05"/>
    <w:rsid w:val="0068460F"/>
    <w:rsid w:val="0069072C"/>
    <w:rsid w:val="00694FCA"/>
    <w:rsid w:val="00696716"/>
    <w:rsid w:val="006A1895"/>
    <w:rsid w:val="006B6E62"/>
    <w:rsid w:val="006C4E13"/>
    <w:rsid w:val="006F00F8"/>
    <w:rsid w:val="006F2D7A"/>
    <w:rsid w:val="006F62EF"/>
    <w:rsid w:val="00727F6C"/>
    <w:rsid w:val="00731133"/>
    <w:rsid w:val="007344B6"/>
    <w:rsid w:val="0077554E"/>
    <w:rsid w:val="007921D5"/>
    <w:rsid w:val="00797FD2"/>
    <w:rsid w:val="007D1846"/>
    <w:rsid w:val="008013B6"/>
    <w:rsid w:val="008040E8"/>
    <w:rsid w:val="00825D9D"/>
    <w:rsid w:val="00841E07"/>
    <w:rsid w:val="008511D6"/>
    <w:rsid w:val="008833A3"/>
    <w:rsid w:val="00883DA2"/>
    <w:rsid w:val="008A6F39"/>
    <w:rsid w:val="008C14EC"/>
    <w:rsid w:val="008C49FC"/>
    <w:rsid w:val="00936777"/>
    <w:rsid w:val="009654C7"/>
    <w:rsid w:val="00965D2F"/>
    <w:rsid w:val="0096762B"/>
    <w:rsid w:val="00973603"/>
    <w:rsid w:val="009B1276"/>
    <w:rsid w:val="009B6427"/>
    <w:rsid w:val="009C255F"/>
    <w:rsid w:val="009F010E"/>
    <w:rsid w:val="00A37EF4"/>
    <w:rsid w:val="00A4438A"/>
    <w:rsid w:val="00A5009D"/>
    <w:rsid w:val="00A87965"/>
    <w:rsid w:val="00AA48FE"/>
    <w:rsid w:val="00AE31A8"/>
    <w:rsid w:val="00AF0D80"/>
    <w:rsid w:val="00AF63AA"/>
    <w:rsid w:val="00B210E2"/>
    <w:rsid w:val="00B3429D"/>
    <w:rsid w:val="00B410E4"/>
    <w:rsid w:val="00B74340"/>
    <w:rsid w:val="00BC3E0B"/>
    <w:rsid w:val="00BD3855"/>
    <w:rsid w:val="00BD5AF4"/>
    <w:rsid w:val="00BE19D9"/>
    <w:rsid w:val="00C124AD"/>
    <w:rsid w:val="00C21560"/>
    <w:rsid w:val="00C704C9"/>
    <w:rsid w:val="00C723EB"/>
    <w:rsid w:val="00C75A10"/>
    <w:rsid w:val="00CB081C"/>
    <w:rsid w:val="00CC1638"/>
    <w:rsid w:val="00CC4B3A"/>
    <w:rsid w:val="00D05188"/>
    <w:rsid w:val="00D05622"/>
    <w:rsid w:val="00D17744"/>
    <w:rsid w:val="00D241F9"/>
    <w:rsid w:val="00D57B6F"/>
    <w:rsid w:val="00D65CE4"/>
    <w:rsid w:val="00D85962"/>
    <w:rsid w:val="00D86CD1"/>
    <w:rsid w:val="00DB4201"/>
    <w:rsid w:val="00DE1EE0"/>
    <w:rsid w:val="00E008F4"/>
    <w:rsid w:val="00E423B6"/>
    <w:rsid w:val="00E70EDB"/>
    <w:rsid w:val="00E93F37"/>
    <w:rsid w:val="00ED0FEE"/>
    <w:rsid w:val="00F04DB1"/>
    <w:rsid w:val="00F11742"/>
    <w:rsid w:val="00F3335A"/>
    <w:rsid w:val="00F85C3D"/>
    <w:rsid w:val="00F90BBC"/>
    <w:rsid w:val="00F95702"/>
    <w:rsid w:val="00F96225"/>
    <w:rsid w:val="00FA60D2"/>
    <w:rsid w:val="00FB017E"/>
    <w:rsid w:val="00FD129F"/>
    <w:rsid w:val="00FE4DF6"/>
    <w:rsid w:val="00FF0EF4"/>
    <w:rsid w:val="00FF2D47"/>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A49F"/>
  <w15:docId w15:val="{63942F4D-4D51-4B9D-A984-C842C96A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95"/>
  </w:style>
  <w:style w:type="paragraph" w:styleId="Heading1">
    <w:name w:val="heading 1"/>
    <w:basedOn w:val="Normal"/>
    <w:next w:val="Normal"/>
    <w:link w:val="Heading1Char"/>
    <w:uiPriority w:val="9"/>
    <w:qFormat/>
    <w:rsid w:val="000B1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36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57B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3360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360A"/>
    <w:pPr>
      <w:ind w:left="720"/>
      <w:contextualSpacing/>
    </w:pPr>
  </w:style>
  <w:style w:type="table" w:styleId="MediumGrid3-Accent1">
    <w:name w:val="Medium Grid 3 Accent 1"/>
    <w:basedOn w:val="TableNormal"/>
    <w:uiPriority w:val="69"/>
    <w:rsid w:val="00433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43360A"/>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character" w:customStyle="1" w:styleId="A5">
    <w:name w:val="A5"/>
    <w:uiPriority w:val="99"/>
    <w:rsid w:val="0043360A"/>
    <w:rPr>
      <w:rFonts w:ascii="Frutiger LT Std 45 Light" w:hAnsi="Frutiger LT Std 45 Light" w:cs="Frutiger LT Std 45 Light"/>
      <w:color w:val="221E1F"/>
      <w:sz w:val="26"/>
      <w:szCs w:val="26"/>
    </w:rPr>
  </w:style>
  <w:style w:type="paragraph" w:styleId="BalloonText">
    <w:name w:val="Balloon Text"/>
    <w:basedOn w:val="Normal"/>
    <w:link w:val="BalloonTextChar"/>
    <w:uiPriority w:val="99"/>
    <w:semiHidden/>
    <w:unhideWhenUsed/>
    <w:rsid w:val="0043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0A"/>
    <w:rPr>
      <w:rFonts w:ascii="Tahoma" w:hAnsi="Tahoma" w:cs="Tahoma"/>
      <w:sz w:val="16"/>
      <w:szCs w:val="16"/>
    </w:rPr>
  </w:style>
  <w:style w:type="character" w:customStyle="1" w:styleId="Heading1Char">
    <w:name w:val="Heading 1 Char"/>
    <w:basedOn w:val="DefaultParagraphFont"/>
    <w:link w:val="Heading1"/>
    <w:uiPriority w:val="1"/>
    <w:rsid w:val="000B1D7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0B1D72"/>
    <w:pPr>
      <w:widowControl w:val="0"/>
      <w:spacing w:after="0" w:line="240" w:lineRule="auto"/>
      <w:ind w:left="100"/>
    </w:pPr>
    <w:rPr>
      <w:rFonts w:ascii="Calibri" w:eastAsia="Calibri" w:hAnsi="Calibri"/>
      <w:lang w:val="en-US"/>
    </w:rPr>
  </w:style>
  <w:style w:type="character" w:customStyle="1" w:styleId="BodyTextChar">
    <w:name w:val="Body Text Char"/>
    <w:basedOn w:val="DefaultParagraphFont"/>
    <w:link w:val="BodyText"/>
    <w:uiPriority w:val="1"/>
    <w:rsid w:val="000B1D72"/>
    <w:rPr>
      <w:rFonts w:ascii="Calibri" w:eastAsia="Calibri" w:hAnsi="Calibri"/>
      <w:lang w:val="en-US"/>
    </w:rPr>
  </w:style>
  <w:style w:type="table" w:styleId="TableGrid">
    <w:name w:val="Table Grid"/>
    <w:basedOn w:val="TableNormal"/>
    <w:uiPriority w:val="5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527C1"/>
    <w:rPr>
      <w:rFonts w:cs="Times New Roman"/>
      <w:color w:val="0000FF"/>
      <w:u w:val="single"/>
    </w:rPr>
  </w:style>
  <w:style w:type="character" w:styleId="Emphasis">
    <w:name w:val="Emphasis"/>
    <w:basedOn w:val="DefaultParagraphFont"/>
    <w:uiPriority w:val="99"/>
    <w:qFormat/>
    <w:rsid w:val="001527C1"/>
    <w:rPr>
      <w:rFonts w:cs="Times New Roman"/>
      <w:i/>
    </w:rPr>
  </w:style>
  <w:style w:type="table" w:styleId="MediumShading1-Accent1">
    <w:name w:val="Medium Shading 1 Accent 1"/>
    <w:basedOn w:val="TableNormal"/>
    <w:uiPriority w:val="63"/>
    <w:rsid w:val="001527C1"/>
    <w:pPr>
      <w:spacing w:after="0" w:line="240" w:lineRule="auto"/>
    </w:pPr>
    <w:rPr>
      <w:rFonts w:ascii="Arial" w:eastAsia="Calibri" w:hAnsi="Arial" w:cs="Times New Roman"/>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
    <w:name w:val="Body"/>
    <w:rsid w:val="001527C1"/>
    <w:pPr>
      <w:pBdr>
        <w:top w:val="nil"/>
        <w:left w:val="nil"/>
        <w:bottom w:val="nil"/>
        <w:right w:val="nil"/>
        <w:between w:val="nil"/>
        <w:bar w:val="nil"/>
      </w:pBdr>
    </w:pPr>
    <w:rPr>
      <w:rFonts w:ascii="Arial" w:eastAsia="Arial" w:hAnsi="Arial" w:cs="Arial"/>
      <w:color w:val="000000"/>
      <w:u w:color="000000"/>
      <w:bdr w:val="nil"/>
      <w:lang w:eastAsia="en-GB"/>
    </w:rPr>
  </w:style>
  <w:style w:type="paragraph" w:styleId="NormalWeb">
    <w:name w:val="Normal (Web)"/>
    <w:basedOn w:val="Normal"/>
    <w:uiPriority w:val="99"/>
    <w:unhideWhenUsed/>
    <w:rsid w:val="00152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96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16"/>
  </w:style>
  <w:style w:type="paragraph" w:styleId="Footer">
    <w:name w:val="footer"/>
    <w:basedOn w:val="Normal"/>
    <w:link w:val="FooterChar"/>
    <w:uiPriority w:val="99"/>
    <w:unhideWhenUsed/>
    <w:rsid w:val="00696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16"/>
  </w:style>
  <w:style w:type="character" w:styleId="CommentReference">
    <w:name w:val="annotation reference"/>
    <w:basedOn w:val="DefaultParagraphFont"/>
    <w:uiPriority w:val="99"/>
    <w:semiHidden/>
    <w:unhideWhenUsed/>
    <w:rsid w:val="000915F3"/>
    <w:rPr>
      <w:sz w:val="16"/>
      <w:szCs w:val="16"/>
    </w:rPr>
  </w:style>
  <w:style w:type="paragraph" w:styleId="CommentText">
    <w:name w:val="annotation text"/>
    <w:basedOn w:val="Normal"/>
    <w:link w:val="CommentTextChar"/>
    <w:uiPriority w:val="99"/>
    <w:unhideWhenUsed/>
    <w:rsid w:val="000915F3"/>
    <w:pPr>
      <w:spacing w:line="240" w:lineRule="auto"/>
    </w:pPr>
    <w:rPr>
      <w:sz w:val="20"/>
      <w:szCs w:val="20"/>
    </w:rPr>
  </w:style>
  <w:style w:type="character" w:customStyle="1" w:styleId="CommentTextChar">
    <w:name w:val="Comment Text Char"/>
    <w:basedOn w:val="DefaultParagraphFont"/>
    <w:link w:val="CommentText"/>
    <w:uiPriority w:val="99"/>
    <w:rsid w:val="000915F3"/>
    <w:rPr>
      <w:sz w:val="20"/>
      <w:szCs w:val="20"/>
    </w:rPr>
  </w:style>
  <w:style w:type="paragraph" w:styleId="CommentSubject">
    <w:name w:val="annotation subject"/>
    <w:basedOn w:val="CommentText"/>
    <w:next w:val="CommentText"/>
    <w:link w:val="CommentSubjectChar"/>
    <w:uiPriority w:val="99"/>
    <w:semiHidden/>
    <w:unhideWhenUsed/>
    <w:rsid w:val="000915F3"/>
    <w:rPr>
      <w:b/>
      <w:bCs/>
    </w:rPr>
  </w:style>
  <w:style w:type="character" w:customStyle="1" w:styleId="CommentSubjectChar">
    <w:name w:val="Comment Subject Char"/>
    <w:basedOn w:val="CommentTextChar"/>
    <w:link w:val="CommentSubject"/>
    <w:uiPriority w:val="99"/>
    <w:semiHidden/>
    <w:rsid w:val="000915F3"/>
    <w:rPr>
      <w:b/>
      <w:bCs/>
      <w:sz w:val="20"/>
      <w:szCs w:val="20"/>
    </w:rPr>
  </w:style>
  <w:style w:type="character" w:customStyle="1" w:styleId="Heading3Char">
    <w:name w:val="Heading 3 Char"/>
    <w:basedOn w:val="DefaultParagraphFont"/>
    <w:link w:val="Heading3"/>
    <w:uiPriority w:val="1"/>
    <w:rsid w:val="00D57B6F"/>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D57B6F"/>
    <w:pPr>
      <w:widowControl w:val="0"/>
      <w:autoSpaceDE w:val="0"/>
      <w:autoSpaceDN w:val="0"/>
      <w:spacing w:after="0" w:line="240" w:lineRule="auto"/>
    </w:pPr>
    <w:rPr>
      <w:rFonts w:ascii="Arial" w:eastAsia="Arial" w:hAnsi="Arial" w:cs="Arial"/>
    </w:rPr>
  </w:style>
  <w:style w:type="character" w:customStyle="1" w:styleId="UnresolvedMention1">
    <w:name w:val="Unresolved Mention1"/>
    <w:basedOn w:val="DefaultParagraphFont"/>
    <w:uiPriority w:val="99"/>
    <w:semiHidden/>
    <w:unhideWhenUsed/>
    <w:rsid w:val="009B6427"/>
    <w:rPr>
      <w:color w:val="605E5C"/>
      <w:shd w:val="clear" w:color="auto" w:fill="E1DFDD"/>
    </w:rPr>
  </w:style>
  <w:style w:type="numbering" w:customStyle="1" w:styleId="NoList1">
    <w:name w:val="No List1"/>
    <w:next w:val="NoList"/>
    <w:uiPriority w:val="99"/>
    <w:semiHidden/>
    <w:unhideWhenUsed/>
    <w:rsid w:val="009B6427"/>
  </w:style>
  <w:style w:type="table" w:customStyle="1" w:styleId="MediumGrid3-Accent11">
    <w:name w:val="Medium Grid 3 - Accent 11"/>
    <w:basedOn w:val="TableNormal"/>
    <w:next w:val="MediumGrid3-Accent1"/>
    <w:uiPriority w:val="69"/>
    <w:rsid w:val="009B642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2">
    <w:name w:val="No List2"/>
    <w:next w:val="NoList"/>
    <w:uiPriority w:val="99"/>
    <w:semiHidden/>
    <w:unhideWhenUsed/>
    <w:rsid w:val="009B6427"/>
  </w:style>
  <w:style w:type="table" w:customStyle="1" w:styleId="TableGrid1">
    <w:name w:val="Table Grid1"/>
    <w:basedOn w:val="TableNormal"/>
    <w:next w:val="TableGrid"/>
    <w:uiPriority w:val="39"/>
    <w:rsid w:val="009B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93A7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93A74"/>
    <w:rPr>
      <w:rFonts w:ascii="Calibri" w:hAnsi="Calibri"/>
      <w:szCs w:val="21"/>
    </w:rPr>
  </w:style>
  <w:style w:type="paragraph" w:styleId="Revision">
    <w:name w:val="Revision"/>
    <w:hidden/>
    <w:uiPriority w:val="99"/>
    <w:semiHidden/>
    <w:rsid w:val="00CC1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062">
      <w:bodyDiv w:val="1"/>
      <w:marLeft w:val="0"/>
      <w:marRight w:val="0"/>
      <w:marTop w:val="0"/>
      <w:marBottom w:val="0"/>
      <w:divBdr>
        <w:top w:val="none" w:sz="0" w:space="0" w:color="auto"/>
        <w:left w:val="none" w:sz="0" w:space="0" w:color="auto"/>
        <w:bottom w:val="none" w:sz="0" w:space="0" w:color="auto"/>
        <w:right w:val="none" w:sz="0" w:space="0" w:color="auto"/>
      </w:divBdr>
    </w:div>
    <w:div w:id="90661340">
      <w:bodyDiv w:val="1"/>
      <w:marLeft w:val="0"/>
      <w:marRight w:val="0"/>
      <w:marTop w:val="0"/>
      <w:marBottom w:val="0"/>
      <w:divBdr>
        <w:top w:val="none" w:sz="0" w:space="0" w:color="auto"/>
        <w:left w:val="none" w:sz="0" w:space="0" w:color="auto"/>
        <w:bottom w:val="none" w:sz="0" w:space="0" w:color="auto"/>
        <w:right w:val="none" w:sz="0" w:space="0" w:color="auto"/>
      </w:divBdr>
    </w:div>
    <w:div w:id="119614321">
      <w:bodyDiv w:val="1"/>
      <w:marLeft w:val="0"/>
      <w:marRight w:val="0"/>
      <w:marTop w:val="0"/>
      <w:marBottom w:val="0"/>
      <w:divBdr>
        <w:top w:val="none" w:sz="0" w:space="0" w:color="auto"/>
        <w:left w:val="none" w:sz="0" w:space="0" w:color="auto"/>
        <w:bottom w:val="none" w:sz="0" w:space="0" w:color="auto"/>
        <w:right w:val="none" w:sz="0" w:space="0" w:color="auto"/>
      </w:divBdr>
    </w:div>
    <w:div w:id="367686910">
      <w:bodyDiv w:val="1"/>
      <w:marLeft w:val="0"/>
      <w:marRight w:val="0"/>
      <w:marTop w:val="0"/>
      <w:marBottom w:val="0"/>
      <w:divBdr>
        <w:top w:val="none" w:sz="0" w:space="0" w:color="auto"/>
        <w:left w:val="none" w:sz="0" w:space="0" w:color="auto"/>
        <w:bottom w:val="none" w:sz="0" w:space="0" w:color="auto"/>
        <w:right w:val="none" w:sz="0" w:space="0" w:color="auto"/>
      </w:divBdr>
    </w:div>
    <w:div w:id="807666064">
      <w:bodyDiv w:val="1"/>
      <w:marLeft w:val="0"/>
      <w:marRight w:val="0"/>
      <w:marTop w:val="0"/>
      <w:marBottom w:val="0"/>
      <w:divBdr>
        <w:top w:val="none" w:sz="0" w:space="0" w:color="auto"/>
        <w:left w:val="none" w:sz="0" w:space="0" w:color="auto"/>
        <w:bottom w:val="none" w:sz="0" w:space="0" w:color="auto"/>
        <w:right w:val="none" w:sz="0" w:space="0" w:color="auto"/>
      </w:divBdr>
    </w:div>
    <w:div w:id="839656451">
      <w:bodyDiv w:val="1"/>
      <w:marLeft w:val="0"/>
      <w:marRight w:val="0"/>
      <w:marTop w:val="0"/>
      <w:marBottom w:val="0"/>
      <w:divBdr>
        <w:top w:val="none" w:sz="0" w:space="0" w:color="auto"/>
        <w:left w:val="none" w:sz="0" w:space="0" w:color="auto"/>
        <w:bottom w:val="none" w:sz="0" w:space="0" w:color="auto"/>
        <w:right w:val="none" w:sz="0" w:space="0" w:color="auto"/>
      </w:divBdr>
    </w:div>
    <w:div w:id="916868149">
      <w:bodyDiv w:val="1"/>
      <w:marLeft w:val="0"/>
      <w:marRight w:val="0"/>
      <w:marTop w:val="0"/>
      <w:marBottom w:val="0"/>
      <w:divBdr>
        <w:top w:val="none" w:sz="0" w:space="0" w:color="auto"/>
        <w:left w:val="none" w:sz="0" w:space="0" w:color="auto"/>
        <w:bottom w:val="none" w:sz="0" w:space="0" w:color="auto"/>
        <w:right w:val="none" w:sz="0" w:space="0" w:color="auto"/>
      </w:divBdr>
    </w:div>
    <w:div w:id="1150755690">
      <w:bodyDiv w:val="1"/>
      <w:marLeft w:val="0"/>
      <w:marRight w:val="0"/>
      <w:marTop w:val="0"/>
      <w:marBottom w:val="0"/>
      <w:divBdr>
        <w:top w:val="none" w:sz="0" w:space="0" w:color="auto"/>
        <w:left w:val="none" w:sz="0" w:space="0" w:color="auto"/>
        <w:bottom w:val="none" w:sz="0" w:space="0" w:color="auto"/>
        <w:right w:val="none" w:sz="0" w:space="0" w:color="auto"/>
      </w:divBdr>
    </w:div>
    <w:div w:id="1273052448">
      <w:bodyDiv w:val="1"/>
      <w:marLeft w:val="0"/>
      <w:marRight w:val="0"/>
      <w:marTop w:val="0"/>
      <w:marBottom w:val="0"/>
      <w:divBdr>
        <w:top w:val="none" w:sz="0" w:space="0" w:color="auto"/>
        <w:left w:val="none" w:sz="0" w:space="0" w:color="auto"/>
        <w:bottom w:val="none" w:sz="0" w:space="0" w:color="auto"/>
        <w:right w:val="none" w:sz="0" w:space="0" w:color="auto"/>
      </w:divBdr>
    </w:div>
    <w:div w:id="1297836696">
      <w:bodyDiv w:val="1"/>
      <w:marLeft w:val="0"/>
      <w:marRight w:val="0"/>
      <w:marTop w:val="0"/>
      <w:marBottom w:val="0"/>
      <w:divBdr>
        <w:top w:val="none" w:sz="0" w:space="0" w:color="auto"/>
        <w:left w:val="none" w:sz="0" w:space="0" w:color="auto"/>
        <w:bottom w:val="none" w:sz="0" w:space="0" w:color="auto"/>
        <w:right w:val="none" w:sz="0" w:space="0" w:color="auto"/>
      </w:divBdr>
    </w:div>
    <w:div w:id="1631352567">
      <w:bodyDiv w:val="1"/>
      <w:marLeft w:val="0"/>
      <w:marRight w:val="0"/>
      <w:marTop w:val="0"/>
      <w:marBottom w:val="0"/>
      <w:divBdr>
        <w:top w:val="none" w:sz="0" w:space="0" w:color="auto"/>
        <w:left w:val="none" w:sz="0" w:space="0" w:color="auto"/>
        <w:bottom w:val="none" w:sz="0" w:space="0" w:color="auto"/>
        <w:right w:val="none" w:sz="0" w:space="0" w:color="auto"/>
      </w:divBdr>
    </w:div>
    <w:div w:id="1704553962">
      <w:bodyDiv w:val="1"/>
      <w:marLeft w:val="0"/>
      <w:marRight w:val="0"/>
      <w:marTop w:val="0"/>
      <w:marBottom w:val="0"/>
      <w:divBdr>
        <w:top w:val="none" w:sz="0" w:space="0" w:color="auto"/>
        <w:left w:val="none" w:sz="0" w:space="0" w:color="auto"/>
        <w:bottom w:val="none" w:sz="0" w:space="0" w:color="auto"/>
        <w:right w:val="none" w:sz="0" w:space="0" w:color="auto"/>
      </w:divBdr>
    </w:div>
    <w:div w:id="1758600437">
      <w:bodyDiv w:val="1"/>
      <w:marLeft w:val="0"/>
      <w:marRight w:val="0"/>
      <w:marTop w:val="0"/>
      <w:marBottom w:val="0"/>
      <w:divBdr>
        <w:top w:val="none" w:sz="0" w:space="0" w:color="auto"/>
        <w:left w:val="none" w:sz="0" w:space="0" w:color="auto"/>
        <w:bottom w:val="none" w:sz="0" w:space="0" w:color="auto"/>
        <w:right w:val="none" w:sz="0" w:space="0" w:color="auto"/>
      </w:divBdr>
    </w:div>
    <w:div w:id="1882355293">
      <w:bodyDiv w:val="1"/>
      <w:marLeft w:val="0"/>
      <w:marRight w:val="0"/>
      <w:marTop w:val="0"/>
      <w:marBottom w:val="0"/>
      <w:divBdr>
        <w:top w:val="none" w:sz="0" w:space="0" w:color="auto"/>
        <w:left w:val="none" w:sz="0" w:space="0" w:color="auto"/>
        <w:bottom w:val="none" w:sz="0" w:space="0" w:color="auto"/>
        <w:right w:val="none" w:sz="0" w:space="0" w:color="auto"/>
      </w:divBdr>
    </w:div>
    <w:div w:id="1938441418">
      <w:bodyDiv w:val="1"/>
      <w:marLeft w:val="0"/>
      <w:marRight w:val="0"/>
      <w:marTop w:val="0"/>
      <w:marBottom w:val="0"/>
      <w:divBdr>
        <w:top w:val="none" w:sz="0" w:space="0" w:color="auto"/>
        <w:left w:val="none" w:sz="0" w:space="0" w:color="auto"/>
        <w:bottom w:val="none" w:sz="0" w:space="0" w:color="auto"/>
        <w:right w:val="none" w:sz="0" w:space="0" w:color="auto"/>
      </w:divBdr>
    </w:div>
    <w:div w:id="2038770839">
      <w:bodyDiv w:val="1"/>
      <w:marLeft w:val="0"/>
      <w:marRight w:val="0"/>
      <w:marTop w:val="0"/>
      <w:marBottom w:val="0"/>
      <w:divBdr>
        <w:top w:val="none" w:sz="0" w:space="0" w:color="auto"/>
        <w:left w:val="none" w:sz="0" w:space="0" w:color="auto"/>
        <w:bottom w:val="none" w:sz="0" w:space="0" w:color="auto"/>
        <w:right w:val="none" w:sz="0" w:space="0" w:color="auto"/>
      </w:divBdr>
    </w:div>
    <w:div w:id="2077119804">
      <w:bodyDiv w:val="1"/>
      <w:marLeft w:val="0"/>
      <w:marRight w:val="0"/>
      <w:marTop w:val="0"/>
      <w:marBottom w:val="0"/>
      <w:divBdr>
        <w:top w:val="none" w:sz="0" w:space="0" w:color="auto"/>
        <w:left w:val="none" w:sz="0" w:space="0" w:color="auto"/>
        <w:bottom w:val="none" w:sz="0" w:space="0" w:color="auto"/>
        <w:right w:val="none" w:sz="0" w:space="0" w:color="auto"/>
      </w:divBdr>
    </w:div>
    <w:div w:id="2114131289">
      <w:bodyDiv w:val="1"/>
      <w:marLeft w:val="0"/>
      <w:marRight w:val="0"/>
      <w:marTop w:val="0"/>
      <w:marBottom w:val="0"/>
      <w:divBdr>
        <w:top w:val="none" w:sz="0" w:space="0" w:color="auto"/>
        <w:left w:val="none" w:sz="0" w:space="0" w:color="auto"/>
        <w:bottom w:val="none" w:sz="0" w:space="0" w:color="auto"/>
        <w:right w:val="none" w:sz="0" w:space="0" w:color="auto"/>
      </w:divBdr>
    </w:div>
    <w:div w:id="213051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1F0E-C4ED-4537-AA74-9E410305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4040</Words>
  <Characters>23034</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NHFT</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Martin</dc:creator>
  <cp:keywords/>
  <dc:description/>
  <cp:lastModifiedBy>HEMSLEY, Amanda (LEICESTERSHIRE PARTNERSHIP NHS TRUST)</cp:lastModifiedBy>
  <cp:revision>2</cp:revision>
  <dcterms:created xsi:type="dcterms:W3CDTF">2021-12-10T11:52:00Z</dcterms:created>
  <dcterms:modified xsi:type="dcterms:W3CDTF">2021-12-10T11:52:00Z</dcterms:modified>
</cp:coreProperties>
</file>