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62EC" w14:textId="77777777" w:rsidR="001D7B29" w:rsidRDefault="00016DFC" w:rsidP="008013B6">
      <w:pPr>
        <w:rPr>
          <w:b/>
          <w:color w:val="4F81BD" w:themeColor="accent1"/>
          <w:sz w:val="30"/>
        </w:rPr>
      </w:pPr>
      <w:r w:rsidRPr="00153EAD">
        <w:rPr>
          <w:rFonts w:ascii="Arial" w:hAnsi="Arial" w:cs="Arial"/>
          <w:noProof/>
          <w:szCs w:val="24"/>
          <w:lang w:eastAsia="en-GB"/>
        </w:rPr>
        <w:drawing>
          <wp:anchor distT="0" distB="0" distL="114300" distR="114300" simplePos="0" relativeHeight="251461632" behindDoc="0" locked="0" layoutInCell="1" allowOverlap="1" wp14:anchorId="3DFF126F" wp14:editId="7D73057C">
            <wp:simplePos x="0" y="0"/>
            <wp:positionH relativeFrom="column">
              <wp:posOffset>4269740</wp:posOffset>
            </wp:positionH>
            <wp:positionV relativeFrom="paragraph">
              <wp:posOffset>-187960</wp:posOffset>
            </wp:positionV>
            <wp:extent cx="2409190" cy="715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265" t="17215" r="8093" b="33543"/>
                    <a:stretch>
                      <a:fillRect/>
                    </a:stretch>
                  </pic:blipFill>
                  <pic:spPr bwMode="auto">
                    <a:xfrm>
                      <a:off x="0" y="0"/>
                      <a:ext cx="240919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9EAAE" w14:textId="77777777" w:rsidR="001D7B29" w:rsidRDefault="001D7B29" w:rsidP="008013B6">
      <w:pPr>
        <w:rPr>
          <w:b/>
          <w:color w:val="4F81BD" w:themeColor="accent1"/>
          <w:sz w:val="30"/>
        </w:rPr>
      </w:pPr>
    </w:p>
    <w:p w14:paraId="45ECD1D4" w14:textId="51711B53" w:rsidR="0043360A" w:rsidRPr="00127224" w:rsidRDefault="00414BBF" w:rsidP="005F5260">
      <w:pPr>
        <w:ind w:right="687"/>
        <w:rPr>
          <w:b/>
          <w:color w:val="4F81BD" w:themeColor="accent1"/>
          <w:sz w:val="30"/>
        </w:rPr>
      </w:pPr>
      <w:r>
        <w:rPr>
          <w:b/>
          <w:color w:val="4F81BD" w:themeColor="accent1"/>
          <w:sz w:val="30"/>
        </w:rPr>
        <w:t xml:space="preserve">Public </w:t>
      </w:r>
      <w:r w:rsidR="001D7B29">
        <w:rPr>
          <w:b/>
          <w:color w:val="4F81BD" w:themeColor="accent1"/>
          <w:sz w:val="30"/>
        </w:rPr>
        <w:t>Trust Board</w:t>
      </w:r>
      <w:r w:rsidR="0043360A" w:rsidRPr="00127224">
        <w:rPr>
          <w:b/>
          <w:color w:val="4F81BD" w:themeColor="accent1"/>
          <w:sz w:val="30"/>
        </w:rPr>
        <w:t xml:space="preserve"> </w:t>
      </w:r>
      <w:r w:rsidR="005C2928" w:rsidRPr="00127224">
        <w:rPr>
          <w:b/>
          <w:color w:val="4F81BD" w:themeColor="accent1"/>
          <w:sz w:val="30"/>
        </w:rPr>
        <w:t xml:space="preserve">– </w:t>
      </w:r>
      <w:r w:rsidR="00B876A1">
        <w:rPr>
          <w:b/>
          <w:color w:val="4F81BD" w:themeColor="accent1"/>
          <w:sz w:val="30"/>
        </w:rPr>
        <w:t>31 January 2023</w:t>
      </w:r>
    </w:p>
    <w:p w14:paraId="293A89D5" w14:textId="77777777" w:rsidR="0043360A" w:rsidRDefault="003762AB" w:rsidP="005F5260">
      <w:pPr>
        <w:ind w:right="687"/>
        <w:rPr>
          <w:b/>
          <w:color w:val="4F81BD" w:themeColor="accent1"/>
          <w:sz w:val="30"/>
        </w:rPr>
      </w:pPr>
      <w:r>
        <w:rPr>
          <w:b/>
          <w:color w:val="4F81BD" w:themeColor="accent1"/>
          <w:sz w:val="30"/>
        </w:rPr>
        <w:t xml:space="preserve">Infection Prevention and Control </w:t>
      </w:r>
      <w:r w:rsidR="000915F3">
        <w:rPr>
          <w:b/>
          <w:color w:val="4F81BD" w:themeColor="accent1"/>
          <w:sz w:val="30"/>
        </w:rPr>
        <w:t>Six</w:t>
      </w:r>
      <w:r>
        <w:rPr>
          <w:b/>
          <w:color w:val="4F81BD" w:themeColor="accent1"/>
          <w:sz w:val="30"/>
        </w:rPr>
        <w:t xml:space="preserve">-Monthly </w:t>
      </w:r>
      <w:r w:rsidR="0043360A" w:rsidRPr="00127224">
        <w:rPr>
          <w:b/>
          <w:color w:val="4F81BD" w:themeColor="accent1"/>
          <w:sz w:val="30"/>
        </w:rPr>
        <w:t xml:space="preserve">Report </w:t>
      </w:r>
      <w:r>
        <w:rPr>
          <w:b/>
          <w:color w:val="4F81BD" w:themeColor="accent1"/>
          <w:sz w:val="30"/>
        </w:rPr>
        <w:t>to Trust Board</w:t>
      </w:r>
    </w:p>
    <w:p w14:paraId="45C685B9" w14:textId="77777777" w:rsidR="008511D6" w:rsidRPr="000E645A" w:rsidRDefault="008511D6" w:rsidP="005F5260">
      <w:pPr>
        <w:ind w:right="687"/>
        <w:rPr>
          <w:b/>
          <w:color w:val="4F81BD" w:themeColor="accent1"/>
          <w:sz w:val="28"/>
          <w:szCs w:val="28"/>
        </w:rPr>
      </w:pPr>
      <w:r w:rsidRPr="000E645A">
        <w:rPr>
          <w:b/>
          <w:color w:val="4F81BD" w:themeColor="accent1"/>
          <w:sz w:val="28"/>
          <w:szCs w:val="28"/>
        </w:rPr>
        <w:t>Introduction</w:t>
      </w:r>
    </w:p>
    <w:p w14:paraId="6C04DFC6" w14:textId="18AEAB6C" w:rsidR="003762AB" w:rsidRDefault="003762AB" w:rsidP="007B4F16">
      <w:pPr>
        <w:spacing w:after="120"/>
        <w:ind w:right="686"/>
        <w:rPr>
          <w:noProof/>
          <w:color w:val="000000"/>
          <w:sz w:val="24"/>
          <w:szCs w:val="24"/>
        </w:rPr>
      </w:pPr>
      <w:r w:rsidRPr="006B6E62">
        <w:rPr>
          <w:noProof/>
          <w:color w:val="000000"/>
          <w:sz w:val="24"/>
          <w:szCs w:val="24"/>
        </w:rPr>
        <w:t xml:space="preserve">This six monthly report provides assurance from the Director of Infection Prevention and Control (DIPaC) that the trust has a robust, effective and proactive </w:t>
      </w:r>
      <w:r w:rsidR="000915F3" w:rsidRPr="006B6E62">
        <w:rPr>
          <w:noProof/>
          <w:color w:val="000000"/>
          <w:sz w:val="24"/>
          <w:szCs w:val="24"/>
        </w:rPr>
        <w:t>I</w:t>
      </w:r>
      <w:r w:rsidRPr="006B6E62">
        <w:rPr>
          <w:noProof/>
          <w:color w:val="000000"/>
          <w:sz w:val="24"/>
          <w:szCs w:val="24"/>
        </w:rPr>
        <w:t xml:space="preserve">nfection </w:t>
      </w:r>
      <w:r w:rsidR="000915F3" w:rsidRPr="006B6E62">
        <w:rPr>
          <w:noProof/>
          <w:color w:val="000000"/>
          <w:sz w:val="24"/>
          <w:szCs w:val="24"/>
        </w:rPr>
        <w:t>P</w:t>
      </w:r>
      <w:r w:rsidRPr="006B6E62">
        <w:rPr>
          <w:noProof/>
          <w:color w:val="000000"/>
          <w:sz w:val="24"/>
          <w:szCs w:val="24"/>
        </w:rPr>
        <w:t xml:space="preserve">revention and </w:t>
      </w:r>
      <w:r w:rsidR="000915F3" w:rsidRPr="006B6E62">
        <w:rPr>
          <w:noProof/>
          <w:color w:val="000000"/>
          <w:sz w:val="24"/>
          <w:szCs w:val="24"/>
        </w:rPr>
        <w:t>C</w:t>
      </w:r>
      <w:r w:rsidRPr="006B6E62">
        <w:rPr>
          <w:noProof/>
          <w:color w:val="000000"/>
          <w:sz w:val="24"/>
          <w:szCs w:val="24"/>
        </w:rPr>
        <w:t xml:space="preserve">ontrol </w:t>
      </w:r>
      <w:r w:rsidR="000915F3" w:rsidRPr="006B6E62">
        <w:rPr>
          <w:noProof/>
          <w:color w:val="000000"/>
          <w:sz w:val="24"/>
          <w:szCs w:val="24"/>
        </w:rPr>
        <w:t xml:space="preserve">(IPC) </w:t>
      </w:r>
      <w:r w:rsidRPr="006B6E62">
        <w:rPr>
          <w:noProof/>
          <w:color w:val="000000"/>
          <w:sz w:val="24"/>
          <w:szCs w:val="24"/>
        </w:rPr>
        <w:t xml:space="preserve">strategy and work programme in place, that demonstrates compliance with the Health and Social Care Act 2008 (updated July 2015) also referred to as the Hygiene Code. </w:t>
      </w:r>
    </w:p>
    <w:p w14:paraId="78EB2ED2" w14:textId="77777777" w:rsidR="00557593" w:rsidRDefault="00557593" w:rsidP="005C2928">
      <w:pPr>
        <w:ind w:right="687"/>
        <w:rPr>
          <w:b/>
          <w:color w:val="4F81BD" w:themeColor="accent1"/>
          <w:sz w:val="28"/>
          <w:szCs w:val="28"/>
        </w:rPr>
      </w:pPr>
    </w:p>
    <w:p w14:paraId="19EB6488" w14:textId="35BEEF32" w:rsidR="005C2928" w:rsidRPr="005C2928" w:rsidRDefault="005C2928" w:rsidP="005C2928">
      <w:pPr>
        <w:ind w:right="687"/>
        <w:rPr>
          <w:b/>
          <w:color w:val="4F81BD" w:themeColor="accent1"/>
          <w:sz w:val="28"/>
          <w:szCs w:val="28"/>
        </w:rPr>
      </w:pPr>
      <w:r>
        <w:rPr>
          <w:b/>
          <w:color w:val="4F81BD" w:themeColor="accent1"/>
          <w:sz w:val="28"/>
          <w:szCs w:val="28"/>
        </w:rPr>
        <w:t>Background</w:t>
      </w:r>
    </w:p>
    <w:p w14:paraId="12099968" w14:textId="1A6EAC74" w:rsidR="00FF6B00" w:rsidRDefault="003762AB" w:rsidP="008511D6">
      <w:pPr>
        <w:spacing w:after="120"/>
        <w:ind w:right="687"/>
        <w:rPr>
          <w:noProof/>
          <w:color w:val="000000"/>
          <w:sz w:val="24"/>
          <w:szCs w:val="24"/>
        </w:rPr>
      </w:pPr>
      <w:r w:rsidRPr="006B6E62">
        <w:rPr>
          <w:noProof/>
          <w:color w:val="000000"/>
          <w:sz w:val="24"/>
          <w:szCs w:val="24"/>
        </w:rPr>
        <w:t>The Infection Prevention and Control (IP</w:t>
      </w:r>
      <w:r w:rsidR="001F69F3" w:rsidRPr="006B6E62">
        <w:rPr>
          <w:noProof/>
          <w:color w:val="000000"/>
          <w:sz w:val="24"/>
          <w:szCs w:val="24"/>
        </w:rPr>
        <w:t xml:space="preserve">C) team currently </w:t>
      </w:r>
      <w:r w:rsidR="007344B6">
        <w:rPr>
          <w:noProof/>
          <w:color w:val="000000"/>
          <w:sz w:val="24"/>
          <w:szCs w:val="24"/>
        </w:rPr>
        <w:t>has</w:t>
      </w:r>
      <w:r w:rsidR="001F69F3" w:rsidRPr="006B6E62">
        <w:rPr>
          <w:noProof/>
          <w:color w:val="000000"/>
          <w:sz w:val="24"/>
          <w:szCs w:val="24"/>
        </w:rPr>
        <w:t xml:space="preserve"> </w:t>
      </w:r>
      <w:r w:rsidR="00483787">
        <w:rPr>
          <w:noProof/>
          <w:color w:val="000000"/>
          <w:sz w:val="24"/>
          <w:szCs w:val="24"/>
        </w:rPr>
        <w:t>2.7</w:t>
      </w:r>
      <w:r w:rsidRPr="006B6E62">
        <w:rPr>
          <w:noProof/>
          <w:color w:val="000000"/>
          <w:sz w:val="24"/>
          <w:szCs w:val="24"/>
        </w:rPr>
        <w:t xml:space="preserve"> W</w:t>
      </w:r>
      <w:r w:rsidR="007344B6">
        <w:rPr>
          <w:noProof/>
          <w:color w:val="000000"/>
          <w:sz w:val="24"/>
          <w:szCs w:val="24"/>
        </w:rPr>
        <w:t xml:space="preserve">hole </w:t>
      </w:r>
      <w:r w:rsidRPr="006B6E62">
        <w:rPr>
          <w:noProof/>
          <w:color w:val="000000"/>
          <w:sz w:val="24"/>
          <w:szCs w:val="24"/>
        </w:rPr>
        <w:t>T</w:t>
      </w:r>
      <w:r w:rsidR="007344B6">
        <w:rPr>
          <w:noProof/>
          <w:color w:val="000000"/>
          <w:sz w:val="24"/>
          <w:szCs w:val="24"/>
        </w:rPr>
        <w:t xml:space="preserve">ime </w:t>
      </w:r>
      <w:r w:rsidRPr="006B6E62">
        <w:rPr>
          <w:noProof/>
          <w:color w:val="000000"/>
          <w:sz w:val="24"/>
          <w:szCs w:val="24"/>
        </w:rPr>
        <w:t>E</w:t>
      </w:r>
      <w:r w:rsidR="007344B6">
        <w:rPr>
          <w:noProof/>
          <w:color w:val="000000"/>
          <w:sz w:val="24"/>
          <w:szCs w:val="24"/>
        </w:rPr>
        <w:t>quivalent (WTE)</w:t>
      </w:r>
      <w:r w:rsidRPr="006B6E62">
        <w:rPr>
          <w:noProof/>
          <w:color w:val="000000"/>
          <w:sz w:val="24"/>
          <w:szCs w:val="24"/>
        </w:rPr>
        <w:t xml:space="preserve"> Infection Prevention and Control Nurses</w:t>
      </w:r>
      <w:r w:rsidR="004A1E8F">
        <w:rPr>
          <w:noProof/>
          <w:color w:val="000000"/>
          <w:sz w:val="24"/>
          <w:szCs w:val="24"/>
        </w:rPr>
        <w:t xml:space="preserve"> and 1 WTE IPC administrator.  The team is </w:t>
      </w:r>
      <w:r w:rsidRPr="006B6E62">
        <w:rPr>
          <w:noProof/>
          <w:color w:val="000000"/>
          <w:sz w:val="24"/>
          <w:szCs w:val="24"/>
        </w:rPr>
        <w:t>supported and managed by the</w:t>
      </w:r>
      <w:r w:rsidR="00A477F8">
        <w:rPr>
          <w:noProof/>
          <w:color w:val="000000"/>
          <w:sz w:val="24"/>
          <w:szCs w:val="24"/>
        </w:rPr>
        <w:t xml:space="preserve"> Deputy</w:t>
      </w:r>
      <w:r w:rsidRPr="006B6E62">
        <w:rPr>
          <w:noProof/>
          <w:color w:val="000000"/>
          <w:sz w:val="24"/>
          <w:szCs w:val="24"/>
        </w:rPr>
        <w:t xml:space="preserve"> Director of Nursing and </w:t>
      </w:r>
      <w:r w:rsidR="007344B6">
        <w:rPr>
          <w:noProof/>
          <w:color w:val="000000"/>
          <w:sz w:val="24"/>
          <w:szCs w:val="24"/>
        </w:rPr>
        <w:t>Quality</w:t>
      </w:r>
      <w:r w:rsidR="008511D6" w:rsidRPr="006B6E62">
        <w:rPr>
          <w:noProof/>
          <w:color w:val="000000"/>
          <w:sz w:val="24"/>
          <w:szCs w:val="24"/>
        </w:rPr>
        <w:t>/Deputy Director of Infection Prevention and Control (DDIPaC)</w:t>
      </w:r>
      <w:r w:rsidRPr="006B6E62">
        <w:rPr>
          <w:noProof/>
          <w:color w:val="000000"/>
          <w:sz w:val="24"/>
          <w:szCs w:val="24"/>
        </w:rPr>
        <w:t>. Recruitment into the IPC team</w:t>
      </w:r>
      <w:r w:rsidR="00A477F8">
        <w:rPr>
          <w:noProof/>
          <w:color w:val="000000"/>
          <w:sz w:val="24"/>
          <w:szCs w:val="24"/>
        </w:rPr>
        <w:t xml:space="preserve"> for vacancies due to retirement has</w:t>
      </w:r>
      <w:r w:rsidR="00483787">
        <w:rPr>
          <w:noProof/>
          <w:color w:val="000000"/>
          <w:sz w:val="24"/>
          <w:szCs w:val="24"/>
        </w:rPr>
        <w:t xml:space="preserve"> recently taken place, with 2. 4 wte band 6 IPC nurses successfully recruited and </w:t>
      </w:r>
      <w:r w:rsidR="00124CBA">
        <w:rPr>
          <w:noProof/>
          <w:color w:val="000000"/>
          <w:sz w:val="24"/>
          <w:szCs w:val="24"/>
        </w:rPr>
        <w:t>will be in post by the beginning of February 2023</w:t>
      </w:r>
      <w:r w:rsidR="00483787">
        <w:rPr>
          <w:noProof/>
          <w:color w:val="000000"/>
          <w:sz w:val="24"/>
          <w:szCs w:val="24"/>
        </w:rPr>
        <w:t xml:space="preserve">.  The vacant band 7 post </w:t>
      </w:r>
      <w:r w:rsidR="00604023">
        <w:rPr>
          <w:noProof/>
          <w:color w:val="000000"/>
          <w:sz w:val="24"/>
          <w:szCs w:val="24"/>
        </w:rPr>
        <w:t xml:space="preserve">will be readvertised </w:t>
      </w:r>
      <w:r w:rsidR="00124CBA">
        <w:rPr>
          <w:noProof/>
          <w:color w:val="000000"/>
          <w:sz w:val="24"/>
          <w:szCs w:val="24"/>
        </w:rPr>
        <w:t>as a development band 6/7 post</w:t>
      </w:r>
      <w:r w:rsidR="00483787">
        <w:rPr>
          <w:noProof/>
          <w:color w:val="000000"/>
          <w:sz w:val="24"/>
          <w:szCs w:val="24"/>
        </w:rPr>
        <w:t>.</w:t>
      </w:r>
      <w:r w:rsidR="00A477F8">
        <w:rPr>
          <w:noProof/>
          <w:color w:val="000000"/>
          <w:sz w:val="24"/>
          <w:szCs w:val="24"/>
        </w:rPr>
        <w:t xml:space="preserve"> </w:t>
      </w:r>
    </w:p>
    <w:p w14:paraId="06BD615F" w14:textId="4B4B7EAE" w:rsidR="00483787" w:rsidRDefault="00605C2B" w:rsidP="008511D6">
      <w:pPr>
        <w:spacing w:after="120"/>
        <w:ind w:right="687"/>
        <w:rPr>
          <w:sz w:val="24"/>
          <w:szCs w:val="24"/>
        </w:rPr>
      </w:pPr>
      <w:r w:rsidRPr="000915F3">
        <w:rPr>
          <w:sz w:val="24"/>
          <w:szCs w:val="24"/>
        </w:rPr>
        <w:t xml:space="preserve">The Infection Prevention and Control Board Assurance Framework (BAF) </w:t>
      </w:r>
      <w:r w:rsidR="004A1E8F">
        <w:rPr>
          <w:sz w:val="24"/>
          <w:szCs w:val="24"/>
        </w:rPr>
        <w:t>has been updated</w:t>
      </w:r>
      <w:r w:rsidR="00604023">
        <w:rPr>
          <w:sz w:val="24"/>
          <w:szCs w:val="24"/>
        </w:rPr>
        <w:t xml:space="preserve"> by NHS</w:t>
      </w:r>
      <w:r w:rsidR="00A434A8">
        <w:rPr>
          <w:sz w:val="24"/>
          <w:szCs w:val="24"/>
        </w:rPr>
        <w:t xml:space="preserve"> </w:t>
      </w:r>
      <w:r w:rsidR="00604023">
        <w:rPr>
          <w:sz w:val="24"/>
          <w:szCs w:val="24"/>
        </w:rPr>
        <w:t>E</w:t>
      </w:r>
      <w:r w:rsidR="00A434A8">
        <w:rPr>
          <w:sz w:val="24"/>
          <w:szCs w:val="24"/>
        </w:rPr>
        <w:t>ngland (NHSE)</w:t>
      </w:r>
      <w:r w:rsidR="00271EBD">
        <w:rPr>
          <w:sz w:val="24"/>
          <w:szCs w:val="24"/>
        </w:rPr>
        <w:t xml:space="preserve"> </w:t>
      </w:r>
      <w:r w:rsidR="00483787">
        <w:rPr>
          <w:sz w:val="24"/>
          <w:szCs w:val="24"/>
        </w:rPr>
        <w:t xml:space="preserve">in September of this year.  This document is intended to support the organisation in responding in an evidence-based way to maintain the safety of patients, service users and staff.  </w:t>
      </w:r>
      <w:r w:rsidR="00604023">
        <w:rPr>
          <w:sz w:val="24"/>
          <w:szCs w:val="24"/>
        </w:rPr>
        <w:t xml:space="preserve">Whilst the </w:t>
      </w:r>
      <w:r w:rsidR="00A434A8">
        <w:rPr>
          <w:sz w:val="24"/>
          <w:szCs w:val="24"/>
        </w:rPr>
        <w:t>United Kingdom Health Security Agency (</w:t>
      </w:r>
      <w:r w:rsidR="00604023">
        <w:rPr>
          <w:sz w:val="24"/>
          <w:szCs w:val="24"/>
        </w:rPr>
        <w:t>U</w:t>
      </w:r>
      <w:r w:rsidR="00483787">
        <w:rPr>
          <w:sz w:val="24"/>
          <w:szCs w:val="24"/>
        </w:rPr>
        <w:t>KHSA</w:t>
      </w:r>
      <w:r w:rsidR="00A434A8">
        <w:rPr>
          <w:sz w:val="24"/>
          <w:szCs w:val="24"/>
        </w:rPr>
        <w:t>)</w:t>
      </w:r>
      <w:r w:rsidR="00483787">
        <w:rPr>
          <w:sz w:val="24"/>
          <w:szCs w:val="24"/>
        </w:rPr>
        <w:t xml:space="preserve"> guidance for the application of measures of Infection Prevention and Control in response to the SARS-CoV-2 pandemic was archived at the end of April 2022</w:t>
      </w:r>
      <w:r w:rsidR="00604023">
        <w:rPr>
          <w:sz w:val="24"/>
          <w:szCs w:val="24"/>
        </w:rPr>
        <w:t>,</w:t>
      </w:r>
      <w:r w:rsidR="00483787">
        <w:rPr>
          <w:sz w:val="24"/>
          <w:szCs w:val="24"/>
        </w:rPr>
        <w:t xml:space="preserve"> </w:t>
      </w:r>
      <w:r w:rsidR="00604023">
        <w:rPr>
          <w:sz w:val="24"/>
          <w:szCs w:val="24"/>
        </w:rPr>
        <w:t>t</w:t>
      </w:r>
      <w:r w:rsidR="00832FED">
        <w:rPr>
          <w:sz w:val="24"/>
          <w:szCs w:val="24"/>
        </w:rPr>
        <w:t>he intention is that the BAF combined with the National Infection Prevention and Control Manual for England (April 2022) will support the trust to develop, review and support internal assurances.</w:t>
      </w:r>
      <w:r w:rsidR="00604023">
        <w:rPr>
          <w:sz w:val="24"/>
          <w:szCs w:val="24"/>
        </w:rPr>
        <w:t xml:space="preserve"> With an increase of C</w:t>
      </w:r>
      <w:r w:rsidR="008525A9">
        <w:rPr>
          <w:sz w:val="24"/>
          <w:szCs w:val="24"/>
        </w:rPr>
        <w:t>OVID</w:t>
      </w:r>
      <w:r w:rsidR="00604023">
        <w:rPr>
          <w:sz w:val="24"/>
          <w:szCs w:val="24"/>
        </w:rPr>
        <w:t>-19 and Influenza during the autumn into winter 2022/23 there have been a number of recent guidance publications.</w:t>
      </w:r>
    </w:p>
    <w:p w14:paraId="6E47F1A1" w14:textId="77777777" w:rsidR="00483787" w:rsidRDefault="00483787" w:rsidP="008511D6">
      <w:pPr>
        <w:spacing w:after="120"/>
        <w:ind w:right="687"/>
        <w:rPr>
          <w:sz w:val="24"/>
          <w:szCs w:val="24"/>
        </w:rPr>
      </w:pPr>
    </w:p>
    <w:p w14:paraId="0E581427" w14:textId="77777777" w:rsidR="0043360A" w:rsidRDefault="0043360A" w:rsidP="008511D6">
      <w:pPr>
        <w:spacing w:after="120"/>
        <w:ind w:right="687"/>
        <w:rPr>
          <w:b/>
          <w:color w:val="4F81BD" w:themeColor="accent1"/>
          <w:sz w:val="28"/>
        </w:rPr>
      </w:pPr>
      <w:r w:rsidRPr="00E2366B">
        <w:rPr>
          <w:b/>
          <w:color w:val="4F81BD" w:themeColor="accent1"/>
          <w:sz w:val="28"/>
        </w:rPr>
        <w:t>Purpose of the report</w:t>
      </w:r>
    </w:p>
    <w:p w14:paraId="6409C65A" w14:textId="77777777" w:rsidR="003762AB" w:rsidRDefault="003762AB" w:rsidP="008511D6">
      <w:pPr>
        <w:spacing w:after="120"/>
        <w:ind w:right="687"/>
        <w:rPr>
          <w:rFonts w:eastAsia="Arial"/>
          <w:bCs/>
          <w:sz w:val="24"/>
          <w:szCs w:val="24"/>
        </w:rPr>
      </w:pPr>
      <w:r w:rsidRPr="006B6E62">
        <w:rPr>
          <w:sz w:val="24"/>
          <w:szCs w:val="24"/>
        </w:rPr>
        <w:t>The aim of this report is to provide the Trust Board with assurance there is</w:t>
      </w:r>
      <w:r w:rsidRPr="006B6E62">
        <w:rPr>
          <w:noProof/>
          <w:color w:val="000000"/>
          <w:sz w:val="24"/>
          <w:szCs w:val="24"/>
        </w:rPr>
        <w:t xml:space="preserve"> a robust, effective and proactive infection prevention and control programme in place, that demonstrates compliance with</w:t>
      </w:r>
      <w:r w:rsidRPr="000915F3">
        <w:rPr>
          <w:noProof/>
          <w:color w:val="000000"/>
          <w:sz w:val="24"/>
          <w:szCs w:val="24"/>
        </w:rPr>
        <w:t xml:space="preserve"> the Health and Social Care Act 2008 (updated July 2015) and to assure the board</w:t>
      </w:r>
      <w:r w:rsidRPr="000915F3">
        <w:rPr>
          <w:rFonts w:eastAsia="Arial"/>
          <w:bCs/>
          <w:sz w:val="24"/>
          <w:szCs w:val="24"/>
        </w:rPr>
        <w:t xml:space="preserve"> that all IPC measures taken are in line with government COVID-19 IPC guidance.</w:t>
      </w:r>
    </w:p>
    <w:p w14:paraId="660B4EA6" w14:textId="0D14B51F" w:rsidR="005A0186" w:rsidRDefault="00605C2B" w:rsidP="005A0186">
      <w:pPr>
        <w:spacing w:after="120"/>
        <w:ind w:right="687"/>
        <w:rPr>
          <w:noProof/>
          <w:color w:val="000000"/>
          <w:sz w:val="24"/>
          <w:szCs w:val="24"/>
        </w:rPr>
      </w:pPr>
      <w:r>
        <w:rPr>
          <w:noProof/>
          <w:color w:val="000000"/>
          <w:sz w:val="24"/>
          <w:szCs w:val="24"/>
        </w:rPr>
        <w:t>In addition t</w:t>
      </w:r>
      <w:r w:rsidR="005A0186" w:rsidRPr="006B6E62">
        <w:rPr>
          <w:noProof/>
          <w:color w:val="000000"/>
          <w:sz w:val="24"/>
          <w:szCs w:val="24"/>
        </w:rPr>
        <w:t>he report provides update</w:t>
      </w:r>
      <w:r>
        <w:rPr>
          <w:noProof/>
          <w:color w:val="000000"/>
          <w:sz w:val="24"/>
          <w:szCs w:val="24"/>
        </w:rPr>
        <w:t>s</w:t>
      </w:r>
      <w:r w:rsidR="005A0186" w:rsidRPr="006B6E62">
        <w:rPr>
          <w:noProof/>
          <w:color w:val="000000"/>
          <w:sz w:val="24"/>
          <w:szCs w:val="24"/>
        </w:rPr>
        <w:t xml:space="preserve"> on</w:t>
      </w:r>
      <w:r w:rsidR="005A0186">
        <w:rPr>
          <w:noProof/>
          <w:color w:val="000000"/>
          <w:sz w:val="24"/>
          <w:szCs w:val="24"/>
        </w:rPr>
        <w:t>;</w:t>
      </w:r>
    </w:p>
    <w:p w14:paraId="7E684B60" w14:textId="17AA225D" w:rsidR="00A64FA5" w:rsidRDefault="00605C2B" w:rsidP="00A53882">
      <w:pPr>
        <w:pStyle w:val="ListParagraph"/>
        <w:numPr>
          <w:ilvl w:val="0"/>
          <w:numId w:val="3"/>
        </w:numPr>
        <w:spacing w:after="120"/>
        <w:ind w:right="687"/>
        <w:rPr>
          <w:noProof/>
          <w:color w:val="000000"/>
          <w:sz w:val="24"/>
          <w:szCs w:val="24"/>
        </w:rPr>
      </w:pPr>
      <w:r w:rsidRPr="00A64FA5">
        <w:rPr>
          <w:noProof/>
          <w:color w:val="000000"/>
          <w:sz w:val="24"/>
          <w:szCs w:val="24"/>
        </w:rPr>
        <w:t>I</w:t>
      </w:r>
      <w:r w:rsidR="005A0186" w:rsidRPr="00A64FA5">
        <w:rPr>
          <w:noProof/>
          <w:color w:val="000000"/>
          <w:sz w:val="24"/>
          <w:szCs w:val="24"/>
        </w:rPr>
        <w:t>nformation, quality improvement learning and actions for compliance in regard to C</w:t>
      </w:r>
      <w:r w:rsidR="008525A9">
        <w:rPr>
          <w:noProof/>
          <w:color w:val="000000"/>
          <w:sz w:val="24"/>
          <w:szCs w:val="24"/>
        </w:rPr>
        <w:t>OVID</w:t>
      </w:r>
      <w:r w:rsidR="005A0186" w:rsidRPr="00A64FA5">
        <w:rPr>
          <w:noProof/>
          <w:color w:val="000000"/>
          <w:sz w:val="24"/>
          <w:szCs w:val="24"/>
        </w:rPr>
        <w:t>-19 outbreaks and  nosocomial C</w:t>
      </w:r>
      <w:r w:rsidR="008525A9">
        <w:rPr>
          <w:noProof/>
          <w:color w:val="000000"/>
          <w:sz w:val="24"/>
          <w:szCs w:val="24"/>
        </w:rPr>
        <w:t>OVID</w:t>
      </w:r>
      <w:r w:rsidR="005A0186" w:rsidRPr="00A64FA5">
        <w:rPr>
          <w:noProof/>
          <w:color w:val="000000"/>
          <w:sz w:val="24"/>
          <w:szCs w:val="24"/>
        </w:rPr>
        <w:t>-19</w:t>
      </w:r>
      <w:r w:rsidRPr="00A64FA5">
        <w:rPr>
          <w:noProof/>
          <w:color w:val="000000"/>
          <w:sz w:val="24"/>
          <w:szCs w:val="24"/>
        </w:rPr>
        <w:t>.</w:t>
      </w:r>
      <w:r w:rsidR="005A0186" w:rsidRPr="00A64FA5">
        <w:rPr>
          <w:noProof/>
          <w:color w:val="000000"/>
          <w:sz w:val="24"/>
          <w:szCs w:val="24"/>
        </w:rPr>
        <w:t xml:space="preserve"> </w:t>
      </w:r>
    </w:p>
    <w:p w14:paraId="37785C4A" w14:textId="74F8586E" w:rsidR="00A64FA5" w:rsidRDefault="00A64FA5" w:rsidP="00A53882">
      <w:pPr>
        <w:pStyle w:val="ListParagraph"/>
        <w:numPr>
          <w:ilvl w:val="0"/>
          <w:numId w:val="3"/>
        </w:numPr>
        <w:spacing w:after="120"/>
        <w:ind w:right="687"/>
        <w:rPr>
          <w:noProof/>
          <w:color w:val="000000"/>
          <w:sz w:val="24"/>
          <w:szCs w:val="24"/>
        </w:rPr>
      </w:pPr>
      <w:r>
        <w:rPr>
          <w:noProof/>
          <w:color w:val="000000"/>
          <w:sz w:val="24"/>
          <w:szCs w:val="24"/>
        </w:rPr>
        <w:lastRenderedPageBreak/>
        <w:t>Report for the Deaths from C</w:t>
      </w:r>
      <w:r w:rsidR="001634C5">
        <w:rPr>
          <w:noProof/>
          <w:color w:val="000000"/>
          <w:sz w:val="24"/>
          <w:szCs w:val="24"/>
        </w:rPr>
        <w:t>OVID</w:t>
      </w:r>
      <w:r>
        <w:rPr>
          <w:noProof/>
          <w:color w:val="000000"/>
          <w:sz w:val="24"/>
          <w:szCs w:val="24"/>
        </w:rPr>
        <w:t>-19</w:t>
      </w:r>
    </w:p>
    <w:p w14:paraId="75AC2EAA" w14:textId="0220981E" w:rsidR="00605C2B" w:rsidRPr="00A64FA5" w:rsidRDefault="004B21EB" w:rsidP="00A53882">
      <w:pPr>
        <w:pStyle w:val="ListParagraph"/>
        <w:numPr>
          <w:ilvl w:val="0"/>
          <w:numId w:val="3"/>
        </w:numPr>
        <w:spacing w:after="120"/>
        <w:ind w:right="687"/>
        <w:rPr>
          <w:noProof/>
          <w:color w:val="000000"/>
          <w:sz w:val="24"/>
          <w:szCs w:val="24"/>
        </w:rPr>
      </w:pPr>
      <w:r w:rsidRPr="00A64FA5">
        <w:rPr>
          <w:noProof/>
          <w:color w:val="000000"/>
          <w:sz w:val="24"/>
          <w:szCs w:val="24"/>
        </w:rPr>
        <w:t>Podiatry decontamination update</w:t>
      </w:r>
    </w:p>
    <w:p w14:paraId="3C99E228" w14:textId="03CE808B" w:rsidR="005C01DB" w:rsidRDefault="005C01DB" w:rsidP="00A53882">
      <w:pPr>
        <w:pStyle w:val="ListParagraph"/>
        <w:numPr>
          <w:ilvl w:val="0"/>
          <w:numId w:val="3"/>
        </w:numPr>
        <w:spacing w:after="120"/>
        <w:ind w:right="687"/>
        <w:rPr>
          <w:noProof/>
          <w:color w:val="000000"/>
          <w:sz w:val="24"/>
          <w:szCs w:val="24"/>
        </w:rPr>
      </w:pPr>
      <w:r>
        <w:rPr>
          <w:noProof/>
          <w:color w:val="000000"/>
          <w:sz w:val="24"/>
          <w:szCs w:val="24"/>
        </w:rPr>
        <w:t xml:space="preserve">Legionella incident – Rutland Memorial </w:t>
      </w:r>
      <w:r w:rsidR="00124CBA">
        <w:rPr>
          <w:noProof/>
          <w:color w:val="000000"/>
          <w:sz w:val="24"/>
          <w:szCs w:val="24"/>
        </w:rPr>
        <w:t xml:space="preserve">Community </w:t>
      </w:r>
      <w:r>
        <w:rPr>
          <w:noProof/>
          <w:color w:val="000000"/>
          <w:sz w:val="24"/>
          <w:szCs w:val="24"/>
        </w:rPr>
        <w:t>Hospital</w:t>
      </w:r>
    </w:p>
    <w:p w14:paraId="0FEEBB81" w14:textId="2F530AD8" w:rsidR="00124CBA" w:rsidRDefault="00124CBA" w:rsidP="00A53882">
      <w:pPr>
        <w:pStyle w:val="ListParagraph"/>
        <w:numPr>
          <w:ilvl w:val="0"/>
          <w:numId w:val="3"/>
        </w:numPr>
        <w:spacing w:after="120"/>
        <w:ind w:right="687"/>
        <w:rPr>
          <w:noProof/>
          <w:color w:val="000000"/>
          <w:sz w:val="24"/>
          <w:szCs w:val="24"/>
        </w:rPr>
      </w:pPr>
      <w:r>
        <w:rPr>
          <w:noProof/>
          <w:color w:val="000000"/>
          <w:sz w:val="24"/>
          <w:szCs w:val="24"/>
        </w:rPr>
        <w:t>Legionella incident – Loughborough Community Hospital</w:t>
      </w:r>
    </w:p>
    <w:p w14:paraId="1B1CDC85" w14:textId="77777777" w:rsidR="00123925" w:rsidRDefault="00123925" w:rsidP="00453DD1">
      <w:pPr>
        <w:spacing w:after="120"/>
        <w:rPr>
          <w:b/>
          <w:color w:val="4F81BD" w:themeColor="accent1"/>
          <w:sz w:val="28"/>
          <w:szCs w:val="28"/>
        </w:rPr>
      </w:pPr>
    </w:p>
    <w:p w14:paraId="5B3B0292" w14:textId="77777777" w:rsidR="00991BD3" w:rsidRDefault="008511D6" w:rsidP="00991BD3">
      <w:pPr>
        <w:spacing w:after="120"/>
        <w:rPr>
          <w:b/>
          <w:color w:val="4F81BD" w:themeColor="accent1"/>
          <w:sz w:val="28"/>
          <w:szCs w:val="28"/>
        </w:rPr>
      </w:pPr>
      <w:r w:rsidRPr="000E645A">
        <w:rPr>
          <w:b/>
          <w:color w:val="4F81BD" w:themeColor="accent1"/>
          <w:sz w:val="28"/>
          <w:szCs w:val="28"/>
        </w:rPr>
        <w:t>Analysis of the issue</w:t>
      </w:r>
    </w:p>
    <w:p w14:paraId="2BDE9385" w14:textId="16021AF2" w:rsidR="00677F05" w:rsidRPr="00991BD3" w:rsidRDefault="00991BD3" w:rsidP="00991BD3">
      <w:pPr>
        <w:spacing w:after="120"/>
        <w:rPr>
          <w:rFonts w:eastAsia="Arial"/>
          <w:bCs/>
          <w:sz w:val="24"/>
          <w:szCs w:val="24"/>
        </w:rPr>
      </w:pPr>
      <w:r w:rsidRPr="00991BD3">
        <w:rPr>
          <w:b/>
          <w:sz w:val="24"/>
          <w:szCs w:val="24"/>
        </w:rPr>
        <w:t>1.0</w:t>
      </w:r>
      <w:r>
        <w:rPr>
          <w:b/>
          <w:color w:val="4F81BD" w:themeColor="accent1"/>
          <w:sz w:val="28"/>
          <w:szCs w:val="28"/>
        </w:rPr>
        <w:tab/>
      </w:r>
      <w:r w:rsidR="001527C1" w:rsidRPr="00991BD3">
        <w:rPr>
          <w:b/>
          <w:sz w:val="24"/>
          <w:szCs w:val="24"/>
        </w:rPr>
        <w:t>COVID-19 pandemic</w:t>
      </w:r>
    </w:p>
    <w:p w14:paraId="1C2751BB" w14:textId="773B356E" w:rsidR="00991BD3" w:rsidRPr="00991BD3" w:rsidRDefault="00991BD3" w:rsidP="00991BD3">
      <w:pPr>
        <w:pStyle w:val="NormalWeb"/>
        <w:spacing w:before="0" w:beforeAutospacing="0" w:after="120" w:afterAutospacing="0" w:line="276" w:lineRule="auto"/>
        <w:ind w:left="720" w:hanging="720"/>
        <w:rPr>
          <w:rFonts w:ascii="Calibri" w:hAnsi="Calibri" w:cs="Calibri"/>
        </w:rPr>
      </w:pPr>
      <w:r w:rsidRPr="00991BD3">
        <w:rPr>
          <w:rFonts w:ascii="Calibri" w:hAnsi="Calibri" w:cs="Calibri"/>
        </w:rPr>
        <w:t>1.1</w:t>
      </w:r>
      <w:r w:rsidRPr="00991BD3">
        <w:rPr>
          <w:rFonts w:ascii="Calibri" w:hAnsi="Calibri" w:cs="Calibri"/>
        </w:rPr>
        <w:tab/>
        <w:t>Between 1</w:t>
      </w:r>
      <w:r w:rsidRPr="00991BD3">
        <w:rPr>
          <w:rFonts w:ascii="Calibri" w:hAnsi="Calibri" w:cs="Calibri"/>
          <w:vertAlign w:val="superscript"/>
        </w:rPr>
        <w:t>st</w:t>
      </w:r>
      <w:r w:rsidRPr="00991BD3">
        <w:rPr>
          <w:rFonts w:ascii="Calibri" w:hAnsi="Calibri" w:cs="Calibri"/>
        </w:rPr>
        <w:t xml:space="preserve"> January 2022 and 31</w:t>
      </w:r>
      <w:r w:rsidRPr="00991BD3">
        <w:rPr>
          <w:rFonts w:ascii="Calibri" w:hAnsi="Calibri" w:cs="Calibri"/>
          <w:vertAlign w:val="superscript"/>
        </w:rPr>
        <w:t>st</w:t>
      </w:r>
      <w:r w:rsidRPr="00991BD3">
        <w:rPr>
          <w:rFonts w:ascii="Calibri" w:hAnsi="Calibri" w:cs="Calibri"/>
        </w:rPr>
        <w:t xml:space="preserve"> December 2022, LPT recorded 73 COVID -19 outbreaks, including incidents that occurred in non-</w:t>
      </w:r>
      <w:r w:rsidRPr="00991BD3">
        <w:rPr>
          <w:rFonts w:ascii="Calibri" w:hAnsi="Calibri" w:cs="Calibri"/>
          <w:spacing w:val="1"/>
        </w:rPr>
        <w:t xml:space="preserve"> </w:t>
      </w:r>
      <w:r w:rsidRPr="00991BD3">
        <w:rPr>
          <w:rFonts w:ascii="Calibri" w:hAnsi="Calibri" w:cs="Calibri"/>
        </w:rPr>
        <w:t>clinical areas affecting staff only. 42 of the outbreaks occurred in Community Health Services and 31 occurred in Directorates of Mental Health, Families and Young People and Learning Disabilities Services.</w:t>
      </w:r>
    </w:p>
    <w:p w14:paraId="2B773399" w14:textId="5F96A524" w:rsidR="00991BD3" w:rsidRDefault="00991BD3" w:rsidP="00991BD3">
      <w:pPr>
        <w:pStyle w:val="BodyText"/>
        <w:ind w:left="0" w:right="393"/>
        <w:jc w:val="both"/>
        <w:rPr>
          <w:sz w:val="24"/>
          <w:szCs w:val="24"/>
          <w:u w:val="single"/>
        </w:rPr>
      </w:pPr>
      <w:r w:rsidRPr="00991BD3">
        <w:rPr>
          <w:sz w:val="24"/>
          <w:szCs w:val="24"/>
        </w:rPr>
        <w:t>1.2</w:t>
      </w:r>
      <w:r w:rsidRPr="00991BD3">
        <w:rPr>
          <w:sz w:val="24"/>
          <w:szCs w:val="24"/>
        </w:rPr>
        <w:tab/>
      </w:r>
      <w:r>
        <w:rPr>
          <w:sz w:val="24"/>
          <w:szCs w:val="24"/>
          <w:u w:val="single"/>
        </w:rPr>
        <w:t>COVID-19 figures from 1</w:t>
      </w:r>
      <w:r>
        <w:rPr>
          <w:sz w:val="24"/>
          <w:szCs w:val="24"/>
          <w:u w:val="single"/>
          <w:vertAlign w:val="superscript"/>
        </w:rPr>
        <w:t>st</w:t>
      </w:r>
      <w:r>
        <w:rPr>
          <w:sz w:val="24"/>
          <w:szCs w:val="24"/>
          <w:u w:val="single"/>
        </w:rPr>
        <w:t xml:space="preserve"> January 2022 – 31</w:t>
      </w:r>
      <w:r>
        <w:rPr>
          <w:sz w:val="24"/>
          <w:szCs w:val="24"/>
          <w:u w:val="single"/>
          <w:vertAlign w:val="superscript"/>
        </w:rPr>
        <w:t>st</w:t>
      </w:r>
      <w:r>
        <w:rPr>
          <w:sz w:val="24"/>
          <w:szCs w:val="24"/>
          <w:u w:val="single"/>
        </w:rPr>
        <w:t xml:space="preserve"> December 2022:</w:t>
      </w:r>
    </w:p>
    <w:p w14:paraId="1703450F" w14:textId="77777777" w:rsidR="00991BD3" w:rsidRDefault="00991BD3" w:rsidP="00991BD3">
      <w:pPr>
        <w:pStyle w:val="BodyText"/>
        <w:ind w:right="393"/>
        <w:rPr>
          <w:sz w:val="24"/>
          <w:szCs w:val="24"/>
          <w:u w:val="single"/>
        </w:rPr>
      </w:pPr>
    </w:p>
    <w:p w14:paraId="3C602C02" w14:textId="2635607F" w:rsidR="00991BD3" w:rsidRPr="00991BD3" w:rsidRDefault="00991BD3" w:rsidP="00991BD3">
      <w:pPr>
        <w:pStyle w:val="BodyText"/>
        <w:ind w:left="720" w:right="393"/>
        <w:rPr>
          <w:sz w:val="24"/>
          <w:szCs w:val="24"/>
        </w:rPr>
      </w:pPr>
      <w:r w:rsidRPr="00991BD3">
        <w:rPr>
          <w:sz w:val="24"/>
          <w:szCs w:val="24"/>
        </w:rPr>
        <w:t xml:space="preserve">Total number of COVID-19 patient cases = 484 </w:t>
      </w:r>
    </w:p>
    <w:p w14:paraId="68C3B77C" w14:textId="77777777" w:rsidR="00991BD3" w:rsidRPr="00991BD3" w:rsidRDefault="00991BD3" w:rsidP="00991BD3">
      <w:pPr>
        <w:pStyle w:val="BodyText"/>
        <w:ind w:left="720" w:right="393"/>
        <w:rPr>
          <w:sz w:val="24"/>
          <w:szCs w:val="24"/>
        </w:rPr>
      </w:pPr>
    </w:p>
    <w:p w14:paraId="1E852757" w14:textId="52E1D2C8" w:rsidR="00991BD3" w:rsidRPr="00991BD3" w:rsidRDefault="00991BD3" w:rsidP="00A53882">
      <w:pPr>
        <w:pStyle w:val="BodyText"/>
        <w:numPr>
          <w:ilvl w:val="0"/>
          <w:numId w:val="7"/>
        </w:numPr>
        <w:ind w:right="393"/>
        <w:rPr>
          <w:rFonts w:eastAsia="Times New Roman"/>
          <w:sz w:val="24"/>
          <w:szCs w:val="24"/>
        </w:rPr>
      </w:pPr>
      <w:r w:rsidRPr="00991BD3">
        <w:rPr>
          <w:rFonts w:eastAsia="Times New Roman"/>
          <w:sz w:val="24"/>
          <w:szCs w:val="24"/>
        </w:rPr>
        <w:t>Total number of COVID-19 cases 0-2 days = 35</w:t>
      </w:r>
    </w:p>
    <w:p w14:paraId="7542FA5C" w14:textId="77777777" w:rsidR="00991BD3" w:rsidRPr="00991BD3" w:rsidRDefault="00991BD3" w:rsidP="00A53882">
      <w:pPr>
        <w:pStyle w:val="BodyText"/>
        <w:widowControl/>
        <w:numPr>
          <w:ilvl w:val="0"/>
          <w:numId w:val="7"/>
        </w:numPr>
        <w:autoSpaceDE w:val="0"/>
        <w:autoSpaceDN w:val="0"/>
        <w:ind w:right="393"/>
        <w:rPr>
          <w:rFonts w:eastAsia="Times New Roman"/>
          <w:sz w:val="24"/>
          <w:szCs w:val="24"/>
        </w:rPr>
      </w:pPr>
      <w:r w:rsidRPr="00991BD3">
        <w:rPr>
          <w:rFonts w:eastAsia="Times New Roman"/>
          <w:sz w:val="24"/>
          <w:szCs w:val="24"/>
        </w:rPr>
        <w:t>Total number of COVID-19 cases 3-7 days = 99</w:t>
      </w:r>
    </w:p>
    <w:p w14:paraId="258B9FBF" w14:textId="77777777" w:rsidR="00991BD3" w:rsidRPr="00991BD3" w:rsidRDefault="00991BD3" w:rsidP="00A53882">
      <w:pPr>
        <w:pStyle w:val="BodyText"/>
        <w:widowControl/>
        <w:numPr>
          <w:ilvl w:val="0"/>
          <w:numId w:val="7"/>
        </w:numPr>
        <w:autoSpaceDE w:val="0"/>
        <w:autoSpaceDN w:val="0"/>
        <w:ind w:right="393"/>
        <w:rPr>
          <w:rFonts w:eastAsia="Times New Roman"/>
          <w:sz w:val="24"/>
          <w:szCs w:val="24"/>
        </w:rPr>
      </w:pPr>
      <w:r w:rsidRPr="00991BD3">
        <w:rPr>
          <w:rFonts w:eastAsia="Times New Roman"/>
          <w:sz w:val="24"/>
          <w:szCs w:val="24"/>
        </w:rPr>
        <w:t>Total number of COVID-19 probable nosocomial cases = 78</w:t>
      </w:r>
    </w:p>
    <w:p w14:paraId="787C33D5" w14:textId="77777777" w:rsidR="00991BD3" w:rsidRPr="00991BD3" w:rsidRDefault="00991BD3" w:rsidP="00A53882">
      <w:pPr>
        <w:pStyle w:val="BodyText"/>
        <w:widowControl/>
        <w:numPr>
          <w:ilvl w:val="0"/>
          <w:numId w:val="7"/>
        </w:numPr>
        <w:autoSpaceDE w:val="0"/>
        <w:autoSpaceDN w:val="0"/>
        <w:ind w:right="393"/>
        <w:rPr>
          <w:rFonts w:eastAsia="Times New Roman"/>
          <w:sz w:val="24"/>
          <w:szCs w:val="24"/>
        </w:rPr>
      </w:pPr>
      <w:r w:rsidRPr="00991BD3">
        <w:rPr>
          <w:rFonts w:eastAsia="Times New Roman"/>
          <w:sz w:val="24"/>
          <w:szCs w:val="24"/>
        </w:rPr>
        <w:t>Total number of COVID-19 definite nosocomial cases = 272</w:t>
      </w:r>
    </w:p>
    <w:p w14:paraId="79F6D252" w14:textId="77777777" w:rsidR="00991BD3" w:rsidRDefault="00991BD3" w:rsidP="00991BD3">
      <w:pPr>
        <w:pStyle w:val="BodyText"/>
        <w:ind w:left="0" w:right="393"/>
        <w:rPr>
          <w:rFonts w:eastAsiaTheme="minorHAnsi"/>
          <w:sz w:val="24"/>
          <w:szCs w:val="24"/>
        </w:rPr>
      </w:pPr>
    </w:p>
    <w:p w14:paraId="7A4E54CE" w14:textId="75CA1488" w:rsidR="00991BD3" w:rsidRPr="00991BD3" w:rsidRDefault="00991BD3" w:rsidP="00991BD3">
      <w:pPr>
        <w:pStyle w:val="BodyText"/>
        <w:ind w:left="720" w:right="393" w:hanging="720"/>
        <w:rPr>
          <w:sz w:val="24"/>
          <w:szCs w:val="24"/>
        </w:rPr>
      </w:pPr>
      <w:r>
        <w:rPr>
          <w:rFonts w:eastAsiaTheme="minorHAnsi"/>
          <w:sz w:val="24"/>
          <w:szCs w:val="24"/>
        </w:rPr>
        <w:t>1.3</w:t>
      </w:r>
      <w:r>
        <w:rPr>
          <w:rFonts w:eastAsiaTheme="minorHAnsi"/>
          <w:sz w:val="24"/>
          <w:szCs w:val="24"/>
        </w:rPr>
        <w:tab/>
      </w:r>
      <w:r w:rsidRPr="00991BD3">
        <w:rPr>
          <w:sz w:val="24"/>
          <w:szCs w:val="24"/>
        </w:rPr>
        <w:t xml:space="preserve">134 of the COVID-19 cases were attributed to community onset, picked up by screening. The remaining 350 cases </w:t>
      </w:r>
      <w:r w:rsidR="00C4637D">
        <w:rPr>
          <w:sz w:val="24"/>
          <w:szCs w:val="24"/>
        </w:rPr>
        <w:t xml:space="preserve">(72.31%) </w:t>
      </w:r>
      <w:r w:rsidRPr="00991BD3">
        <w:rPr>
          <w:sz w:val="24"/>
          <w:szCs w:val="24"/>
        </w:rPr>
        <w:t>are nosocomial</w:t>
      </w:r>
      <w:r w:rsidR="008119AC">
        <w:rPr>
          <w:sz w:val="24"/>
          <w:szCs w:val="24"/>
        </w:rPr>
        <w:t xml:space="preserve"> healthcare acquired</w:t>
      </w:r>
      <w:r w:rsidRPr="00991BD3">
        <w:rPr>
          <w:sz w:val="24"/>
          <w:szCs w:val="24"/>
        </w:rPr>
        <w:t xml:space="preserve">. </w:t>
      </w:r>
      <w:r w:rsidR="007435FC">
        <w:rPr>
          <w:sz w:val="24"/>
          <w:szCs w:val="24"/>
        </w:rPr>
        <w:t>Reviews of each case have identified learning in line with the regional picture.</w:t>
      </w:r>
      <w:r w:rsidR="001634C5">
        <w:rPr>
          <w:sz w:val="24"/>
          <w:szCs w:val="24"/>
        </w:rPr>
        <w:t xml:space="preserve"> Discussions with NHSE advise that some areas have increased numbers, but that benchmarking with other trusts is not advised due to a number of variables.</w:t>
      </w:r>
    </w:p>
    <w:p w14:paraId="2A1861C4" w14:textId="77777777" w:rsidR="00991BD3" w:rsidRPr="00991BD3" w:rsidRDefault="00991BD3" w:rsidP="00991BD3">
      <w:pPr>
        <w:pStyle w:val="BodyText"/>
        <w:ind w:right="393"/>
        <w:rPr>
          <w:sz w:val="24"/>
          <w:szCs w:val="24"/>
        </w:rPr>
      </w:pPr>
      <w:r w:rsidRPr="00991BD3">
        <w:rPr>
          <w:sz w:val="24"/>
          <w:szCs w:val="24"/>
        </w:rPr>
        <w:t> </w:t>
      </w:r>
    </w:p>
    <w:p w14:paraId="305791CD" w14:textId="236E04EE" w:rsidR="00991BD3" w:rsidRDefault="00991BD3" w:rsidP="00991BD3">
      <w:pPr>
        <w:pStyle w:val="BodyText"/>
        <w:ind w:left="0" w:right="393"/>
        <w:rPr>
          <w:sz w:val="24"/>
          <w:szCs w:val="24"/>
        </w:rPr>
      </w:pPr>
      <w:r>
        <w:rPr>
          <w:sz w:val="24"/>
          <w:szCs w:val="24"/>
        </w:rPr>
        <w:t>1.4</w:t>
      </w:r>
      <w:r>
        <w:rPr>
          <w:sz w:val="24"/>
          <w:szCs w:val="24"/>
        </w:rPr>
        <w:tab/>
      </w:r>
      <w:r w:rsidRPr="00991BD3">
        <w:rPr>
          <w:sz w:val="24"/>
          <w:szCs w:val="24"/>
        </w:rPr>
        <w:t>Total number of COVID-19 staff cases = 1605 (between 1</w:t>
      </w:r>
      <w:r w:rsidRPr="00991BD3">
        <w:rPr>
          <w:sz w:val="24"/>
          <w:szCs w:val="24"/>
          <w:vertAlign w:val="superscript"/>
        </w:rPr>
        <w:t>st</w:t>
      </w:r>
      <w:r w:rsidRPr="00991BD3">
        <w:rPr>
          <w:sz w:val="24"/>
          <w:szCs w:val="24"/>
        </w:rPr>
        <w:t xml:space="preserve"> Jan – 31</w:t>
      </w:r>
      <w:r w:rsidRPr="00991BD3">
        <w:rPr>
          <w:sz w:val="24"/>
          <w:szCs w:val="24"/>
          <w:vertAlign w:val="superscript"/>
        </w:rPr>
        <w:t>st</w:t>
      </w:r>
      <w:r w:rsidRPr="00991BD3">
        <w:rPr>
          <w:sz w:val="24"/>
          <w:szCs w:val="24"/>
        </w:rPr>
        <w:t xml:space="preserve"> Dec 2022</w:t>
      </w:r>
      <w:r>
        <w:rPr>
          <w:sz w:val="24"/>
          <w:szCs w:val="24"/>
        </w:rPr>
        <w:t>)</w:t>
      </w:r>
    </w:p>
    <w:p w14:paraId="4C3CEBE7" w14:textId="77777777" w:rsidR="00991BD3" w:rsidRPr="00991BD3" w:rsidRDefault="00991BD3" w:rsidP="00991BD3">
      <w:pPr>
        <w:pStyle w:val="BodyText"/>
        <w:ind w:left="720" w:right="393" w:hanging="620"/>
        <w:rPr>
          <w:b/>
          <w:sz w:val="24"/>
          <w:szCs w:val="24"/>
        </w:rPr>
      </w:pPr>
    </w:p>
    <w:p w14:paraId="14CE20C6" w14:textId="00C93FDB" w:rsidR="00677F05" w:rsidRPr="000915F3" w:rsidRDefault="003F1C91" w:rsidP="002038FA">
      <w:pPr>
        <w:spacing w:after="120"/>
        <w:ind w:left="720" w:hanging="720"/>
        <w:rPr>
          <w:sz w:val="24"/>
          <w:szCs w:val="24"/>
        </w:rPr>
      </w:pPr>
      <w:r>
        <w:rPr>
          <w:sz w:val="24"/>
          <w:szCs w:val="24"/>
        </w:rPr>
        <w:t>1</w:t>
      </w:r>
      <w:r w:rsidR="001527C1" w:rsidRPr="000915F3">
        <w:rPr>
          <w:sz w:val="24"/>
          <w:szCs w:val="24"/>
        </w:rPr>
        <w:t>.</w:t>
      </w:r>
      <w:r w:rsidR="00991BD3">
        <w:rPr>
          <w:sz w:val="24"/>
          <w:szCs w:val="24"/>
        </w:rPr>
        <w:t>5</w:t>
      </w:r>
      <w:r w:rsidR="001527C1" w:rsidRPr="000915F3">
        <w:rPr>
          <w:sz w:val="24"/>
          <w:szCs w:val="24"/>
        </w:rPr>
        <w:tab/>
      </w:r>
      <w:r w:rsidR="00677F05" w:rsidRPr="000915F3">
        <w:rPr>
          <w:sz w:val="24"/>
          <w:szCs w:val="24"/>
        </w:rPr>
        <w:t>The C</w:t>
      </w:r>
      <w:r w:rsidR="00C4637D">
        <w:rPr>
          <w:sz w:val="24"/>
          <w:szCs w:val="24"/>
        </w:rPr>
        <w:t>OVID</w:t>
      </w:r>
      <w:r w:rsidR="00502B09">
        <w:rPr>
          <w:sz w:val="24"/>
          <w:szCs w:val="24"/>
        </w:rPr>
        <w:t>-19</w:t>
      </w:r>
      <w:r w:rsidR="00677F05" w:rsidRPr="000915F3">
        <w:rPr>
          <w:sz w:val="24"/>
          <w:szCs w:val="24"/>
        </w:rPr>
        <w:t xml:space="preserve"> pandemic </w:t>
      </w:r>
      <w:r w:rsidR="008119AC">
        <w:rPr>
          <w:sz w:val="24"/>
          <w:szCs w:val="24"/>
        </w:rPr>
        <w:t xml:space="preserve">continues to be flagged at </w:t>
      </w:r>
      <w:r w:rsidR="00DE343D">
        <w:rPr>
          <w:sz w:val="24"/>
          <w:szCs w:val="24"/>
        </w:rPr>
        <w:t xml:space="preserve">level 2, </w:t>
      </w:r>
      <w:r w:rsidR="00AB305A">
        <w:rPr>
          <w:sz w:val="24"/>
          <w:szCs w:val="24"/>
        </w:rPr>
        <w:t xml:space="preserve">COVID-19 is in general </w:t>
      </w:r>
      <w:r w:rsidR="00874E15">
        <w:rPr>
          <w:sz w:val="24"/>
          <w:szCs w:val="24"/>
        </w:rPr>
        <w:t>circulation,</w:t>
      </w:r>
      <w:r w:rsidR="00AB305A">
        <w:rPr>
          <w:sz w:val="24"/>
          <w:szCs w:val="24"/>
        </w:rPr>
        <w:t xml:space="preserve"> but direct COVID-19 healthcare pressures and transmission are declining</w:t>
      </w:r>
      <w:r w:rsidR="00B17ECE">
        <w:rPr>
          <w:sz w:val="24"/>
          <w:szCs w:val="24"/>
        </w:rPr>
        <w:t xml:space="preserve">. </w:t>
      </w:r>
    </w:p>
    <w:p w14:paraId="5D8D42F8" w14:textId="2E95E4AF" w:rsidR="00CE2DCF" w:rsidRDefault="003F1C91" w:rsidP="00557593">
      <w:pPr>
        <w:spacing w:after="120"/>
        <w:ind w:left="720" w:right="687" w:hanging="720"/>
        <w:rPr>
          <w:rFonts w:cs="Arial"/>
          <w:sz w:val="24"/>
          <w:szCs w:val="24"/>
        </w:rPr>
      </w:pPr>
      <w:r>
        <w:rPr>
          <w:sz w:val="24"/>
          <w:szCs w:val="24"/>
        </w:rPr>
        <w:t>1</w:t>
      </w:r>
      <w:r w:rsidR="00677F05" w:rsidRPr="000915F3">
        <w:rPr>
          <w:sz w:val="24"/>
          <w:szCs w:val="24"/>
        </w:rPr>
        <w:t>.</w:t>
      </w:r>
      <w:r w:rsidR="00991BD3">
        <w:rPr>
          <w:sz w:val="24"/>
          <w:szCs w:val="24"/>
        </w:rPr>
        <w:t>6</w:t>
      </w:r>
      <w:r w:rsidR="00677F05" w:rsidRPr="000915F3">
        <w:rPr>
          <w:sz w:val="24"/>
          <w:szCs w:val="24"/>
        </w:rPr>
        <w:tab/>
      </w:r>
      <w:r w:rsidR="00CE2DCF">
        <w:rPr>
          <w:rFonts w:cs="Arial"/>
          <w:sz w:val="24"/>
          <w:szCs w:val="24"/>
        </w:rPr>
        <w:t xml:space="preserve">The UK Health Security Agency (UKHSA) updated its UK IPC guidance in May 2022 with new Covid-19 pathogen specific advice for health and care professionals to be read alongside the National Infection Prevention and Control Manual (NIPCM) for England and applies to all NHS settings or settings where NHS services are delivered. </w:t>
      </w:r>
      <w:r w:rsidR="008A7363">
        <w:rPr>
          <w:rFonts w:cs="Arial"/>
          <w:sz w:val="24"/>
          <w:szCs w:val="24"/>
        </w:rPr>
        <w:t>It is acknowledged that organisations will require a period of transition to make changes and adapt operating procedures given local variation in infection levels and risk assessment of settings including ventilation, spacing and mask wearing.</w:t>
      </w:r>
    </w:p>
    <w:p w14:paraId="18A26264" w14:textId="1D304A2D" w:rsidR="00CE2DCF" w:rsidRDefault="008A7363" w:rsidP="00CE2DCF">
      <w:pPr>
        <w:spacing w:after="120"/>
        <w:ind w:left="720" w:hanging="720"/>
        <w:rPr>
          <w:rFonts w:ascii="Arial" w:hAnsi="Arial" w:cs="Arial"/>
          <w:color w:val="000000"/>
          <w:sz w:val="23"/>
          <w:szCs w:val="23"/>
        </w:rPr>
      </w:pPr>
      <w:r>
        <w:rPr>
          <w:rFonts w:cs="Arial"/>
          <w:sz w:val="24"/>
          <w:szCs w:val="24"/>
        </w:rPr>
        <w:t>1.</w:t>
      </w:r>
      <w:r w:rsidR="00557593">
        <w:rPr>
          <w:rFonts w:cs="Arial"/>
          <w:sz w:val="24"/>
          <w:szCs w:val="24"/>
        </w:rPr>
        <w:t>7</w:t>
      </w:r>
      <w:r>
        <w:rPr>
          <w:rFonts w:cs="Arial"/>
          <w:sz w:val="24"/>
          <w:szCs w:val="24"/>
        </w:rPr>
        <w:tab/>
        <w:t>To support this transition a ‘living with C</w:t>
      </w:r>
      <w:r w:rsidR="001634C5">
        <w:rPr>
          <w:rFonts w:cs="Arial"/>
          <w:sz w:val="24"/>
          <w:szCs w:val="24"/>
        </w:rPr>
        <w:t>OVID</w:t>
      </w:r>
      <w:r>
        <w:rPr>
          <w:rFonts w:cs="Arial"/>
          <w:sz w:val="24"/>
          <w:szCs w:val="24"/>
        </w:rPr>
        <w:t xml:space="preserve">-19 risk assessment tool was adapted as the organisations local risk assessment to support local </w:t>
      </w:r>
      <w:r w:rsidR="00BD5037">
        <w:rPr>
          <w:rFonts w:cs="Arial"/>
          <w:sz w:val="24"/>
          <w:szCs w:val="24"/>
        </w:rPr>
        <w:t>decision-making</w:t>
      </w:r>
      <w:r>
        <w:rPr>
          <w:rFonts w:cs="Arial"/>
          <w:sz w:val="24"/>
          <w:szCs w:val="24"/>
        </w:rPr>
        <w:t xml:space="preserve"> regarding mask use and spacing as part of the res</w:t>
      </w:r>
      <w:r w:rsidR="000907FF">
        <w:rPr>
          <w:rFonts w:cs="Arial"/>
          <w:sz w:val="24"/>
          <w:szCs w:val="24"/>
        </w:rPr>
        <w:t>e</w:t>
      </w:r>
      <w:r>
        <w:rPr>
          <w:rFonts w:cs="Arial"/>
          <w:sz w:val="24"/>
          <w:szCs w:val="24"/>
        </w:rPr>
        <w:t xml:space="preserve">t and rebuild programme. Transitioned back to pre-pandemic visiting and introduced a safe visiting guide. Introduced a new triage and screening template on </w:t>
      </w:r>
      <w:r w:rsidR="00874E15">
        <w:rPr>
          <w:rFonts w:cs="Arial"/>
          <w:sz w:val="24"/>
          <w:szCs w:val="24"/>
        </w:rPr>
        <w:t>SystmOne</w:t>
      </w:r>
      <w:r>
        <w:rPr>
          <w:rFonts w:cs="Arial"/>
          <w:sz w:val="24"/>
          <w:szCs w:val="24"/>
        </w:rPr>
        <w:t xml:space="preserve"> and have moved from three (low, medium, high) C</w:t>
      </w:r>
      <w:r w:rsidR="001634C5">
        <w:rPr>
          <w:rFonts w:cs="Arial"/>
          <w:sz w:val="24"/>
          <w:szCs w:val="24"/>
        </w:rPr>
        <w:t>OVID</w:t>
      </w:r>
      <w:r>
        <w:rPr>
          <w:rFonts w:cs="Arial"/>
          <w:sz w:val="24"/>
          <w:szCs w:val="24"/>
        </w:rPr>
        <w:t xml:space="preserve">-19 patient pathways to </w:t>
      </w:r>
      <w:r w:rsidR="00124CBA">
        <w:rPr>
          <w:rFonts w:cs="Arial"/>
          <w:sz w:val="24"/>
          <w:szCs w:val="24"/>
        </w:rPr>
        <w:t xml:space="preserve">admissions to community hospitals and inpatient areas in line with pre-covid practice.  The winter planning process to include </w:t>
      </w:r>
      <w:r>
        <w:rPr>
          <w:rFonts w:cs="Arial"/>
          <w:sz w:val="24"/>
          <w:szCs w:val="24"/>
        </w:rPr>
        <w:t xml:space="preserve">respiratory and non-respiratory pathways to guide patient placement, </w:t>
      </w:r>
      <w:r w:rsidR="00F224F7">
        <w:rPr>
          <w:rFonts w:cs="Arial"/>
          <w:sz w:val="24"/>
          <w:szCs w:val="24"/>
        </w:rPr>
        <w:t>IPC precautions and Personal Protective Equipment (PPE) for contact</w:t>
      </w:r>
      <w:r w:rsidR="00124CBA">
        <w:rPr>
          <w:rFonts w:cs="Arial"/>
          <w:sz w:val="24"/>
          <w:szCs w:val="24"/>
        </w:rPr>
        <w:t xml:space="preserve"> has been developed and </w:t>
      </w:r>
      <w:r w:rsidR="00124CBA">
        <w:rPr>
          <w:rFonts w:cs="Arial"/>
          <w:sz w:val="24"/>
          <w:szCs w:val="24"/>
        </w:rPr>
        <w:lastRenderedPageBreak/>
        <w:t>continues to be introduced in a phased process dependent on the risks within</w:t>
      </w:r>
      <w:r w:rsidR="000907FF">
        <w:rPr>
          <w:rFonts w:cs="Arial"/>
          <w:sz w:val="24"/>
          <w:szCs w:val="24"/>
        </w:rPr>
        <w:t xml:space="preserve"> the system and organisation.</w:t>
      </w:r>
      <w:r w:rsidR="00124CBA">
        <w:rPr>
          <w:rFonts w:cs="Arial"/>
          <w:sz w:val="24"/>
          <w:szCs w:val="24"/>
        </w:rPr>
        <w:t xml:space="preserve"> .  </w:t>
      </w:r>
    </w:p>
    <w:p w14:paraId="7F46C276" w14:textId="1C3DEF70" w:rsidR="00E07CBE" w:rsidRDefault="003F1C91" w:rsidP="00E07CBE">
      <w:pPr>
        <w:pStyle w:val="NormalWeb"/>
        <w:spacing w:before="0" w:beforeAutospacing="0" w:after="120" w:afterAutospacing="0" w:line="276" w:lineRule="auto"/>
        <w:ind w:left="720" w:hanging="720"/>
        <w:rPr>
          <w:rFonts w:asciiTheme="minorHAnsi" w:hAnsiTheme="minorHAnsi" w:cs="Arial"/>
        </w:rPr>
      </w:pPr>
      <w:r>
        <w:rPr>
          <w:rFonts w:asciiTheme="minorHAnsi" w:hAnsiTheme="minorHAnsi" w:cs="Arial"/>
        </w:rPr>
        <w:t>1</w:t>
      </w:r>
      <w:r w:rsidR="00527547" w:rsidRPr="000915F3">
        <w:rPr>
          <w:rFonts w:asciiTheme="minorHAnsi" w:hAnsiTheme="minorHAnsi" w:cs="Arial"/>
        </w:rPr>
        <w:t>.</w:t>
      </w:r>
      <w:r w:rsidR="00557593">
        <w:rPr>
          <w:rFonts w:asciiTheme="minorHAnsi" w:hAnsiTheme="minorHAnsi" w:cs="Arial"/>
        </w:rPr>
        <w:t>8</w:t>
      </w:r>
      <w:r w:rsidR="00527547" w:rsidRPr="000915F3">
        <w:rPr>
          <w:rFonts w:asciiTheme="minorHAnsi" w:hAnsiTheme="minorHAnsi" w:cs="Arial"/>
        </w:rPr>
        <w:tab/>
      </w:r>
      <w:r w:rsidR="00437F65" w:rsidRPr="000915F3">
        <w:rPr>
          <w:rFonts w:asciiTheme="minorHAnsi" w:hAnsiTheme="minorHAnsi" w:cs="Arial"/>
        </w:rPr>
        <w:t>L</w:t>
      </w:r>
      <w:r w:rsidR="00677F05" w:rsidRPr="000915F3">
        <w:rPr>
          <w:rFonts w:asciiTheme="minorHAnsi" w:hAnsiTheme="minorHAnsi" w:cs="Arial"/>
        </w:rPr>
        <w:t xml:space="preserve">ateral flow testing for all staff within LPT </w:t>
      </w:r>
      <w:r w:rsidR="00437F65" w:rsidRPr="000915F3">
        <w:rPr>
          <w:rFonts w:asciiTheme="minorHAnsi" w:hAnsiTheme="minorHAnsi" w:cs="Arial"/>
        </w:rPr>
        <w:t>continues to be supported and has been successful in identifying a number of staff who had a positive result despite being asymptomatic</w:t>
      </w:r>
      <w:r w:rsidR="00677F05" w:rsidRPr="000915F3">
        <w:rPr>
          <w:rFonts w:asciiTheme="minorHAnsi" w:hAnsiTheme="minorHAnsi" w:cs="Arial"/>
        </w:rPr>
        <w:t xml:space="preserve">. </w:t>
      </w:r>
      <w:bookmarkStart w:id="0" w:name="_Hlk89436979"/>
    </w:p>
    <w:p w14:paraId="6C73DF3D" w14:textId="563FF478" w:rsidR="003F1C91" w:rsidRDefault="003F1C91" w:rsidP="00E07CBE">
      <w:pPr>
        <w:pStyle w:val="NormalWeb"/>
        <w:spacing w:before="0" w:beforeAutospacing="0" w:after="120" w:afterAutospacing="0" w:line="276" w:lineRule="auto"/>
        <w:ind w:left="720" w:hanging="720"/>
        <w:rPr>
          <w:rFonts w:asciiTheme="minorHAnsi" w:hAnsiTheme="minorHAnsi" w:cs="Arial"/>
        </w:rPr>
      </w:pPr>
      <w:r>
        <w:rPr>
          <w:rFonts w:asciiTheme="minorHAnsi" w:hAnsiTheme="minorHAnsi" w:cs="Arial"/>
        </w:rPr>
        <w:t>1.</w:t>
      </w:r>
      <w:r w:rsidR="00557593">
        <w:rPr>
          <w:rFonts w:asciiTheme="minorHAnsi" w:hAnsiTheme="minorHAnsi" w:cs="Arial"/>
        </w:rPr>
        <w:t>9</w:t>
      </w:r>
      <w:r>
        <w:rPr>
          <w:rFonts w:asciiTheme="minorHAnsi" w:hAnsiTheme="minorHAnsi" w:cs="Arial"/>
        </w:rPr>
        <w:tab/>
        <w:t xml:space="preserve">A task and finish group with a pilot test </w:t>
      </w:r>
      <w:r w:rsidR="00604023">
        <w:rPr>
          <w:rFonts w:asciiTheme="minorHAnsi" w:hAnsiTheme="minorHAnsi" w:cs="Arial"/>
        </w:rPr>
        <w:t>was</w:t>
      </w:r>
      <w:r>
        <w:rPr>
          <w:rFonts w:asciiTheme="minorHAnsi" w:hAnsiTheme="minorHAnsi" w:cs="Arial"/>
        </w:rPr>
        <w:t xml:space="preserve"> set up to run for two weeks in June 2022</w:t>
      </w:r>
      <w:r w:rsidR="00B6500F">
        <w:rPr>
          <w:rFonts w:asciiTheme="minorHAnsi" w:hAnsiTheme="minorHAnsi" w:cs="Arial"/>
        </w:rPr>
        <w:t>, to introduce Lateral Flow Device (LFD) for patient testing in place of PCR testing</w:t>
      </w:r>
      <w:r w:rsidR="00604023">
        <w:rPr>
          <w:rFonts w:asciiTheme="minorHAnsi" w:hAnsiTheme="minorHAnsi" w:cs="Arial"/>
        </w:rPr>
        <w:t xml:space="preserve">, </w:t>
      </w:r>
      <w:r w:rsidR="00B6500F">
        <w:rPr>
          <w:rFonts w:asciiTheme="minorHAnsi" w:hAnsiTheme="minorHAnsi" w:cs="Arial"/>
        </w:rPr>
        <w:t xml:space="preserve">supported in the national guidance.  As an LFD is considered a medical device, a </w:t>
      </w:r>
      <w:r w:rsidR="000907FF">
        <w:rPr>
          <w:rFonts w:asciiTheme="minorHAnsi" w:hAnsiTheme="minorHAnsi" w:cs="Arial"/>
        </w:rPr>
        <w:t>Standard Operating Procedure (SOP)</w:t>
      </w:r>
      <w:r w:rsidR="00B6500F">
        <w:rPr>
          <w:rFonts w:asciiTheme="minorHAnsi" w:hAnsiTheme="minorHAnsi" w:cs="Arial"/>
        </w:rPr>
        <w:t xml:space="preserve"> and competenc</w:t>
      </w:r>
      <w:r w:rsidR="000907FF">
        <w:rPr>
          <w:rFonts w:asciiTheme="minorHAnsi" w:hAnsiTheme="minorHAnsi" w:cs="Arial"/>
        </w:rPr>
        <w:t>y checklist</w:t>
      </w:r>
      <w:r w:rsidR="00B6500F">
        <w:rPr>
          <w:rFonts w:asciiTheme="minorHAnsi" w:hAnsiTheme="minorHAnsi" w:cs="Arial"/>
        </w:rPr>
        <w:t xml:space="preserve"> for staff has been developed to support the process and governance requirements.</w:t>
      </w:r>
      <w:r w:rsidR="00604023">
        <w:rPr>
          <w:rFonts w:asciiTheme="minorHAnsi" w:hAnsiTheme="minorHAnsi" w:cs="Arial"/>
        </w:rPr>
        <w:t xml:space="preserve"> The success of the LFD pilot </w:t>
      </w:r>
      <w:r w:rsidR="000907FF">
        <w:rPr>
          <w:rFonts w:asciiTheme="minorHAnsi" w:hAnsiTheme="minorHAnsi" w:cs="Arial"/>
        </w:rPr>
        <w:t xml:space="preserve">has </w:t>
      </w:r>
      <w:r w:rsidR="00604023">
        <w:rPr>
          <w:rFonts w:asciiTheme="minorHAnsi" w:hAnsiTheme="minorHAnsi" w:cs="Arial"/>
        </w:rPr>
        <w:t>enable</w:t>
      </w:r>
      <w:r w:rsidR="000907FF">
        <w:rPr>
          <w:rFonts w:asciiTheme="minorHAnsi" w:hAnsiTheme="minorHAnsi" w:cs="Arial"/>
        </w:rPr>
        <w:t>d</w:t>
      </w:r>
      <w:r w:rsidR="00604023">
        <w:rPr>
          <w:rFonts w:asciiTheme="minorHAnsi" w:hAnsiTheme="minorHAnsi" w:cs="Arial"/>
        </w:rPr>
        <w:t xml:space="preserve"> LPT to instigate instant testing for patients at the point of care as infections increase or decrease in order to support patient safety and early intervention for infections</w:t>
      </w:r>
      <w:r w:rsidR="008119AC">
        <w:rPr>
          <w:rFonts w:asciiTheme="minorHAnsi" w:hAnsiTheme="minorHAnsi" w:cs="Arial"/>
        </w:rPr>
        <w:t>.  LFD testing is currently being used for patients admitted into Community Hospital beds to support patient placement and patient safety.</w:t>
      </w:r>
      <w:r w:rsidR="001634C5">
        <w:rPr>
          <w:rFonts w:asciiTheme="minorHAnsi" w:hAnsiTheme="minorHAnsi" w:cs="Arial"/>
        </w:rPr>
        <w:t xml:space="preserve">  The development of a Point of Care testing policy is progressing which will cover a range of tests including blood sugar monitoring and LFD’s.</w:t>
      </w:r>
    </w:p>
    <w:p w14:paraId="7ACC3BCB" w14:textId="03917147" w:rsidR="00A477F8" w:rsidRDefault="00B6500F" w:rsidP="00C846E6">
      <w:pPr>
        <w:pStyle w:val="NormalWeb"/>
        <w:spacing w:before="0" w:beforeAutospacing="0" w:after="120" w:afterAutospacing="0" w:line="276" w:lineRule="auto"/>
        <w:ind w:left="720" w:hanging="720"/>
        <w:rPr>
          <w:rFonts w:asciiTheme="minorHAnsi" w:hAnsiTheme="minorHAnsi" w:cstheme="minorHAnsi"/>
        </w:rPr>
      </w:pPr>
      <w:r>
        <w:rPr>
          <w:rFonts w:asciiTheme="minorHAnsi" w:hAnsiTheme="minorHAnsi" w:cstheme="minorHAnsi"/>
        </w:rPr>
        <w:t>1.</w:t>
      </w:r>
      <w:r w:rsidR="00991BD3">
        <w:rPr>
          <w:rFonts w:asciiTheme="minorHAnsi" w:hAnsiTheme="minorHAnsi" w:cstheme="minorHAnsi"/>
        </w:rPr>
        <w:t>1</w:t>
      </w:r>
      <w:r w:rsidR="00557593">
        <w:rPr>
          <w:rFonts w:asciiTheme="minorHAnsi" w:hAnsiTheme="minorHAnsi" w:cstheme="minorHAnsi"/>
        </w:rPr>
        <w:t>0</w:t>
      </w:r>
      <w:r w:rsidR="00E07CBE" w:rsidRPr="00E07CBE">
        <w:rPr>
          <w:rFonts w:asciiTheme="minorHAnsi" w:hAnsiTheme="minorHAnsi" w:cstheme="minorHAnsi"/>
        </w:rPr>
        <w:tab/>
      </w:r>
      <w:bookmarkStart w:id="1" w:name="_Hlk124254827"/>
      <w:r w:rsidR="00C846E6">
        <w:rPr>
          <w:rFonts w:asciiTheme="minorHAnsi" w:hAnsiTheme="minorHAnsi" w:cstheme="minorHAnsi"/>
        </w:rPr>
        <w:t>A review of all patients within LPT whose death was associated with C</w:t>
      </w:r>
      <w:r w:rsidR="001634C5">
        <w:rPr>
          <w:rFonts w:asciiTheme="minorHAnsi" w:hAnsiTheme="minorHAnsi" w:cstheme="minorHAnsi"/>
        </w:rPr>
        <w:t>OVID</w:t>
      </w:r>
      <w:r w:rsidR="00C846E6">
        <w:rPr>
          <w:rFonts w:asciiTheme="minorHAnsi" w:hAnsiTheme="minorHAnsi" w:cstheme="minorHAnsi"/>
        </w:rPr>
        <w:t xml:space="preserve">-19 was carried out and a report produced and shared through the Infection Prevention and Control Assurance Meeting.  </w:t>
      </w:r>
    </w:p>
    <w:p w14:paraId="502FFDDE" w14:textId="77ABF632" w:rsidR="001150E1" w:rsidRDefault="001150E1" w:rsidP="001634C5">
      <w:pPr>
        <w:pStyle w:val="NormalWeb"/>
        <w:spacing w:before="0" w:beforeAutospacing="0" w:after="120" w:afterAutospacing="0" w:line="276" w:lineRule="auto"/>
        <w:ind w:left="720"/>
        <w:rPr>
          <w:rFonts w:asciiTheme="minorHAnsi" w:hAnsiTheme="minorHAnsi" w:cstheme="minorHAnsi"/>
        </w:rPr>
      </w:pPr>
      <w:r>
        <w:rPr>
          <w:rFonts w:asciiTheme="minorHAnsi" w:hAnsiTheme="minorHAnsi" w:cstheme="minorHAnsi"/>
        </w:rPr>
        <w:t xml:space="preserve">The purpose of the report </w:t>
      </w:r>
      <w:r w:rsidR="008119AC">
        <w:rPr>
          <w:rFonts w:asciiTheme="minorHAnsi" w:hAnsiTheme="minorHAnsi" w:cstheme="minorHAnsi"/>
        </w:rPr>
        <w:t>was</w:t>
      </w:r>
      <w:r>
        <w:rPr>
          <w:rFonts w:asciiTheme="minorHAnsi" w:hAnsiTheme="minorHAnsi" w:cstheme="minorHAnsi"/>
        </w:rPr>
        <w:t xml:space="preserve"> to provide an aggregated review of all the patients in LPT who died within 28 days of a positive C</w:t>
      </w:r>
      <w:r w:rsidR="001634C5">
        <w:rPr>
          <w:rFonts w:asciiTheme="minorHAnsi" w:hAnsiTheme="minorHAnsi" w:cstheme="minorHAnsi"/>
        </w:rPr>
        <w:t>OVID</w:t>
      </w:r>
      <w:r>
        <w:rPr>
          <w:rFonts w:asciiTheme="minorHAnsi" w:hAnsiTheme="minorHAnsi" w:cstheme="minorHAnsi"/>
        </w:rPr>
        <w:t>-19 test result. It covers the period of 26</w:t>
      </w:r>
      <w:r w:rsidRPr="001150E1">
        <w:rPr>
          <w:rFonts w:asciiTheme="minorHAnsi" w:hAnsiTheme="minorHAnsi" w:cstheme="minorHAnsi"/>
          <w:vertAlign w:val="superscript"/>
        </w:rPr>
        <w:t>th</w:t>
      </w:r>
      <w:r>
        <w:rPr>
          <w:rFonts w:asciiTheme="minorHAnsi" w:hAnsiTheme="minorHAnsi" w:cstheme="minorHAnsi"/>
        </w:rPr>
        <w:t xml:space="preserve"> March 2020 up until 31</w:t>
      </w:r>
      <w:r w:rsidRPr="001150E1">
        <w:rPr>
          <w:rFonts w:asciiTheme="minorHAnsi" w:hAnsiTheme="minorHAnsi" w:cstheme="minorHAnsi"/>
          <w:vertAlign w:val="superscript"/>
        </w:rPr>
        <w:t>st</w:t>
      </w:r>
      <w:r>
        <w:rPr>
          <w:rFonts w:asciiTheme="minorHAnsi" w:hAnsiTheme="minorHAnsi" w:cstheme="minorHAnsi"/>
        </w:rPr>
        <w:t xml:space="preserve"> October 2022. The number of deaths during this time </w:t>
      </w:r>
      <w:r w:rsidR="008119AC">
        <w:rPr>
          <w:rFonts w:asciiTheme="minorHAnsi" w:hAnsiTheme="minorHAnsi" w:cstheme="minorHAnsi"/>
        </w:rPr>
        <w:t xml:space="preserve">in LPT </w:t>
      </w:r>
      <w:r>
        <w:rPr>
          <w:rFonts w:asciiTheme="minorHAnsi" w:hAnsiTheme="minorHAnsi" w:cstheme="minorHAnsi"/>
        </w:rPr>
        <w:t>was 81.</w:t>
      </w:r>
    </w:p>
    <w:p w14:paraId="328587C7" w14:textId="1228EE0A" w:rsidR="001150E1" w:rsidRPr="00080C8F" w:rsidRDefault="001150E1" w:rsidP="009C4AFA">
      <w:pPr>
        <w:pStyle w:val="NormalWeb"/>
        <w:numPr>
          <w:ilvl w:val="0"/>
          <w:numId w:val="13"/>
        </w:numPr>
        <w:spacing w:before="0" w:beforeAutospacing="0" w:after="120" w:afterAutospacing="0" w:line="276" w:lineRule="auto"/>
        <w:rPr>
          <w:rStyle w:val="markedcontent"/>
          <w:rFonts w:ascii="Calibri" w:hAnsi="Calibri" w:cs="Calibri"/>
        </w:rPr>
      </w:pPr>
      <w:r w:rsidRPr="00080C8F">
        <w:rPr>
          <w:rStyle w:val="markedcontent"/>
          <w:rFonts w:ascii="Calibri" w:hAnsi="Calibri" w:cs="Calibri"/>
        </w:rPr>
        <w:t>The majority of COVID-19 deaths occurred in April 2020 and January 2021</w:t>
      </w:r>
    </w:p>
    <w:p w14:paraId="783F0DA1" w14:textId="7606A3FB" w:rsidR="001150E1" w:rsidRDefault="00080C8F" w:rsidP="009C4AFA">
      <w:pPr>
        <w:pStyle w:val="NormalWeb"/>
        <w:numPr>
          <w:ilvl w:val="0"/>
          <w:numId w:val="13"/>
        </w:numPr>
        <w:spacing w:before="0" w:beforeAutospacing="0" w:after="120" w:afterAutospacing="0" w:line="276" w:lineRule="auto"/>
        <w:rPr>
          <w:rStyle w:val="markedcontent"/>
          <w:rFonts w:ascii="Calibri" w:hAnsi="Calibri" w:cs="Calibri"/>
        </w:rPr>
      </w:pPr>
      <w:r w:rsidRPr="00080C8F">
        <w:rPr>
          <w:rStyle w:val="markedcontent"/>
          <w:rFonts w:ascii="Calibri" w:hAnsi="Calibri" w:cs="Calibri"/>
        </w:rPr>
        <w:t>Of the deaths involving COVID-19; there was at least one co-morbidity in every reported case. There appears to be similar numbers for the most common co-morbidity found in deaths involving COVID-19, these were</w:t>
      </w:r>
      <w:r>
        <w:rPr>
          <w:rStyle w:val="markedcontent"/>
          <w:rFonts w:ascii="Calibri" w:hAnsi="Calibri" w:cs="Calibri"/>
        </w:rPr>
        <w:t xml:space="preserve"> d</w:t>
      </w:r>
      <w:r w:rsidRPr="00080C8F">
        <w:rPr>
          <w:rStyle w:val="markedcontent"/>
          <w:rFonts w:ascii="Calibri" w:hAnsi="Calibri" w:cs="Calibri"/>
        </w:rPr>
        <w:t xml:space="preserve">ementia, </w:t>
      </w:r>
      <w:r>
        <w:rPr>
          <w:rStyle w:val="markedcontent"/>
          <w:rFonts w:ascii="Calibri" w:hAnsi="Calibri" w:cs="Calibri"/>
        </w:rPr>
        <w:t>i</w:t>
      </w:r>
      <w:r w:rsidRPr="00080C8F">
        <w:rPr>
          <w:rStyle w:val="markedcontent"/>
          <w:rFonts w:ascii="Calibri" w:hAnsi="Calibri" w:cs="Calibri"/>
        </w:rPr>
        <w:t xml:space="preserve">schaemic </w:t>
      </w:r>
      <w:r>
        <w:rPr>
          <w:rStyle w:val="markedcontent"/>
          <w:rFonts w:ascii="Calibri" w:hAnsi="Calibri" w:cs="Calibri"/>
        </w:rPr>
        <w:t>h</w:t>
      </w:r>
      <w:r w:rsidRPr="00080C8F">
        <w:rPr>
          <w:rStyle w:val="markedcontent"/>
          <w:rFonts w:ascii="Calibri" w:hAnsi="Calibri" w:cs="Calibri"/>
        </w:rPr>
        <w:t xml:space="preserve">eart </w:t>
      </w:r>
      <w:r>
        <w:rPr>
          <w:rStyle w:val="markedcontent"/>
          <w:rFonts w:ascii="Calibri" w:hAnsi="Calibri" w:cs="Calibri"/>
        </w:rPr>
        <w:t>d</w:t>
      </w:r>
      <w:r w:rsidRPr="00080C8F">
        <w:rPr>
          <w:rStyle w:val="markedcontent"/>
          <w:rFonts w:ascii="Calibri" w:hAnsi="Calibri" w:cs="Calibri"/>
        </w:rPr>
        <w:t xml:space="preserve">isease, </w:t>
      </w:r>
      <w:r>
        <w:rPr>
          <w:rStyle w:val="markedcontent"/>
          <w:rFonts w:ascii="Calibri" w:hAnsi="Calibri" w:cs="Calibri"/>
        </w:rPr>
        <w:t>c</w:t>
      </w:r>
      <w:r w:rsidRPr="00080C8F">
        <w:rPr>
          <w:rStyle w:val="markedcontent"/>
          <w:rFonts w:ascii="Calibri" w:hAnsi="Calibri" w:cs="Calibri"/>
        </w:rPr>
        <w:t xml:space="preserve">hronic </w:t>
      </w:r>
      <w:r>
        <w:rPr>
          <w:rStyle w:val="markedcontent"/>
          <w:rFonts w:ascii="Calibri" w:hAnsi="Calibri" w:cs="Calibri"/>
        </w:rPr>
        <w:t>k</w:t>
      </w:r>
      <w:r w:rsidRPr="00080C8F">
        <w:rPr>
          <w:rStyle w:val="markedcontent"/>
          <w:rFonts w:ascii="Calibri" w:hAnsi="Calibri" w:cs="Calibri"/>
        </w:rPr>
        <w:t xml:space="preserve">idney </w:t>
      </w:r>
      <w:r>
        <w:rPr>
          <w:rStyle w:val="markedcontent"/>
          <w:rFonts w:ascii="Calibri" w:hAnsi="Calibri" w:cs="Calibri"/>
        </w:rPr>
        <w:t>di</w:t>
      </w:r>
      <w:r w:rsidRPr="00080C8F">
        <w:rPr>
          <w:rStyle w:val="markedcontent"/>
          <w:rFonts w:ascii="Calibri" w:hAnsi="Calibri" w:cs="Calibri"/>
        </w:rPr>
        <w:t xml:space="preserve">sease, </w:t>
      </w:r>
      <w:r>
        <w:rPr>
          <w:rStyle w:val="markedcontent"/>
          <w:rFonts w:ascii="Calibri" w:hAnsi="Calibri" w:cs="Calibri"/>
        </w:rPr>
        <w:t>c</w:t>
      </w:r>
      <w:r w:rsidRPr="00080C8F">
        <w:rPr>
          <w:rStyle w:val="markedcontent"/>
          <w:rFonts w:ascii="Calibri" w:hAnsi="Calibri" w:cs="Calibri"/>
        </w:rPr>
        <w:t xml:space="preserve">ancer diagnosis and </w:t>
      </w:r>
      <w:r>
        <w:rPr>
          <w:rStyle w:val="markedcontent"/>
          <w:rFonts w:ascii="Calibri" w:hAnsi="Calibri" w:cs="Calibri"/>
        </w:rPr>
        <w:t>d</w:t>
      </w:r>
      <w:r w:rsidRPr="00080C8F">
        <w:rPr>
          <w:rStyle w:val="markedcontent"/>
          <w:rFonts w:ascii="Calibri" w:hAnsi="Calibri" w:cs="Calibri"/>
        </w:rPr>
        <w:t>iabetes. It is worth noting that a number of patients were diagnosed with more than one co-</w:t>
      </w:r>
      <w:r w:rsidR="00874E15" w:rsidRPr="00080C8F">
        <w:rPr>
          <w:rStyle w:val="markedcontent"/>
          <w:rFonts w:ascii="Calibri" w:hAnsi="Calibri" w:cs="Calibri"/>
        </w:rPr>
        <w:t>morbidity.</w:t>
      </w:r>
    </w:p>
    <w:p w14:paraId="7CAF4416" w14:textId="1B10C97D" w:rsidR="00080C8F" w:rsidRDefault="00080C8F" w:rsidP="009C4AFA">
      <w:pPr>
        <w:pStyle w:val="NormalWeb"/>
        <w:numPr>
          <w:ilvl w:val="0"/>
          <w:numId w:val="13"/>
        </w:numPr>
        <w:spacing w:before="0" w:beforeAutospacing="0" w:after="120" w:afterAutospacing="0" w:line="276" w:lineRule="auto"/>
        <w:rPr>
          <w:rFonts w:ascii="Calibri" w:hAnsi="Calibri" w:cs="Calibri"/>
        </w:rPr>
      </w:pPr>
      <w:r w:rsidRPr="00080C8F">
        <w:rPr>
          <w:rStyle w:val="markedcontent"/>
          <w:rFonts w:ascii="Calibri" w:hAnsi="Calibri" w:cs="Calibri"/>
        </w:rPr>
        <w:t xml:space="preserve">Male patients had a higher mortality due to COVID-19 when compared to female </w:t>
      </w:r>
      <w:r w:rsidR="00874E15" w:rsidRPr="00080C8F">
        <w:rPr>
          <w:rStyle w:val="markedcontent"/>
          <w:rFonts w:ascii="Calibri" w:hAnsi="Calibri" w:cs="Calibri"/>
        </w:rPr>
        <w:t>patients.</w:t>
      </w:r>
      <w:r w:rsidRPr="00080C8F">
        <w:rPr>
          <w:rStyle w:val="markedcontent"/>
          <w:rFonts w:ascii="Calibri" w:hAnsi="Calibri" w:cs="Calibri"/>
        </w:rPr>
        <w:t xml:space="preserve"> </w:t>
      </w:r>
    </w:p>
    <w:p w14:paraId="6385897A" w14:textId="6E0E747C" w:rsidR="00080C8F" w:rsidRPr="009C4AFA" w:rsidRDefault="00080C8F" w:rsidP="009C4AFA">
      <w:pPr>
        <w:pStyle w:val="ListParagraph"/>
        <w:numPr>
          <w:ilvl w:val="0"/>
          <w:numId w:val="13"/>
        </w:numPr>
        <w:rPr>
          <w:rStyle w:val="markedcontent"/>
          <w:sz w:val="24"/>
          <w:szCs w:val="24"/>
        </w:rPr>
      </w:pPr>
      <w:r w:rsidRPr="009C4AFA">
        <w:rPr>
          <w:rStyle w:val="markedcontent"/>
          <w:sz w:val="24"/>
          <w:szCs w:val="24"/>
        </w:rPr>
        <w:t xml:space="preserve">The majority of COVID-19 deaths were reported in patients over 80 years of age. The average age </w:t>
      </w:r>
      <w:r w:rsidR="00874E15">
        <w:rPr>
          <w:rStyle w:val="markedcontent"/>
          <w:sz w:val="24"/>
          <w:szCs w:val="24"/>
        </w:rPr>
        <w:t>of</w:t>
      </w:r>
      <w:r w:rsidRPr="009C4AFA">
        <w:rPr>
          <w:rStyle w:val="markedcontent"/>
          <w:sz w:val="24"/>
          <w:szCs w:val="24"/>
        </w:rPr>
        <w:t xml:space="preserve"> death overall was 86 years. For males it was 85 and females 87 years.</w:t>
      </w:r>
    </w:p>
    <w:bookmarkEnd w:id="1"/>
    <w:bookmarkEnd w:id="0"/>
    <w:p w14:paraId="2200BFAE" w14:textId="77777777" w:rsidR="00991BD3" w:rsidRDefault="00991BD3" w:rsidP="00B6500F">
      <w:pPr>
        <w:pStyle w:val="Default"/>
        <w:spacing w:after="120" w:line="276" w:lineRule="auto"/>
        <w:ind w:left="720" w:hanging="720"/>
        <w:rPr>
          <w:rFonts w:asciiTheme="minorHAnsi" w:hAnsiTheme="minorHAnsi"/>
          <w:b/>
          <w:color w:val="auto"/>
        </w:rPr>
      </w:pPr>
    </w:p>
    <w:p w14:paraId="2CE44DC5" w14:textId="24350B57" w:rsidR="00B6500F" w:rsidRDefault="00B6500F" w:rsidP="00B6500F">
      <w:pPr>
        <w:pStyle w:val="Default"/>
        <w:spacing w:after="120" w:line="276" w:lineRule="auto"/>
        <w:ind w:left="720" w:hanging="720"/>
        <w:rPr>
          <w:rFonts w:asciiTheme="minorHAnsi" w:hAnsiTheme="minorHAnsi"/>
          <w:b/>
          <w:color w:val="auto"/>
        </w:rPr>
      </w:pPr>
      <w:r>
        <w:rPr>
          <w:rFonts w:asciiTheme="minorHAnsi" w:hAnsiTheme="minorHAnsi"/>
          <w:b/>
          <w:color w:val="auto"/>
        </w:rPr>
        <w:t>2</w:t>
      </w:r>
      <w:r w:rsidRPr="00524AF2">
        <w:rPr>
          <w:rFonts w:asciiTheme="minorHAnsi" w:hAnsiTheme="minorHAnsi"/>
          <w:b/>
          <w:color w:val="auto"/>
        </w:rPr>
        <w:t>.</w:t>
      </w:r>
      <w:r w:rsidR="00991BD3">
        <w:rPr>
          <w:rFonts w:asciiTheme="minorHAnsi" w:hAnsiTheme="minorHAnsi"/>
          <w:b/>
          <w:color w:val="auto"/>
        </w:rPr>
        <w:t>0</w:t>
      </w:r>
      <w:r w:rsidRPr="00524AF2">
        <w:rPr>
          <w:rFonts w:asciiTheme="minorHAnsi" w:hAnsiTheme="minorHAnsi"/>
          <w:color w:val="auto"/>
        </w:rPr>
        <w:tab/>
      </w:r>
      <w:bookmarkStart w:id="2" w:name="_Hlk108086106"/>
      <w:r w:rsidRPr="00524AF2">
        <w:rPr>
          <w:rFonts w:asciiTheme="minorHAnsi" w:hAnsiTheme="minorHAnsi"/>
          <w:b/>
          <w:color w:val="auto"/>
        </w:rPr>
        <w:t>Decontamination</w:t>
      </w:r>
    </w:p>
    <w:p w14:paraId="7ED3D504" w14:textId="77777777" w:rsidR="00C55A67" w:rsidRDefault="005C3B0F" w:rsidP="00C55A67">
      <w:pPr>
        <w:ind w:left="720" w:hanging="720"/>
        <w:rPr>
          <w:sz w:val="24"/>
          <w:szCs w:val="24"/>
        </w:rPr>
      </w:pPr>
      <w:r>
        <w:rPr>
          <w:sz w:val="24"/>
          <w:szCs w:val="24"/>
        </w:rPr>
        <w:t xml:space="preserve">2.1        </w:t>
      </w:r>
      <w:r w:rsidR="00C55A67">
        <w:rPr>
          <w:sz w:val="24"/>
          <w:szCs w:val="24"/>
        </w:rPr>
        <w:t>Following the SI investigation completed in May 2022 for the Podiatry Service in relation to decontamination equipment, the medical device team can confirm:</w:t>
      </w:r>
    </w:p>
    <w:p w14:paraId="22C6CE3A" w14:textId="77777777" w:rsidR="00557593" w:rsidRPr="00557593" w:rsidRDefault="00C55A67" w:rsidP="00200B15">
      <w:pPr>
        <w:pStyle w:val="ListParagraph"/>
        <w:numPr>
          <w:ilvl w:val="0"/>
          <w:numId w:val="5"/>
        </w:numPr>
        <w:rPr>
          <w:b/>
          <w:bCs/>
          <w:sz w:val="24"/>
          <w:szCs w:val="24"/>
        </w:rPr>
      </w:pPr>
      <w:r w:rsidRPr="00557593">
        <w:rPr>
          <w:sz w:val="24"/>
          <w:szCs w:val="24"/>
        </w:rPr>
        <w:t>LPT owned sterilisation equipment and washer disinfectors are in service date and maintenance  regimes are compliant with HTM 01-01 Management and Decontamination of Surgical Instruments (medical devices) used in Acute Care.</w:t>
      </w:r>
    </w:p>
    <w:p w14:paraId="57A4CDAC" w14:textId="6BB53BDF" w:rsidR="00C55A67" w:rsidRPr="00557593" w:rsidRDefault="00C55A67" w:rsidP="00200B15">
      <w:pPr>
        <w:pStyle w:val="ListParagraph"/>
        <w:numPr>
          <w:ilvl w:val="0"/>
          <w:numId w:val="5"/>
        </w:numPr>
        <w:rPr>
          <w:b/>
          <w:bCs/>
          <w:sz w:val="24"/>
          <w:szCs w:val="24"/>
        </w:rPr>
      </w:pPr>
      <w:r w:rsidRPr="00557593">
        <w:rPr>
          <w:sz w:val="24"/>
          <w:szCs w:val="24"/>
        </w:rPr>
        <w:t>Pressure testing is planned for January 2023 and will be completed by Avensys Medical Ltd and Allianz PLC to ensure compliance with the Pressure Systems Safety Regulations 2000 and the Provision and Use of Work Equipment Regulations 1998</w:t>
      </w:r>
    </w:p>
    <w:p w14:paraId="2D7D921B" w14:textId="68733006" w:rsidR="005C3B0F" w:rsidRPr="00C55A67" w:rsidRDefault="00C55A67" w:rsidP="00A53882">
      <w:pPr>
        <w:pStyle w:val="ListParagraph"/>
        <w:numPr>
          <w:ilvl w:val="0"/>
          <w:numId w:val="5"/>
        </w:numPr>
        <w:rPr>
          <w:b/>
          <w:bCs/>
          <w:sz w:val="24"/>
          <w:szCs w:val="24"/>
        </w:rPr>
      </w:pPr>
      <w:r w:rsidRPr="00C55A67">
        <w:rPr>
          <w:sz w:val="24"/>
          <w:szCs w:val="24"/>
        </w:rPr>
        <w:t>Monthly compliance reports completed by the Medical Device Team and shared with the Podiatry Service to provide assurance, deviation from the planned maintenance programme will be reported by exception to the Decontamination Group and the Medical Device Group</w:t>
      </w:r>
    </w:p>
    <w:p w14:paraId="11A2F3B7" w14:textId="77C474F8" w:rsidR="005C3B0F" w:rsidRDefault="005C3B0F" w:rsidP="00C55A67">
      <w:pPr>
        <w:keepNext/>
        <w:ind w:left="720" w:hanging="720"/>
        <w:rPr>
          <w:rFonts w:eastAsia="Times New Roman"/>
          <w:sz w:val="24"/>
          <w:szCs w:val="24"/>
        </w:rPr>
      </w:pPr>
      <w:r>
        <w:rPr>
          <w:sz w:val="24"/>
          <w:szCs w:val="24"/>
        </w:rPr>
        <w:lastRenderedPageBreak/>
        <w:t>2.</w:t>
      </w:r>
      <w:r w:rsidR="00C55A67">
        <w:rPr>
          <w:sz w:val="24"/>
          <w:szCs w:val="24"/>
        </w:rPr>
        <w:t>2</w:t>
      </w:r>
      <w:r w:rsidR="00C55A67">
        <w:rPr>
          <w:sz w:val="24"/>
          <w:szCs w:val="24"/>
        </w:rPr>
        <w:tab/>
      </w:r>
      <w:r>
        <w:rPr>
          <w:rFonts w:eastAsia="Times New Roman"/>
          <w:sz w:val="24"/>
          <w:szCs w:val="24"/>
        </w:rPr>
        <w:t xml:space="preserve">An </w:t>
      </w:r>
      <w:r w:rsidR="00C55A67">
        <w:rPr>
          <w:rFonts w:eastAsia="Times New Roman"/>
          <w:sz w:val="24"/>
          <w:szCs w:val="24"/>
        </w:rPr>
        <w:t>A</w:t>
      </w:r>
      <w:r>
        <w:rPr>
          <w:rFonts w:eastAsia="Times New Roman"/>
          <w:sz w:val="24"/>
          <w:szCs w:val="24"/>
        </w:rPr>
        <w:t>uthorised Engineer</w:t>
      </w:r>
      <w:r w:rsidR="00C55A67">
        <w:rPr>
          <w:rFonts w:eastAsia="Times New Roman"/>
          <w:sz w:val="24"/>
          <w:szCs w:val="24"/>
        </w:rPr>
        <w:t xml:space="preserve"> (AE)</w:t>
      </w:r>
      <w:r>
        <w:rPr>
          <w:rFonts w:eastAsia="Times New Roman"/>
          <w:sz w:val="24"/>
          <w:szCs w:val="24"/>
        </w:rPr>
        <w:t xml:space="preserve"> for Decontamination was appointed, </w:t>
      </w:r>
      <w:r w:rsidR="00C55A67">
        <w:rPr>
          <w:rFonts w:eastAsia="Times New Roman"/>
          <w:sz w:val="24"/>
          <w:szCs w:val="24"/>
        </w:rPr>
        <w:t xml:space="preserve">who </w:t>
      </w:r>
      <w:r>
        <w:rPr>
          <w:rFonts w:eastAsia="Times New Roman"/>
          <w:sz w:val="24"/>
          <w:szCs w:val="24"/>
        </w:rPr>
        <w:t>review</w:t>
      </w:r>
      <w:r w:rsidR="00C55A67">
        <w:rPr>
          <w:rFonts w:eastAsia="Times New Roman"/>
          <w:sz w:val="24"/>
          <w:szCs w:val="24"/>
        </w:rPr>
        <w:t xml:space="preserve">ed </w:t>
      </w:r>
      <w:r>
        <w:rPr>
          <w:rFonts w:eastAsia="Times New Roman"/>
          <w:sz w:val="24"/>
          <w:szCs w:val="24"/>
        </w:rPr>
        <w:t>the processes for decontamination used in podiatry services</w:t>
      </w:r>
      <w:r w:rsidR="00C55A67">
        <w:rPr>
          <w:rFonts w:eastAsia="Times New Roman"/>
          <w:sz w:val="24"/>
          <w:szCs w:val="24"/>
        </w:rPr>
        <w:t>; minor amendments relating to the decontamination group terms of reference and policy for cleaning and decontamination were made based on the AEs’ recommendations.</w:t>
      </w:r>
    </w:p>
    <w:p w14:paraId="46C83B57" w14:textId="58BEFC74" w:rsidR="00C55A67" w:rsidRDefault="00C55A67" w:rsidP="00C55A67">
      <w:pPr>
        <w:keepNext/>
        <w:ind w:left="720" w:hanging="720"/>
        <w:rPr>
          <w:rFonts w:eastAsia="Times New Roman"/>
          <w:sz w:val="24"/>
          <w:szCs w:val="24"/>
        </w:rPr>
      </w:pPr>
      <w:r>
        <w:rPr>
          <w:rFonts w:eastAsia="Times New Roman"/>
          <w:sz w:val="24"/>
          <w:szCs w:val="24"/>
        </w:rPr>
        <w:t>2.3</w:t>
      </w:r>
      <w:r>
        <w:rPr>
          <w:rFonts w:eastAsia="Times New Roman"/>
          <w:sz w:val="24"/>
          <w:szCs w:val="24"/>
        </w:rPr>
        <w:tab/>
        <w:t>The second phase of the AE review of management processes commences in January 2023 and will include site audits, a review of staff training records and equipment validation records.</w:t>
      </w:r>
    </w:p>
    <w:p w14:paraId="336C714C" w14:textId="7B2C7A2E" w:rsidR="005C3B0F" w:rsidRDefault="00A43E1E" w:rsidP="00A43E1E">
      <w:pPr>
        <w:keepNext/>
        <w:ind w:left="720" w:hanging="720"/>
        <w:rPr>
          <w:rFonts w:eastAsia="Times New Roman"/>
          <w:sz w:val="24"/>
          <w:szCs w:val="24"/>
        </w:rPr>
      </w:pPr>
      <w:r>
        <w:rPr>
          <w:rFonts w:eastAsia="Times New Roman"/>
          <w:sz w:val="24"/>
          <w:szCs w:val="24"/>
        </w:rPr>
        <w:t>2.4</w:t>
      </w:r>
      <w:r>
        <w:rPr>
          <w:rFonts w:eastAsia="Times New Roman"/>
          <w:sz w:val="24"/>
          <w:szCs w:val="24"/>
        </w:rPr>
        <w:tab/>
      </w:r>
      <w:r w:rsidR="005C3B0F">
        <w:rPr>
          <w:rFonts w:eastAsia="Times New Roman"/>
          <w:sz w:val="24"/>
          <w:szCs w:val="24"/>
        </w:rPr>
        <w:t>Decontamination group with quarterly meetings set up</w:t>
      </w:r>
      <w:r w:rsidR="00C55A67">
        <w:rPr>
          <w:rFonts w:eastAsia="Times New Roman"/>
          <w:sz w:val="24"/>
          <w:szCs w:val="24"/>
        </w:rPr>
        <w:t>, with a wider range of stakeholders including dental services.</w:t>
      </w:r>
      <w:r w:rsidR="00991BD3">
        <w:rPr>
          <w:rFonts w:eastAsia="Times New Roman"/>
          <w:sz w:val="24"/>
          <w:szCs w:val="24"/>
        </w:rPr>
        <w:t xml:space="preserve"> An action log </w:t>
      </w:r>
      <w:r w:rsidR="00C416DB">
        <w:rPr>
          <w:rFonts w:eastAsia="Times New Roman"/>
          <w:sz w:val="24"/>
          <w:szCs w:val="24"/>
        </w:rPr>
        <w:t>is maintained and updated to address and manage actions identified.</w:t>
      </w:r>
    </w:p>
    <w:p w14:paraId="624344D4" w14:textId="32B55CF2" w:rsidR="005C3B0F" w:rsidRPr="00C416DB" w:rsidRDefault="00C416DB" w:rsidP="00C416DB">
      <w:pPr>
        <w:keepNext/>
        <w:jc w:val="both"/>
        <w:rPr>
          <w:rFonts w:eastAsia="Times New Roman"/>
          <w:sz w:val="24"/>
          <w:szCs w:val="24"/>
        </w:rPr>
      </w:pPr>
      <w:r>
        <w:rPr>
          <w:rFonts w:eastAsia="Times New Roman"/>
          <w:sz w:val="24"/>
          <w:szCs w:val="24"/>
        </w:rPr>
        <w:t>2.5</w:t>
      </w:r>
      <w:r>
        <w:rPr>
          <w:rFonts w:eastAsia="Times New Roman"/>
          <w:sz w:val="24"/>
          <w:szCs w:val="24"/>
        </w:rPr>
        <w:tab/>
      </w:r>
      <w:r w:rsidR="005C3B0F" w:rsidRPr="00C416DB">
        <w:rPr>
          <w:rFonts w:eastAsia="Times New Roman"/>
          <w:sz w:val="24"/>
          <w:szCs w:val="24"/>
        </w:rPr>
        <w:t>Decontamination policy and terms of reference</w:t>
      </w:r>
      <w:r w:rsidR="00991BD3" w:rsidRPr="00C416DB">
        <w:rPr>
          <w:rFonts w:eastAsia="Times New Roman"/>
          <w:sz w:val="24"/>
          <w:szCs w:val="24"/>
        </w:rPr>
        <w:t xml:space="preserve"> have been </w:t>
      </w:r>
      <w:r w:rsidR="00C55A67" w:rsidRPr="00C416DB">
        <w:rPr>
          <w:rFonts w:eastAsia="Times New Roman"/>
          <w:sz w:val="24"/>
          <w:szCs w:val="24"/>
        </w:rPr>
        <w:t xml:space="preserve">finalised and </w:t>
      </w:r>
      <w:r w:rsidR="00557593" w:rsidRPr="00C416DB">
        <w:rPr>
          <w:rFonts w:eastAsia="Times New Roman"/>
          <w:sz w:val="24"/>
          <w:szCs w:val="24"/>
        </w:rPr>
        <w:t>adopted.</w:t>
      </w:r>
    </w:p>
    <w:p w14:paraId="4B5C82EA" w14:textId="77777777" w:rsidR="005C3B0F" w:rsidRPr="00524AF2" w:rsidRDefault="005C3B0F" w:rsidP="00B6500F">
      <w:pPr>
        <w:pStyle w:val="Default"/>
        <w:spacing w:after="120" w:line="276" w:lineRule="auto"/>
        <w:ind w:left="720" w:hanging="720"/>
        <w:rPr>
          <w:rFonts w:asciiTheme="minorHAnsi" w:hAnsiTheme="minorHAnsi"/>
          <w:b/>
          <w:color w:val="auto"/>
        </w:rPr>
      </w:pPr>
    </w:p>
    <w:bookmarkEnd w:id="2"/>
    <w:p w14:paraId="6E387DD2" w14:textId="33802FB3" w:rsidR="00285F76" w:rsidRPr="00C46818" w:rsidRDefault="00415608" w:rsidP="00080C8F">
      <w:pPr>
        <w:pStyle w:val="Default"/>
        <w:spacing w:after="120" w:line="276" w:lineRule="auto"/>
        <w:rPr>
          <w:rFonts w:asciiTheme="minorHAnsi" w:hAnsiTheme="minorHAnsi" w:cstheme="minorHAnsi"/>
          <w:b/>
          <w:color w:val="auto"/>
        </w:rPr>
      </w:pPr>
      <w:r w:rsidRPr="00C46818">
        <w:rPr>
          <w:rFonts w:asciiTheme="minorHAnsi" w:hAnsiTheme="minorHAnsi" w:cstheme="minorHAnsi"/>
          <w:b/>
          <w:color w:val="auto"/>
        </w:rPr>
        <w:t>3.</w:t>
      </w:r>
      <w:r w:rsidR="00C416DB" w:rsidRPr="00C46818">
        <w:rPr>
          <w:rFonts w:asciiTheme="minorHAnsi" w:hAnsiTheme="minorHAnsi" w:cstheme="minorHAnsi"/>
          <w:b/>
          <w:color w:val="auto"/>
        </w:rPr>
        <w:t>0</w:t>
      </w:r>
      <w:r w:rsidRPr="00C46818">
        <w:rPr>
          <w:rFonts w:asciiTheme="minorHAnsi" w:hAnsiTheme="minorHAnsi" w:cstheme="minorHAnsi"/>
          <w:b/>
          <w:color w:val="auto"/>
        </w:rPr>
        <w:tab/>
      </w:r>
      <w:bookmarkStart w:id="3" w:name="_Hlk104555045"/>
      <w:r w:rsidR="00080C8F" w:rsidRPr="00C46818">
        <w:rPr>
          <w:rFonts w:asciiTheme="minorHAnsi" w:hAnsiTheme="minorHAnsi" w:cstheme="minorHAnsi"/>
          <w:b/>
          <w:color w:val="auto"/>
        </w:rPr>
        <w:t>Legionella</w:t>
      </w:r>
    </w:p>
    <w:p w14:paraId="7FF52490" w14:textId="30BCBCD2" w:rsidR="00080C8F" w:rsidRPr="00C46818" w:rsidRDefault="00080C8F" w:rsidP="00080C8F">
      <w:pPr>
        <w:pStyle w:val="Default"/>
        <w:spacing w:after="120" w:line="276" w:lineRule="auto"/>
        <w:rPr>
          <w:rFonts w:asciiTheme="minorHAnsi" w:hAnsiTheme="minorHAnsi" w:cstheme="minorHAnsi"/>
          <w:b/>
          <w:color w:val="auto"/>
        </w:rPr>
      </w:pPr>
      <w:r w:rsidRPr="00C46818">
        <w:rPr>
          <w:rFonts w:asciiTheme="minorHAnsi" w:hAnsiTheme="minorHAnsi" w:cstheme="minorHAnsi"/>
          <w:b/>
          <w:color w:val="auto"/>
        </w:rPr>
        <w:t>3.1</w:t>
      </w:r>
      <w:r w:rsidRPr="00C46818">
        <w:rPr>
          <w:rFonts w:asciiTheme="minorHAnsi" w:hAnsiTheme="minorHAnsi" w:cstheme="minorHAnsi"/>
          <w:b/>
          <w:color w:val="auto"/>
        </w:rPr>
        <w:tab/>
        <w:t>Rutland Memorial Hospital</w:t>
      </w:r>
    </w:p>
    <w:p w14:paraId="604F7F35" w14:textId="7C59488B" w:rsidR="00C416DB" w:rsidRPr="00C46818" w:rsidRDefault="00C416DB" w:rsidP="00C416DB">
      <w:pPr>
        <w:rPr>
          <w:rFonts w:cstheme="minorHAnsi"/>
          <w:sz w:val="24"/>
          <w:szCs w:val="24"/>
        </w:rPr>
      </w:pPr>
      <w:r w:rsidRPr="00C46818">
        <w:rPr>
          <w:rFonts w:cstheme="minorHAnsi"/>
          <w:sz w:val="24"/>
          <w:szCs w:val="24"/>
        </w:rPr>
        <w:t xml:space="preserve">Week beginning 26  September 2022, positive water samples for Legionella </w:t>
      </w:r>
      <w:r w:rsidR="009C4AFA">
        <w:rPr>
          <w:rFonts w:cstheme="minorHAnsi"/>
          <w:sz w:val="24"/>
          <w:szCs w:val="24"/>
        </w:rPr>
        <w:t>were</w:t>
      </w:r>
      <w:r w:rsidRPr="00C46818">
        <w:rPr>
          <w:rFonts w:cstheme="minorHAnsi"/>
          <w:sz w:val="24"/>
          <w:szCs w:val="24"/>
        </w:rPr>
        <w:t xml:space="preserve"> found in the following areas:  </w:t>
      </w:r>
    </w:p>
    <w:p w14:paraId="64CFFD60" w14:textId="2066D9DD" w:rsidR="00C416DB" w:rsidRPr="00C46818" w:rsidRDefault="00C416DB" w:rsidP="00A53882">
      <w:pPr>
        <w:pStyle w:val="ListParagraph"/>
        <w:numPr>
          <w:ilvl w:val="0"/>
          <w:numId w:val="8"/>
        </w:numPr>
        <w:autoSpaceDN w:val="0"/>
        <w:rPr>
          <w:rFonts w:eastAsia="Times New Roman" w:cstheme="minorHAnsi"/>
          <w:sz w:val="24"/>
          <w:szCs w:val="24"/>
        </w:rPr>
      </w:pPr>
      <w:r w:rsidRPr="00C46818">
        <w:rPr>
          <w:rFonts w:eastAsia="Times New Roman" w:cstheme="minorHAnsi"/>
          <w:sz w:val="24"/>
          <w:szCs w:val="24"/>
        </w:rPr>
        <w:t>the Rutland inpatient ward (currently closed for essential maintenance and refurbishment</w:t>
      </w:r>
      <w:r w:rsidR="00557593" w:rsidRPr="00C46818">
        <w:rPr>
          <w:rFonts w:eastAsia="Times New Roman" w:cstheme="minorHAnsi"/>
          <w:sz w:val="24"/>
          <w:szCs w:val="24"/>
        </w:rPr>
        <w:t>).</w:t>
      </w:r>
    </w:p>
    <w:p w14:paraId="1A384603" w14:textId="77777777" w:rsidR="00C416DB" w:rsidRPr="00C46818" w:rsidRDefault="00C416DB" w:rsidP="00A53882">
      <w:pPr>
        <w:pStyle w:val="ListParagraph"/>
        <w:numPr>
          <w:ilvl w:val="0"/>
          <w:numId w:val="9"/>
        </w:numPr>
        <w:autoSpaceDN w:val="0"/>
        <w:rPr>
          <w:rFonts w:eastAsia="Times New Roman" w:cstheme="minorHAnsi"/>
          <w:sz w:val="24"/>
          <w:szCs w:val="24"/>
        </w:rPr>
      </w:pPr>
      <w:r w:rsidRPr="00C46818">
        <w:rPr>
          <w:rFonts w:eastAsia="Times New Roman" w:cstheme="minorHAnsi"/>
          <w:sz w:val="24"/>
          <w:szCs w:val="24"/>
        </w:rPr>
        <w:t xml:space="preserve">in the midwifery clinic in Maternity: and </w:t>
      </w:r>
    </w:p>
    <w:p w14:paraId="7BE29769" w14:textId="77777777" w:rsidR="00C416DB" w:rsidRPr="00C46818" w:rsidRDefault="00C416DB" w:rsidP="00A53882">
      <w:pPr>
        <w:pStyle w:val="ListParagraph"/>
        <w:numPr>
          <w:ilvl w:val="0"/>
          <w:numId w:val="9"/>
        </w:numPr>
        <w:autoSpaceDN w:val="0"/>
        <w:rPr>
          <w:rFonts w:eastAsia="Times New Roman" w:cstheme="minorHAnsi"/>
          <w:sz w:val="24"/>
          <w:szCs w:val="24"/>
        </w:rPr>
      </w:pPr>
      <w:r w:rsidRPr="00C46818">
        <w:rPr>
          <w:rFonts w:eastAsia="Times New Roman" w:cstheme="minorHAnsi"/>
          <w:sz w:val="24"/>
          <w:szCs w:val="24"/>
        </w:rPr>
        <w:t>in the leg ulcer clinic in the Catmose ward.</w:t>
      </w:r>
    </w:p>
    <w:p w14:paraId="4704F71B" w14:textId="2833E540" w:rsidR="00C416DB" w:rsidRPr="00C46818" w:rsidRDefault="00C416DB" w:rsidP="00C416DB">
      <w:pPr>
        <w:rPr>
          <w:rFonts w:cstheme="minorHAnsi"/>
          <w:sz w:val="24"/>
          <w:szCs w:val="24"/>
        </w:rPr>
      </w:pPr>
      <w:r w:rsidRPr="00C46818">
        <w:rPr>
          <w:rFonts w:cstheme="minorHAnsi"/>
          <w:sz w:val="24"/>
          <w:szCs w:val="24"/>
        </w:rPr>
        <w:t xml:space="preserve">An emergency meeting was arranged with all key staff on site </w:t>
      </w:r>
      <w:r w:rsidR="00E07733">
        <w:rPr>
          <w:rFonts w:cstheme="minorHAnsi"/>
          <w:sz w:val="24"/>
          <w:szCs w:val="24"/>
        </w:rPr>
        <w:t xml:space="preserve">and the Trust Water Safety Group. A risk review of water activities was undertaken, </w:t>
      </w:r>
      <w:r w:rsidRPr="00C46818">
        <w:rPr>
          <w:rFonts w:cstheme="minorHAnsi"/>
          <w:sz w:val="24"/>
          <w:szCs w:val="24"/>
        </w:rPr>
        <w:t xml:space="preserve"> actions were put into place immediately. These include but are not limited to:</w:t>
      </w:r>
    </w:p>
    <w:p w14:paraId="656DEBFE" w14:textId="79572FD1" w:rsidR="006F648D" w:rsidRPr="00C46818" w:rsidRDefault="009C4AFA" w:rsidP="00A53882">
      <w:pPr>
        <w:pStyle w:val="ListParagraph"/>
        <w:numPr>
          <w:ilvl w:val="0"/>
          <w:numId w:val="8"/>
        </w:numPr>
        <w:rPr>
          <w:rFonts w:cstheme="minorHAnsi"/>
          <w:sz w:val="24"/>
          <w:szCs w:val="24"/>
        </w:rPr>
      </w:pPr>
      <w:r>
        <w:rPr>
          <w:rFonts w:cstheme="minorHAnsi"/>
          <w:sz w:val="24"/>
          <w:szCs w:val="24"/>
        </w:rPr>
        <w:t>A</w:t>
      </w:r>
      <w:r w:rsidR="00C416DB" w:rsidRPr="00C46818">
        <w:rPr>
          <w:rFonts w:cstheme="minorHAnsi"/>
          <w:sz w:val="24"/>
          <w:szCs w:val="24"/>
        </w:rPr>
        <w:t xml:space="preserve"> full maintenance clean and treatment of the affected system  completed Monday 3 October</w:t>
      </w:r>
      <w:r>
        <w:rPr>
          <w:rFonts w:cstheme="minorHAnsi"/>
          <w:sz w:val="24"/>
          <w:szCs w:val="24"/>
        </w:rPr>
        <w:t xml:space="preserve"> 2022</w:t>
      </w:r>
      <w:r w:rsidR="00C416DB" w:rsidRPr="00C46818">
        <w:rPr>
          <w:rFonts w:cstheme="minorHAnsi"/>
          <w:sz w:val="24"/>
          <w:szCs w:val="24"/>
        </w:rPr>
        <w:t xml:space="preserve">. </w:t>
      </w:r>
    </w:p>
    <w:p w14:paraId="3ED78B6F" w14:textId="5FA3A8D4" w:rsidR="00C416DB" w:rsidRPr="00C46818" w:rsidRDefault="00C416DB" w:rsidP="00A53882">
      <w:pPr>
        <w:pStyle w:val="ListParagraph"/>
        <w:numPr>
          <w:ilvl w:val="0"/>
          <w:numId w:val="8"/>
        </w:numPr>
        <w:rPr>
          <w:rFonts w:cstheme="minorHAnsi"/>
          <w:sz w:val="24"/>
          <w:szCs w:val="24"/>
        </w:rPr>
      </w:pPr>
      <w:r w:rsidRPr="00C46818">
        <w:rPr>
          <w:rFonts w:cstheme="minorHAnsi"/>
          <w:sz w:val="24"/>
          <w:szCs w:val="24"/>
        </w:rPr>
        <w:t>Testing of all outlets across the hospital.</w:t>
      </w:r>
    </w:p>
    <w:p w14:paraId="7DFBA96E" w14:textId="1D5B3407" w:rsidR="00C416DB" w:rsidRPr="00C46818" w:rsidRDefault="006F648D" w:rsidP="00A53882">
      <w:pPr>
        <w:pStyle w:val="ListParagraph"/>
        <w:numPr>
          <w:ilvl w:val="0"/>
          <w:numId w:val="8"/>
        </w:numPr>
        <w:rPr>
          <w:rFonts w:cstheme="minorHAnsi"/>
          <w:sz w:val="24"/>
          <w:szCs w:val="24"/>
        </w:rPr>
      </w:pPr>
      <w:r w:rsidRPr="00C46818">
        <w:rPr>
          <w:rFonts w:cstheme="minorHAnsi"/>
          <w:sz w:val="24"/>
          <w:szCs w:val="24"/>
        </w:rPr>
        <w:t>Precautionary measures were put into place; s</w:t>
      </w:r>
      <w:r w:rsidR="00C416DB" w:rsidRPr="00C46818">
        <w:rPr>
          <w:rFonts w:cstheme="minorHAnsi"/>
          <w:sz w:val="24"/>
          <w:szCs w:val="24"/>
        </w:rPr>
        <w:t xml:space="preserve">ome clinics  relocated, all showerheads  removed, and all safe and potentially unsafe sinks </w:t>
      </w:r>
      <w:r w:rsidR="009C4AFA">
        <w:rPr>
          <w:rFonts w:cstheme="minorHAnsi"/>
          <w:sz w:val="24"/>
          <w:szCs w:val="24"/>
        </w:rPr>
        <w:t>were</w:t>
      </w:r>
      <w:r w:rsidR="00C416DB" w:rsidRPr="00C46818">
        <w:rPr>
          <w:rFonts w:cstheme="minorHAnsi"/>
          <w:sz w:val="24"/>
          <w:szCs w:val="24"/>
        </w:rPr>
        <w:t xml:space="preserve"> clearly marked. </w:t>
      </w:r>
    </w:p>
    <w:p w14:paraId="1CD9501A" w14:textId="0F1628F6" w:rsidR="006F648D" w:rsidRPr="00C46818" w:rsidRDefault="00C416DB" w:rsidP="00A53882">
      <w:pPr>
        <w:pStyle w:val="ListParagraph"/>
        <w:numPr>
          <w:ilvl w:val="0"/>
          <w:numId w:val="8"/>
        </w:numPr>
        <w:rPr>
          <w:rFonts w:cstheme="minorHAnsi"/>
          <w:sz w:val="24"/>
          <w:szCs w:val="24"/>
        </w:rPr>
      </w:pPr>
      <w:r w:rsidRPr="00C46818">
        <w:rPr>
          <w:rFonts w:cstheme="minorHAnsi"/>
          <w:sz w:val="24"/>
          <w:szCs w:val="24"/>
        </w:rPr>
        <w:t xml:space="preserve">Staff on  site </w:t>
      </w:r>
      <w:r w:rsidR="009C4AFA">
        <w:rPr>
          <w:rFonts w:cstheme="minorHAnsi"/>
          <w:sz w:val="24"/>
          <w:szCs w:val="24"/>
        </w:rPr>
        <w:t>advised to</w:t>
      </w:r>
      <w:r w:rsidRPr="00C46818">
        <w:rPr>
          <w:rFonts w:cstheme="minorHAnsi"/>
          <w:sz w:val="24"/>
          <w:szCs w:val="24"/>
        </w:rPr>
        <w:t xml:space="preserve"> continue to wear masks, visors, and PPE as per current guidance, </w:t>
      </w:r>
      <w:r w:rsidR="009C4AFA">
        <w:rPr>
          <w:rFonts w:cstheme="minorHAnsi"/>
          <w:sz w:val="24"/>
          <w:szCs w:val="24"/>
        </w:rPr>
        <w:t>when flushing outlets</w:t>
      </w:r>
      <w:r w:rsidRPr="00C46818">
        <w:rPr>
          <w:rFonts w:cstheme="minorHAnsi"/>
          <w:sz w:val="24"/>
          <w:szCs w:val="24"/>
        </w:rPr>
        <w:t xml:space="preserve">. </w:t>
      </w:r>
    </w:p>
    <w:p w14:paraId="1F3DE015" w14:textId="36F5AE41" w:rsidR="00C416DB" w:rsidRPr="00C46818" w:rsidRDefault="00C416DB" w:rsidP="00A53882">
      <w:pPr>
        <w:pStyle w:val="ListParagraph"/>
        <w:numPr>
          <w:ilvl w:val="0"/>
          <w:numId w:val="8"/>
        </w:numPr>
        <w:rPr>
          <w:rFonts w:cstheme="minorHAnsi"/>
          <w:sz w:val="24"/>
          <w:szCs w:val="24"/>
        </w:rPr>
      </w:pPr>
      <w:r w:rsidRPr="00C46818">
        <w:rPr>
          <w:rFonts w:cstheme="minorHAnsi"/>
          <w:sz w:val="24"/>
          <w:szCs w:val="24"/>
        </w:rPr>
        <w:t>As an added precaution, staff</w:t>
      </w:r>
      <w:r w:rsidR="006F648D" w:rsidRPr="00C46818">
        <w:rPr>
          <w:rFonts w:cstheme="minorHAnsi"/>
          <w:sz w:val="24"/>
          <w:szCs w:val="24"/>
        </w:rPr>
        <w:t xml:space="preserve"> were advised</w:t>
      </w:r>
      <w:r w:rsidRPr="00C46818">
        <w:rPr>
          <w:rFonts w:cstheme="minorHAnsi"/>
          <w:sz w:val="24"/>
          <w:szCs w:val="24"/>
        </w:rPr>
        <w:t xml:space="preserve"> to only use bottled or boiled water to drink or for treatment (or use irrigation pods where appropriate). Crockery and utensils for staff-use washed using hot water whilst wearing a fluid-resistant surgical mask. </w:t>
      </w:r>
    </w:p>
    <w:p w14:paraId="23E3059B" w14:textId="3CCDE866" w:rsidR="00C416DB" w:rsidRPr="00C46818" w:rsidRDefault="006F648D" w:rsidP="00A53882">
      <w:pPr>
        <w:pStyle w:val="ListParagraph"/>
        <w:numPr>
          <w:ilvl w:val="0"/>
          <w:numId w:val="8"/>
        </w:numPr>
        <w:rPr>
          <w:rFonts w:cstheme="minorHAnsi"/>
          <w:sz w:val="24"/>
          <w:szCs w:val="24"/>
        </w:rPr>
      </w:pPr>
      <w:r w:rsidRPr="00C46818">
        <w:rPr>
          <w:rFonts w:cstheme="minorHAnsi"/>
          <w:sz w:val="24"/>
          <w:szCs w:val="24"/>
        </w:rPr>
        <w:t xml:space="preserve">Communications to staff and patients was developed and shared to </w:t>
      </w:r>
      <w:r w:rsidR="00C416DB" w:rsidRPr="00C46818">
        <w:rPr>
          <w:rFonts w:cstheme="minorHAnsi"/>
          <w:sz w:val="24"/>
          <w:szCs w:val="24"/>
        </w:rPr>
        <w:t xml:space="preserve">stress that the risk </w:t>
      </w:r>
      <w:r w:rsidRPr="00C46818">
        <w:rPr>
          <w:rFonts w:cstheme="minorHAnsi"/>
          <w:sz w:val="24"/>
          <w:szCs w:val="24"/>
        </w:rPr>
        <w:t>was</w:t>
      </w:r>
      <w:r w:rsidR="00C416DB" w:rsidRPr="00C46818">
        <w:rPr>
          <w:rFonts w:cstheme="minorHAnsi"/>
          <w:sz w:val="24"/>
          <w:szCs w:val="24"/>
        </w:rPr>
        <w:t xml:space="preserve"> low, and it is extremely rare that the legionella bacteria results in legionnaire’s disease,</w:t>
      </w:r>
      <w:r w:rsidRPr="00C46818">
        <w:rPr>
          <w:rFonts w:cstheme="minorHAnsi"/>
          <w:sz w:val="24"/>
          <w:szCs w:val="24"/>
        </w:rPr>
        <w:t xml:space="preserve"> however it was important to provide reassurance.</w:t>
      </w:r>
      <w:r w:rsidR="00C416DB" w:rsidRPr="00C46818">
        <w:rPr>
          <w:rFonts w:cstheme="minorHAnsi"/>
          <w:sz w:val="24"/>
          <w:szCs w:val="24"/>
        </w:rPr>
        <w:t xml:space="preserve"> </w:t>
      </w:r>
    </w:p>
    <w:p w14:paraId="575ADA22" w14:textId="6C15C108" w:rsidR="00C416DB" w:rsidRPr="00C46818" w:rsidRDefault="006F648D" w:rsidP="00A53882">
      <w:pPr>
        <w:pStyle w:val="ListParagraph"/>
        <w:numPr>
          <w:ilvl w:val="0"/>
          <w:numId w:val="8"/>
        </w:numPr>
        <w:rPr>
          <w:rFonts w:cstheme="minorHAnsi"/>
          <w:sz w:val="24"/>
          <w:szCs w:val="24"/>
        </w:rPr>
      </w:pPr>
      <w:r w:rsidRPr="00C46818">
        <w:rPr>
          <w:rFonts w:cstheme="minorHAnsi"/>
          <w:sz w:val="24"/>
          <w:szCs w:val="24"/>
        </w:rPr>
        <w:t>A number of toilets/bathrooms and hand wash basins were taken out of use temporarily.</w:t>
      </w:r>
    </w:p>
    <w:p w14:paraId="1DE5351D" w14:textId="3E052064" w:rsidR="00C416DB" w:rsidRPr="00C46818" w:rsidRDefault="00C416DB" w:rsidP="00A53882">
      <w:pPr>
        <w:pStyle w:val="ListParagraph"/>
        <w:numPr>
          <w:ilvl w:val="0"/>
          <w:numId w:val="8"/>
        </w:numPr>
        <w:rPr>
          <w:rFonts w:cstheme="minorHAnsi"/>
          <w:sz w:val="24"/>
          <w:szCs w:val="24"/>
        </w:rPr>
      </w:pPr>
      <w:r w:rsidRPr="00C46818">
        <w:rPr>
          <w:rFonts w:cstheme="minorHAnsi"/>
          <w:sz w:val="24"/>
          <w:szCs w:val="24"/>
        </w:rPr>
        <w:t>As a cautionary measure risk-assess</w:t>
      </w:r>
      <w:r w:rsidR="006F648D" w:rsidRPr="00C46818">
        <w:rPr>
          <w:rFonts w:cstheme="minorHAnsi"/>
          <w:sz w:val="24"/>
          <w:szCs w:val="24"/>
        </w:rPr>
        <w:t>ments for</w:t>
      </w:r>
      <w:r w:rsidRPr="00C46818">
        <w:rPr>
          <w:rFonts w:cstheme="minorHAnsi"/>
          <w:sz w:val="24"/>
          <w:szCs w:val="24"/>
        </w:rPr>
        <w:t xml:space="preserve"> patients, staff and contractors working in the hospital</w:t>
      </w:r>
      <w:r w:rsidR="006F648D" w:rsidRPr="00C46818">
        <w:rPr>
          <w:rFonts w:cstheme="minorHAnsi"/>
          <w:sz w:val="24"/>
          <w:szCs w:val="24"/>
        </w:rPr>
        <w:t xml:space="preserve"> continued.</w:t>
      </w:r>
    </w:p>
    <w:p w14:paraId="65B878B6" w14:textId="24CD99CC" w:rsidR="006F648D" w:rsidRPr="00C46818" w:rsidRDefault="006F648D" w:rsidP="00A53882">
      <w:pPr>
        <w:pStyle w:val="ListParagraph"/>
        <w:numPr>
          <w:ilvl w:val="0"/>
          <w:numId w:val="8"/>
        </w:numPr>
        <w:rPr>
          <w:rFonts w:cstheme="minorHAnsi"/>
          <w:sz w:val="24"/>
          <w:szCs w:val="24"/>
        </w:rPr>
      </w:pPr>
      <w:r w:rsidRPr="00C46818">
        <w:rPr>
          <w:rFonts w:cstheme="minorHAnsi"/>
          <w:sz w:val="24"/>
          <w:szCs w:val="24"/>
        </w:rPr>
        <w:t>Single use equipment for podiatry was put into place.</w:t>
      </w:r>
    </w:p>
    <w:p w14:paraId="727F6B99" w14:textId="0F129DA7" w:rsidR="00C416DB" w:rsidRPr="00C46818" w:rsidRDefault="006F648D" w:rsidP="00C416DB">
      <w:pPr>
        <w:rPr>
          <w:rFonts w:cstheme="minorHAnsi"/>
          <w:sz w:val="24"/>
          <w:szCs w:val="24"/>
        </w:rPr>
      </w:pPr>
      <w:r w:rsidRPr="00C46818">
        <w:rPr>
          <w:rFonts w:cstheme="minorHAnsi"/>
          <w:sz w:val="24"/>
          <w:szCs w:val="24"/>
        </w:rPr>
        <w:lastRenderedPageBreak/>
        <w:t xml:space="preserve">The majority of the remedial work for legionella has been completed.  Rutland ward had remained closed due to planned refurbishments </w:t>
      </w:r>
      <w:r w:rsidR="009C4AFA">
        <w:rPr>
          <w:rFonts w:cstheme="minorHAnsi"/>
          <w:sz w:val="24"/>
          <w:szCs w:val="24"/>
        </w:rPr>
        <w:t xml:space="preserve"> prior to reopening the Ward it has been </w:t>
      </w:r>
      <w:r w:rsidR="00C416DB" w:rsidRPr="00C46818">
        <w:rPr>
          <w:rFonts w:cstheme="minorHAnsi"/>
          <w:sz w:val="24"/>
          <w:szCs w:val="24"/>
        </w:rPr>
        <w:t xml:space="preserve"> agreed  to move forward the sampling of the ward systems  as soon as </w:t>
      </w:r>
      <w:r w:rsidR="00C46818" w:rsidRPr="00C46818">
        <w:rPr>
          <w:rFonts w:cstheme="minorHAnsi"/>
          <w:sz w:val="24"/>
          <w:szCs w:val="24"/>
        </w:rPr>
        <w:t>the</w:t>
      </w:r>
      <w:r w:rsidR="00C416DB" w:rsidRPr="00C46818">
        <w:rPr>
          <w:rFonts w:cstheme="minorHAnsi"/>
          <w:sz w:val="24"/>
          <w:szCs w:val="24"/>
        </w:rPr>
        <w:t xml:space="preserve"> sampling contractor can get resources to site.  All Ward taps will be new and will be dipped in Chlorine solution (as per good plumbing practice) before being fitted.</w:t>
      </w:r>
    </w:p>
    <w:p w14:paraId="3AC13842" w14:textId="20BA4AD5" w:rsidR="00080C8F" w:rsidRDefault="00080C8F" w:rsidP="00080C8F">
      <w:pPr>
        <w:pStyle w:val="Default"/>
        <w:spacing w:after="120" w:line="276" w:lineRule="auto"/>
        <w:rPr>
          <w:rFonts w:asciiTheme="minorHAnsi" w:hAnsiTheme="minorHAnsi"/>
          <w:b/>
          <w:color w:val="auto"/>
        </w:rPr>
      </w:pPr>
      <w:r>
        <w:rPr>
          <w:rFonts w:asciiTheme="minorHAnsi" w:hAnsiTheme="minorHAnsi"/>
          <w:b/>
          <w:color w:val="auto"/>
        </w:rPr>
        <w:t>3.2</w:t>
      </w:r>
      <w:r>
        <w:rPr>
          <w:rFonts w:asciiTheme="minorHAnsi" w:hAnsiTheme="minorHAnsi"/>
          <w:b/>
          <w:color w:val="auto"/>
        </w:rPr>
        <w:tab/>
        <w:t>Loughborough Community Hospital</w:t>
      </w:r>
    </w:p>
    <w:p w14:paraId="3041AAAB" w14:textId="281CE29E" w:rsidR="00C46818" w:rsidRPr="00400725" w:rsidRDefault="00C46818" w:rsidP="00C46818">
      <w:pPr>
        <w:rPr>
          <w:rFonts w:cstheme="minorHAnsi"/>
          <w:sz w:val="24"/>
          <w:szCs w:val="24"/>
        </w:rPr>
      </w:pPr>
      <w:r w:rsidRPr="00400725">
        <w:rPr>
          <w:rFonts w:cstheme="minorHAnsi"/>
          <w:sz w:val="24"/>
          <w:szCs w:val="24"/>
        </w:rPr>
        <w:t>Water testing results taken in the 1</w:t>
      </w:r>
      <w:r w:rsidRPr="00400725">
        <w:rPr>
          <w:rFonts w:cstheme="minorHAnsi"/>
          <w:sz w:val="24"/>
          <w:szCs w:val="24"/>
          <w:vertAlign w:val="superscript"/>
        </w:rPr>
        <w:t>st</w:t>
      </w:r>
      <w:r w:rsidRPr="00400725">
        <w:rPr>
          <w:rFonts w:cstheme="minorHAnsi"/>
          <w:sz w:val="24"/>
          <w:szCs w:val="24"/>
        </w:rPr>
        <w:t xml:space="preserve"> week in November 2022 for Phase 2 of Loughborough Hospital were identified as positive for Legionella.</w:t>
      </w:r>
      <w:r w:rsidR="00E07733">
        <w:rPr>
          <w:rFonts w:cstheme="minorHAnsi"/>
          <w:sz w:val="24"/>
          <w:szCs w:val="24"/>
        </w:rPr>
        <w:t xml:space="preserve"> </w:t>
      </w:r>
      <w:r w:rsidR="00E07733" w:rsidRPr="00C46818">
        <w:rPr>
          <w:rFonts w:cstheme="minorHAnsi"/>
          <w:sz w:val="24"/>
          <w:szCs w:val="24"/>
        </w:rPr>
        <w:t xml:space="preserve">An emergency meeting was arranged with all key staff on site </w:t>
      </w:r>
      <w:r w:rsidR="00E07733">
        <w:rPr>
          <w:rFonts w:cstheme="minorHAnsi"/>
          <w:sz w:val="24"/>
          <w:szCs w:val="24"/>
        </w:rPr>
        <w:t xml:space="preserve">and the Trust Water Safety Group. A risk review of water activities was </w:t>
      </w:r>
      <w:r w:rsidR="00557593">
        <w:rPr>
          <w:rFonts w:cstheme="minorHAnsi"/>
          <w:sz w:val="24"/>
          <w:szCs w:val="24"/>
        </w:rPr>
        <w:t>undertaken.</w:t>
      </w:r>
    </w:p>
    <w:p w14:paraId="623D3BCF" w14:textId="3DB055FF" w:rsidR="00C46818" w:rsidRPr="00874E15" w:rsidRDefault="00C46818" w:rsidP="00874E15">
      <w:pPr>
        <w:pStyle w:val="ListParagraph"/>
        <w:numPr>
          <w:ilvl w:val="0"/>
          <w:numId w:val="14"/>
        </w:numPr>
        <w:rPr>
          <w:rFonts w:cstheme="minorHAnsi"/>
          <w:sz w:val="24"/>
          <w:szCs w:val="24"/>
        </w:rPr>
      </w:pPr>
      <w:r w:rsidRPr="00874E15">
        <w:rPr>
          <w:rFonts w:cstheme="minorHAnsi"/>
          <w:sz w:val="24"/>
          <w:szCs w:val="24"/>
        </w:rPr>
        <w:t>Point of use (PoU) filters were installed All filters fitted by Thursday 17</w:t>
      </w:r>
      <w:r w:rsidR="00C82066" w:rsidRPr="00874E15">
        <w:rPr>
          <w:rFonts w:cstheme="minorHAnsi"/>
          <w:sz w:val="24"/>
          <w:szCs w:val="24"/>
        </w:rPr>
        <w:t xml:space="preserve"> November, which would deem the water safe.</w:t>
      </w:r>
    </w:p>
    <w:p w14:paraId="30DFF260" w14:textId="68EBC8DC" w:rsidR="00C82066" w:rsidRPr="00874E15" w:rsidRDefault="00C82066" w:rsidP="00874E15">
      <w:pPr>
        <w:pStyle w:val="ListParagraph"/>
        <w:numPr>
          <w:ilvl w:val="0"/>
          <w:numId w:val="14"/>
        </w:numPr>
        <w:rPr>
          <w:rFonts w:cstheme="minorHAnsi"/>
          <w:sz w:val="24"/>
          <w:szCs w:val="24"/>
        </w:rPr>
      </w:pPr>
      <w:r w:rsidRPr="00874E15">
        <w:rPr>
          <w:rFonts w:cstheme="minorHAnsi"/>
          <w:sz w:val="24"/>
          <w:szCs w:val="24"/>
        </w:rPr>
        <w:t xml:space="preserve">A review of the pipework to understand how the different areas received their water feed was implemented as this would inform the remedial work of cleaning/chlorinating the system. </w:t>
      </w:r>
    </w:p>
    <w:p w14:paraId="3885A0B9" w14:textId="69AB23EC" w:rsidR="00C82066" w:rsidRPr="00874E15" w:rsidRDefault="00C82066" w:rsidP="00874E15">
      <w:pPr>
        <w:pStyle w:val="ListParagraph"/>
        <w:numPr>
          <w:ilvl w:val="0"/>
          <w:numId w:val="14"/>
        </w:numPr>
        <w:rPr>
          <w:rFonts w:cstheme="minorHAnsi"/>
          <w:sz w:val="24"/>
          <w:szCs w:val="24"/>
        </w:rPr>
      </w:pPr>
      <w:r w:rsidRPr="00874E15">
        <w:rPr>
          <w:rFonts w:cstheme="minorHAnsi"/>
          <w:sz w:val="24"/>
          <w:szCs w:val="24"/>
        </w:rPr>
        <w:t>Meetings were held on a daily basis and included all external services who are delivering services within the building. As part of the ongoing planned preventative maintenance,  phase 1 of the hospital was sampled.</w:t>
      </w:r>
    </w:p>
    <w:p w14:paraId="63135220" w14:textId="77777777" w:rsidR="00E07733" w:rsidRDefault="00C416DB" w:rsidP="00E07733">
      <w:pPr>
        <w:pStyle w:val="ListParagraph"/>
        <w:numPr>
          <w:ilvl w:val="0"/>
          <w:numId w:val="14"/>
        </w:numPr>
        <w:rPr>
          <w:rFonts w:cstheme="minorHAnsi"/>
          <w:sz w:val="24"/>
          <w:szCs w:val="24"/>
        </w:rPr>
      </w:pPr>
      <w:r w:rsidRPr="00874E15">
        <w:rPr>
          <w:rFonts w:cstheme="minorHAnsi"/>
          <w:sz w:val="24"/>
          <w:szCs w:val="24"/>
        </w:rPr>
        <w:t>Legionella bacteria non pneumonia (Anisa) was detected in 63% of the samples taken.  </w:t>
      </w:r>
    </w:p>
    <w:p w14:paraId="5C494DE7" w14:textId="2A8AB1B1" w:rsidR="00E07733" w:rsidRDefault="00C416DB" w:rsidP="00E07733">
      <w:pPr>
        <w:pStyle w:val="ListParagraph"/>
        <w:numPr>
          <w:ilvl w:val="0"/>
          <w:numId w:val="14"/>
        </w:numPr>
        <w:rPr>
          <w:rFonts w:cstheme="minorHAnsi"/>
          <w:sz w:val="24"/>
          <w:szCs w:val="24"/>
        </w:rPr>
      </w:pPr>
      <w:r w:rsidRPr="00874E15">
        <w:rPr>
          <w:rFonts w:cstheme="minorHAnsi"/>
          <w:sz w:val="24"/>
          <w:szCs w:val="24"/>
        </w:rPr>
        <w:t xml:space="preserve">Due to the age of the outlets in order to fit T-Safe filters the majority of the outlets had to be changed to new fittings.  </w:t>
      </w:r>
    </w:p>
    <w:p w14:paraId="55FB106A" w14:textId="3A835B10" w:rsidR="00C82066" w:rsidRPr="00874E15" w:rsidRDefault="00C416DB" w:rsidP="00874E15">
      <w:pPr>
        <w:pStyle w:val="ListParagraph"/>
        <w:numPr>
          <w:ilvl w:val="0"/>
          <w:numId w:val="14"/>
        </w:numPr>
        <w:rPr>
          <w:rFonts w:cstheme="minorHAnsi"/>
          <w:sz w:val="24"/>
          <w:szCs w:val="24"/>
        </w:rPr>
      </w:pPr>
      <w:r w:rsidRPr="00874E15">
        <w:rPr>
          <w:rFonts w:cstheme="minorHAnsi"/>
          <w:sz w:val="24"/>
          <w:szCs w:val="24"/>
        </w:rPr>
        <w:t>The majority of phase 1 is now fitted with T-Safe filters.  </w:t>
      </w:r>
      <w:r w:rsidR="00C82066" w:rsidRPr="00874E15">
        <w:rPr>
          <w:rFonts w:cstheme="minorHAnsi"/>
          <w:sz w:val="24"/>
          <w:szCs w:val="24"/>
        </w:rPr>
        <w:t>All actions identified at the Rutland ward incident were also replicated at Loughborough hospital where applicable and appropriate.</w:t>
      </w:r>
    </w:p>
    <w:p w14:paraId="73CCA7F9" w14:textId="50FB5BBC" w:rsidR="00C416DB" w:rsidRPr="00874E15" w:rsidRDefault="00C416DB" w:rsidP="00874E15">
      <w:pPr>
        <w:pStyle w:val="ListParagraph"/>
        <w:numPr>
          <w:ilvl w:val="0"/>
          <w:numId w:val="14"/>
        </w:numPr>
        <w:rPr>
          <w:rFonts w:cstheme="minorHAnsi"/>
          <w:sz w:val="24"/>
          <w:szCs w:val="24"/>
        </w:rPr>
      </w:pPr>
      <w:r w:rsidRPr="00874E15">
        <w:rPr>
          <w:rFonts w:cstheme="minorHAnsi"/>
          <w:sz w:val="24"/>
          <w:szCs w:val="24"/>
        </w:rPr>
        <w:t>Due to resource levels and the higher risk of Serogroup 1 in Phase 2 the disinfection of phase 1 will take place after the phase 2 is under control.</w:t>
      </w:r>
    </w:p>
    <w:p w14:paraId="7E91F506" w14:textId="418F877F" w:rsidR="00C416DB" w:rsidRPr="00874E15" w:rsidRDefault="00C82066" w:rsidP="00874E15">
      <w:pPr>
        <w:pStyle w:val="ListParagraph"/>
        <w:numPr>
          <w:ilvl w:val="0"/>
          <w:numId w:val="14"/>
        </w:numPr>
        <w:rPr>
          <w:rFonts w:cstheme="minorHAnsi"/>
          <w:sz w:val="24"/>
          <w:szCs w:val="24"/>
        </w:rPr>
      </w:pPr>
      <w:r w:rsidRPr="00874E15">
        <w:rPr>
          <w:rFonts w:cstheme="minorHAnsi"/>
          <w:sz w:val="24"/>
          <w:szCs w:val="24"/>
        </w:rPr>
        <w:t xml:space="preserve">The </w:t>
      </w:r>
      <w:r w:rsidR="00C416DB" w:rsidRPr="00874E15">
        <w:rPr>
          <w:rFonts w:cstheme="minorHAnsi"/>
          <w:sz w:val="24"/>
          <w:szCs w:val="24"/>
        </w:rPr>
        <w:t>Renal</w:t>
      </w:r>
      <w:r w:rsidRPr="00874E15">
        <w:rPr>
          <w:rFonts w:cstheme="minorHAnsi"/>
          <w:sz w:val="24"/>
          <w:szCs w:val="24"/>
        </w:rPr>
        <w:t xml:space="preserve"> unit</w:t>
      </w:r>
      <w:r w:rsidR="00E07733">
        <w:rPr>
          <w:rFonts w:cstheme="minorHAnsi"/>
          <w:sz w:val="24"/>
          <w:szCs w:val="24"/>
        </w:rPr>
        <w:t xml:space="preserve"> (high risk vulnerable patient areas)</w:t>
      </w:r>
      <w:r w:rsidR="00C416DB" w:rsidRPr="00874E15">
        <w:rPr>
          <w:rFonts w:cstheme="minorHAnsi"/>
          <w:sz w:val="24"/>
          <w:szCs w:val="24"/>
        </w:rPr>
        <w:t xml:space="preserve"> has </w:t>
      </w:r>
      <w:r w:rsidR="00E07733">
        <w:rPr>
          <w:rFonts w:cstheme="minorHAnsi"/>
          <w:sz w:val="24"/>
          <w:szCs w:val="24"/>
        </w:rPr>
        <w:t>n</w:t>
      </w:r>
      <w:r w:rsidR="00C416DB" w:rsidRPr="00874E15">
        <w:rPr>
          <w:rFonts w:cstheme="minorHAnsi"/>
          <w:sz w:val="24"/>
          <w:szCs w:val="24"/>
        </w:rPr>
        <w:t>o positive Legionella samples and is on an independent supply  from both phase 1 and phase 2.</w:t>
      </w:r>
      <w:r w:rsidRPr="00874E15">
        <w:rPr>
          <w:rFonts w:cstheme="minorHAnsi"/>
          <w:sz w:val="24"/>
          <w:szCs w:val="24"/>
        </w:rPr>
        <w:t xml:space="preserve">The Lead Consultant Microbiologist from University Hospitals of Leicester has attended </w:t>
      </w:r>
      <w:r w:rsidR="00E07733">
        <w:rPr>
          <w:rFonts w:cstheme="minorHAnsi"/>
          <w:sz w:val="24"/>
          <w:szCs w:val="24"/>
        </w:rPr>
        <w:t>all</w:t>
      </w:r>
      <w:r w:rsidRPr="00874E15">
        <w:rPr>
          <w:rFonts w:cstheme="minorHAnsi"/>
          <w:sz w:val="24"/>
          <w:szCs w:val="24"/>
        </w:rPr>
        <w:t xml:space="preserve"> meetings and continues to support the processes </w:t>
      </w:r>
      <w:r w:rsidR="00400725" w:rsidRPr="00874E15">
        <w:rPr>
          <w:rFonts w:cstheme="minorHAnsi"/>
          <w:sz w:val="24"/>
          <w:szCs w:val="24"/>
        </w:rPr>
        <w:t>and also attends LPT’s Water Safety Meetings.</w:t>
      </w:r>
    </w:p>
    <w:p w14:paraId="1227F09D" w14:textId="77777777" w:rsidR="00400725" w:rsidRDefault="00400725" w:rsidP="00285F76">
      <w:pPr>
        <w:pStyle w:val="Default"/>
        <w:spacing w:after="120" w:line="276" w:lineRule="auto"/>
        <w:rPr>
          <w:rFonts w:asciiTheme="minorHAnsi" w:hAnsiTheme="minorHAnsi"/>
          <w:b/>
          <w:color w:val="auto"/>
        </w:rPr>
      </w:pPr>
    </w:p>
    <w:p w14:paraId="083FDB80" w14:textId="2146729B" w:rsidR="00285F76" w:rsidRDefault="00285F76" w:rsidP="00285F76">
      <w:pPr>
        <w:pStyle w:val="Default"/>
        <w:spacing w:after="120" w:line="276" w:lineRule="auto"/>
        <w:rPr>
          <w:rFonts w:ascii="Calibri" w:hAnsi="Calibri"/>
          <w:b/>
          <w:bCs/>
          <w:color w:val="auto"/>
        </w:rPr>
      </w:pPr>
      <w:r>
        <w:rPr>
          <w:rFonts w:asciiTheme="minorHAnsi" w:hAnsiTheme="minorHAnsi"/>
          <w:b/>
          <w:color w:val="auto"/>
        </w:rPr>
        <w:t>4</w:t>
      </w:r>
      <w:r w:rsidRPr="000915F3">
        <w:rPr>
          <w:rFonts w:asciiTheme="minorHAnsi" w:hAnsiTheme="minorHAnsi"/>
          <w:b/>
          <w:color w:val="auto"/>
        </w:rPr>
        <w:t>.</w:t>
      </w:r>
      <w:r w:rsidR="00400725">
        <w:rPr>
          <w:rFonts w:asciiTheme="minorHAnsi" w:hAnsiTheme="minorHAnsi"/>
          <w:b/>
          <w:color w:val="auto"/>
        </w:rPr>
        <w:t>0</w:t>
      </w:r>
      <w:r w:rsidRPr="000915F3">
        <w:rPr>
          <w:rFonts w:asciiTheme="minorHAnsi" w:hAnsiTheme="minorHAnsi"/>
          <w:b/>
          <w:color w:val="auto"/>
        </w:rPr>
        <w:tab/>
      </w:r>
      <w:r>
        <w:rPr>
          <w:rFonts w:ascii="Calibri" w:hAnsi="Calibri"/>
          <w:b/>
          <w:bCs/>
          <w:color w:val="auto"/>
        </w:rPr>
        <w:t>Seasonal Flu vaccination programme – interim update</w:t>
      </w:r>
    </w:p>
    <w:p w14:paraId="14D47ADF" w14:textId="77777777" w:rsidR="00285F76" w:rsidRDefault="00285F76" w:rsidP="00285F76">
      <w:pPr>
        <w:autoSpaceDE w:val="0"/>
        <w:autoSpaceDN w:val="0"/>
        <w:spacing w:after="120"/>
        <w:ind w:left="720" w:hanging="720"/>
        <w:rPr>
          <w:rFonts w:ascii="Calibri" w:hAnsi="Calibri"/>
          <w:sz w:val="24"/>
          <w:szCs w:val="24"/>
        </w:rPr>
      </w:pPr>
      <w:r>
        <w:rPr>
          <w:sz w:val="24"/>
          <w:szCs w:val="24"/>
        </w:rPr>
        <w:t xml:space="preserve">4.1        LPT is required to deliver an annual seasonal flu campaign, offering all staff the opportunity to have the seasonal flu vaccine. </w:t>
      </w:r>
    </w:p>
    <w:p w14:paraId="367A676C" w14:textId="77777777" w:rsidR="00285F76" w:rsidRDefault="00285F76" w:rsidP="00285F76">
      <w:pPr>
        <w:spacing w:after="120"/>
        <w:ind w:left="720" w:hanging="720"/>
        <w:rPr>
          <w:sz w:val="24"/>
          <w:szCs w:val="24"/>
        </w:rPr>
      </w:pPr>
      <w:r>
        <w:rPr>
          <w:sz w:val="24"/>
          <w:szCs w:val="24"/>
        </w:rPr>
        <w:t>4.2        For context, the flu vaccination programme runs between October and February every year.  This year the flu vaccination programme ran alongside the Covid-19 vaccination and booster programme.  The LPT staff fu vaccination programme commenced on 3</w:t>
      </w:r>
      <w:r w:rsidRPr="00EF0C21">
        <w:rPr>
          <w:sz w:val="24"/>
          <w:szCs w:val="24"/>
          <w:vertAlign w:val="superscript"/>
        </w:rPr>
        <w:t>rd</w:t>
      </w:r>
      <w:r>
        <w:rPr>
          <w:sz w:val="24"/>
          <w:szCs w:val="24"/>
        </w:rPr>
        <w:t xml:space="preserve"> October 2022 and offers the 18 – 64 vaccine and the 65+ vaccine.</w:t>
      </w:r>
    </w:p>
    <w:p w14:paraId="10DE6CBC" w14:textId="508DEE1E" w:rsidR="00285F76" w:rsidRDefault="00285F76" w:rsidP="00285F76">
      <w:pPr>
        <w:spacing w:after="120"/>
        <w:ind w:left="720" w:hanging="720"/>
        <w:rPr>
          <w:sz w:val="24"/>
          <w:szCs w:val="24"/>
        </w:rPr>
      </w:pPr>
      <w:r>
        <w:rPr>
          <w:sz w:val="24"/>
          <w:szCs w:val="24"/>
        </w:rPr>
        <w:t>4.3</w:t>
      </w:r>
      <w:r>
        <w:rPr>
          <w:sz w:val="24"/>
          <w:szCs w:val="24"/>
        </w:rPr>
        <w:tab/>
        <w:t xml:space="preserve">The flu uptake </w:t>
      </w:r>
      <w:r w:rsidR="00557593">
        <w:rPr>
          <w:sz w:val="24"/>
          <w:szCs w:val="24"/>
        </w:rPr>
        <w:t>on</w:t>
      </w:r>
      <w:r w:rsidR="008119AC">
        <w:rPr>
          <w:sz w:val="24"/>
          <w:szCs w:val="24"/>
        </w:rPr>
        <w:t xml:space="preserve"> </w:t>
      </w:r>
      <w:r w:rsidR="001634C5">
        <w:rPr>
          <w:sz w:val="24"/>
          <w:szCs w:val="24"/>
        </w:rPr>
        <w:t xml:space="preserve">16 January </w:t>
      </w:r>
      <w:r w:rsidR="008119AC">
        <w:rPr>
          <w:sz w:val="24"/>
          <w:szCs w:val="24"/>
        </w:rPr>
        <w:t>202</w:t>
      </w:r>
      <w:r w:rsidR="001634C5">
        <w:rPr>
          <w:sz w:val="24"/>
          <w:szCs w:val="24"/>
        </w:rPr>
        <w:t>3</w:t>
      </w:r>
      <w:r w:rsidR="008119AC">
        <w:rPr>
          <w:sz w:val="24"/>
          <w:szCs w:val="24"/>
        </w:rPr>
        <w:t xml:space="preserve"> </w:t>
      </w:r>
      <w:r>
        <w:rPr>
          <w:sz w:val="24"/>
          <w:szCs w:val="24"/>
        </w:rPr>
        <w:t xml:space="preserve">was </w:t>
      </w:r>
      <w:r w:rsidR="008119AC">
        <w:rPr>
          <w:sz w:val="24"/>
          <w:szCs w:val="24"/>
        </w:rPr>
        <w:t>5</w:t>
      </w:r>
      <w:r w:rsidR="001634C5">
        <w:rPr>
          <w:sz w:val="24"/>
          <w:szCs w:val="24"/>
        </w:rPr>
        <w:t>2.6</w:t>
      </w:r>
      <w:r>
        <w:rPr>
          <w:sz w:val="24"/>
          <w:szCs w:val="24"/>
        </w:rPr>
        <w:t xml:space="preserve">% </w:t>
      </w:r>
    </w:p>
    <w:p w14:paraId="3FFE1B40" w14:textId="19B2E47B" w:rsidR="00285F76" w:rsidRDefault="00285F76" w:rsidP="00285F76">
      <w:pPr>
        <w:spacing w:after="120"/>
        <w:ind w:left="720" w:hanging="720"/>
        <w:rPr>
          <w:sz w:val="24"/>
          <w:szCs w:val="24"/>
        </w:rPr>
      </w:pPr>
      <w:r>
        <w:rPr>
          <w:sz w:val="24"/>
          <w:szCs w:val="24"/>
        </w:rPr>
        <w:t>4.4       The flu vaccination programme for staff has been delivered alongside COVID</w:t>
      </w:r>
      <w:r w:rsidR="00E07733">
        <w:rPr>
          <w:sz w:val="24"/>
          <w:szCs w:val="24"/>
        </w:rPr>
        <w:t>-19</w:t>
      </w:r>
      <w:r>
        <w:rPr>
          <w:sz w:val="24"/>
          <w:szCs w:val="24"/>
        </w:rPr>
        <w:t xml:space="preserve"> vaccinations to promote uptake of both vaccines for LPT staff where it is operational</w:t>
      </w:r>
      <w:r w:rsidR="00E07733">
        <w:rPr>
          <w:sz w:val="24"/>
          <w:szCs w:val="24"/>
        </w:rPr>
        <w:t>ly viable.</w:t>
      </w:r>
      <w:r>
        <w:rPr>
          <w:sz w:val="24"/>
          <w:szCs w:val="24"/>
        </w:rPr>
        <w:t xml:space="preserve"> </w:t>
      </w:r>
    </w:p>
    <w:p w14:paraId="12682D83" w14:textId="261A63AF" w:rsidR="00285F76" w:rsidRDefault="00285F76" w:rsidP="00285F76">
      <w:pPr>
        <w:spacing w:after="120"/>
        <w:ind w:left="720" w:hanging="720"/>
        <w:rPr>
          <w:sz w:val="24"/>
          <w:szCs w:val="24"/>
        </w:rPr>
      </w:pPr>
      <w:r>
        <w:rPr>
          <w:sz w:val="24"/>
          <w:szCs w:val="24"/>
        </w:rPr>
        <w:t>4.5</w:t>
      </w:r>
      <w:r>
        <w:rPr>
          <w:sz w:val="24"/>
          <w:szCs w:val="24"/>
        </w:rPr>
        <w:tab/>
        <w:t xml:space="preserve">The co-delivery vaccination programme has been offered at the two LPT vaccination sites – Loughborough and Fielding Palmer Hospitals to all LPT </w:t>
      </w:r>
      <w:r w:rsidR="00557593">
        <w:rPr>
          <w:sz w:val="24"/>
          <w:szCs w:val="24"/>
        </w:rPr>
        <w:t>staff.</w:t>
      </w:r>
      <w:r>
        <w:rPr>
          <w:sz w:val="24"/>
          <w:szCs w:val="24"/>
        </w:rPr>
        <w:t xml:space="preserve"> </w:t>
      </w:r>
    </w:p>
    <w:p w14:paraId="41A6A41A" w14:textId="591896F2" w:rsidR="00285F76" w:rsidRDefault="00285F76" w:rsidP="00285F76">
      <w:pPr>
        <w:spacing w:after="120"/>
        <w:ind w:left="720" w:hanging="720"/>
        <w:rPr>
          <w:sz w:val="24"/>
          <w:szCs w:val="24"/>
        </w:rPr>
      </w:pPr>
      <w:r>
        <w:rPr>
          <w:sz w:val="24"/>
          <w:szCs w:val="24"/>
        </w:rPr>
        <w:lastRenderedPageBreak/>
        <w:t>4.6</w:t>
      </w:r>
      <w:r>
        <w:rPr>
          <w:sz w:val="24"/>
          <w:szCs w:val="24"/>
        </w:rPr>
        <w:tab/>
        <w:t xml:space="preserve">Delivery of the programme is through a team of roving vaccinators and local clinical peer vaccinators and delivery is incentivised at the point of vaccination with flu incentives : pen, KitKat and </w:t>
      </w:r>
      <w:r w:rsidR="00557593">
        <w:rPr>
          <w:sz w:val="24"/>
          <w:szCs w:val="24"/>
        </w:rPr>
        <w:t>stickers.</w:t>
      </w:r>
      <w:r>
        <w:rPr>
          <w:sz w:val="24"/>
          <w:szCs w:val="24"/>
        </w:rPr>
        <w:t xml:space="preserve">  </w:t>
      </w:r>
    </w:p>
    <w:p w14:paraId="30F2450D" w14:textId="44393F38" w:rsidR="00285F76" w:rsidRDefault="00285F76" w:rsidP="00285F76">
      <w:pPr>
        <w:spacing w:after="120"/>
        <w:ind w:left="720" w:hanging="720"/>
        <w:rPr>
          <w:sz w:val="24"/>
          <w:szCs w:val="24"/>
        </w:rPr>
      </w:pPr>
      <w:r>
        <w:rPr>
          <w:sz w:val="24"/>
          <w:szCs w:val="24"/>
        </w:rPr>
        <w:t>4.7</w:t>
      </w:r>
      <w:r>
        <w:rPr>
          <w:sz w:val="24"/>
          <w:szCs w:val="24"/>
        </w:rPr>
        <w:tab/>
        <w:t xml:space="preserve">Recording of flu uptake is through </w:t>
      </w:r>
      <w:r w:rsidR="00557593">
        <w:rPr>
          <w:sz w:val="24"/>
          <w:szCs w:val="24"/>
        </w:rPr>
        <w:t>NIVS,</w:t>
      </w:r>
      <w:r>
        <w:rPr>
          <w:sz w:val="24"/>
          <w:szCs w:val="24"/>
        </w:rPr>
        <w:t xml:space="preserve"> and the uptake reported national through the Foundry reporting mechanism. This is a reduced source of information compared with previously as the data provides staff data for the Trust by employee staff group, gender, age and ethnicity only and does not enable data at a local or team level. Details from Foundry include all LPT staff vaccinated regardless of where they had their flu jab – LPT site, GP or community </w:t>
      </w:r>
      <w:r w:rsidR="00557593">
        <w:rPr>
          <w:sz w:val="24"/>
          <w:szCs w:val="24"/>
        </w:rPr>
        <w:t>pharmacy.</w:t>
      </w:r>
    </w:p>
    <w:p w14:paraId="594FC1C3" w14:textId="7F8F8EAE" w:rsidR="00285F76" w:rsidRPr="00557593" w:rsidRDefault="00285F76" w:rsidP="00285F76">
      <w:pPr>
        <w:spacing w:after="120"/>
        <w:ind w:left="720" w:hanging="720"/>
        <w:rPr>
          <w:rFonts w:cstheme="minorHAnsi"/>
          <w:sz w:val="24"/>
          <w:szCs w:val="24"/>
        </w:rPr>
      </w:pPr>
      <w:r>
        <w:rPr>
          <w:sz w:val="24"/>
          <w:szCs w:val="24"/>
        </w:rPr>
        <w:t xml:space="preserve">4.6 </w:t>
      </w:r>
      <w:r>
        <w:rPr>
          <w:sz w:val="24"/>
          <w:szCs w:val="24"/>
        </w:rPr>
        <w:tab/>
        <w:t xml:space="preserve">The use of the QR code to enable staff to confirm when they had received their flu jab was developed to allow a more detailed analysis of uptake by Directorate and team. This has been </w:t>
      </w:r>
      <w:r w:rsidRPr="00557593">
        <w:rPr>
          <w:rFonts w:cstheme="minorHAnsi"/>
          <w:sz w:val="24"/>
          <w:szCs w:val="24"/>
        </w:rPr>
        <w:t>incentivise</w:t>
      </w:r>
      <w:r w:rsidR="00E07733" w:rsidRPr="00557593">
        <w:rPr>
          <w:rFonts w:cstheme="minorHAnsi"/>
          <w:sz w:val="24"/>
          <w:szCs w:val="24"/>
        </w:rPr>
        <w:t>d</w:t>
      </w:r>
      <w:r w:rsidRPr="00557593">
        <w:rPr>
          <w:rFonts w:cstheme="minorHAnsi"/>
          <w:sz w:val="24"/>
          <w:szCs w:val="24"/>
        </w:rPr>
        <w:t xml:space="preserve"> with a monthly prize draw but has not produced the uptake anticipated.</w:t>
      </w:r>
    </w:p>
    <w:p w14:paraId="63C93EF6" w14:textId="77777777" w:rsidR="00285F76" w:rsidRDefault="00285F76" w:rsidP="00285F76">
      <w:pPr>
        <w:pStyle w:val="Default"/>
        <w:spacing w:after="120" w:line="276" w:lineRule="auto"/>
        <w:ind w:left="720" w:hanging="720"/>
        <w:rPr>
          <w:rFonts w:ascii="Calibri" w:hAnsi="Calibri"/>
          <w:color w:val="auto"/>
        </w:rPr>
      </w:pPr>
      <w:r w:rsidRPr="00557593">
        <w:rPr>
          <w:rFonts w:asciiTheme="minorHAnsi" w:hAnsiTheme="minorHAnsi" w:cstheme="minorHAnsi"/>
        </w:rPr>
        <w:t>4.7</w:t>
      </w:r>
      <w:r>
        <w:tab/>
      </w:r>
      <w:r>
        <w:rPr>
          <w:rFonts w:ascii="Calibri" w:hAnsi="Calibri"/>
          <w:color w:val="auto"/>
        </w:rPr>
        <w:t xml:space="preserve">The seasonal flu vaccine for staff is being  delivered using a multi-pronged approach to support flexibility and access opportunities for staff.  The clinics are delivered in clinical settings and non-clinal environments to maximise uptake and opportunity. This programme of delivery is augmented by clinical peer vaccinators. </w:t>
      </w:r>
    </w:p>
    <w:p w14:paraId="3A815D80" w14:textId="77777777" w:rsidR="00285F76" w:rsidRDefault="00285F76" w:rsidP="00285F76">
      <w:pPr>
        <w:pStyle w:val="Default"/>
        <w:spacing w:after="120" w:line="276" w:lineRule="auto"/>
        <w:ind w:left="720" w:hanging="720"/>
        <w:rPr>
          <w:rFonts w:ascii="Calibri" w:hAnsi="Calibri"/>
          <w:color w:val="auto"/>
        </w:rPr>
      </w:pPr>
      <w:r w:rsidRPr="00557593">
        <w:rPr>
          <w:rFonts w:asciiTheme="minorHAnsi" w:hAnsiTheme="minorHAnsi" w:cstheme="minorHAnsi"/>
        </w:rPr>
        <w:t>4.8</w:t>
      </w:r>
      <w:r>
        <w:tab/>
      </w:r>
      <w:r>
        <w:rPr>
          <w:rFonts w:ascii="Calibri" w:hAnsi="Calibri"/>
          <w:color w:val="auto"/>
        </w:rPr>
        <w:t>T</w:t>
      </w:r>
      <w:r w:rsidRPr="00505BDD">
        <w:rPr>
          <w:rFonts w:ascii="Calibri" w:hAnsi="Calibri"/>
          <w:color w:val="auto"/>
        </w:rPr>
        <w:t xml:space="preserve">he 2nd phase of vaccination delivery has commenced </w:t>
      </w:r>
      <w:r>
        <w:rPr>
          <w:rFonts w:ascii="Calibri" w:hAnsi="Calibri"/>
          <w:color w:val="auto"/>
        </w:rPr>
        <w:t>with a focus on ‘taking the vaccine to the point of work’. The vaccinator teams are working across all clinical inpatient  wards and settings to maximise the opportunity to make very contact count.</w:t>
      </w:r>
    </w:p>
    <w:p w14:paraId="2C192A24" w14:textId="0FECD431" w:rsidR="00393409" w:rsidRDefault="00393409" w:rsidP="00285F76">
      <w:pPr>
        <w:pStyle w:val="Default"/>
        <w:spacing w:after="120" w:line="276" w:lineRule="auto"/>
      </w:pPr>
    </w:p>
    <w:bookmarkEnd w:id="3"/>
    <w:p w14:paraId="3496011E" w14:textId="3FE2566B" w:rsidR="001527C1" w:rsidRPr="000E645A" w:rsidRDefault="00D05622" w:rsidP="000E645A">
      <w:pPr>
        <w:pStyle w:val="Heading1"/>
        <w:spacing w:before="0" w:after="120"/>
        <w:ind w:left="720" w:hanging="720"/>
        <w:rPr>
          <w:rFonts w:asciiTheme="minorHAnsi" w:hAnsiTheme="minorHAnsi" w:cs="Arial"/>
          <w:color w:val="auto"/>
          <w:sz w:val="24"/>
          <w:szCs w:val="24"/>
        </w:rPr>
      </w:pPr>
      <w:r>
        <w:rPr>
          <w:rFonts w:asciiTheme="minorHAnsi" w:hAnsiTheme="minorHAnsi" w:cs="Arial"/>
          <w:color w:val="auto"/>
          <w:sz w:val="24"/>
          <w:szCs w:val="24"/>
        </w:rPr>
        <w:t>5</w:t>
      </w:r>
      <w:r w:rsidR="00FF0EF4" w:rsidRPr="000E645A">
        <w:rPr>
          <w:rFonts w:asciiTheme="minorHAnsi" w:hAnsiTheme="minorHAnsi" w:cs="Arial"/>
          <w:color w:val="auto"/>
          <w:sz w:val="24"/>
          <w:szCs w:val="24"/>
        </w:rPr>
        <w:t>.</w:t>
      </w:r>
      <w:r w:rsidR="00557593">
        <w:rPr>
          <w:rFonts w:asciiTheme="minorHAnsi" w:hAnsiTheme="minorHAnsi" w:cs="Arial"/>
          <w:color w:val="auto"/>
          <w:sz w:val="24"/>
          <w:szCs w:val="24"/>
        </w:rPr>
        <w:t>0</w:t>
      </w:r>
      <w:r w:rsidR="00200E99">
        <w:rPr>
          <w:rFonts w:asciiTheme="minorHAnsi" w:hAnsiTheme="minorHAnsi" w:cs="Arial"/>
          <w:color w:val="auto"/>
          <w:sz w:val="24"/>
          <w:szCs w:val="24"/>
        </w:rPr>
        <w:tab/>
        <w:t>Reporting and m</w:t>
      </w:r>
      <w:r w:rsidR="001527C1" w:rsidRPr="000E645A">
        <w:rPr>
          <w:rFonts w:asciiTheme="minorHAnsi" w:hAnsiTheme="minorHAnsi" w:cs="Arial"/>
          <w:color w:val="auto"/>
          <w:sz w:val="24"/>
          <w:szCs w:val="24"/>
        </w:rPr>
        <w:t>onitoring of HCAI Infections</w:t>
      </w:r>
    </w:p>
    <w:p w14:paraId="79B5AC12" w14:textId="01185EE9" w:rsidR="001527C1" w:rsidRPr="000E645A" w:rsidRDefault="00D05622" w:rsidP="000E645A">
      <w:pPr>
        <w:autoSpaceDE w:val="0"/>
        <w:autoSpaceDN w:val="0"/>
        <w:adjustRightInd w:val="0"/>
        <w:spacing w:after="120"/>
        <w:ind w:left="720" w:hanging="720"/>
        <w:rPr>
          <w:sz w:val="24"/>
          <w:szCs w:val="24"/>
        </w:rPr>
      </w:pPr>
      <w:r>
        <w:rPr>
          <w:sz w:val="24"/>
          <w:szCs w:val="24"/>
        </w:rPr>
        <w:t>5</w:t>
      </w:r>
      <w:r w:rsidR="001527C1" w:rsidRPr="000E645A">
        <w:rPr>
          <w:sz w:val="24"/>
          <w:szCs w:val="24"/>
        </w:rPr>
        <w:t>.1</w:t>
      </w:r>
      <w:r w:rsidR="001527C1" w:rsidRPr="000E645A">
        <w:rPr>
          <w:sz w:val="24"/>
          <w:szCs w:val="24"/>
        </w:rPr>
        <w:tab/>
        <w:t>There are four infections that are mandatory for reporting purposes:</w:t>
      </w:r>
    </w:p>
    <w:p w14:paraId="49971604" w14:textId="77777777" w:rsidR="001527C1" w:rsidRPr="000E645A" w:rsidRDefault="001527C1" w:rsidP="00A53882">
      <w:pPr>
        <w:pStyle w:val="ListParagraph"/>
        <w:numPr>
          <w:ilvl w:val="0"/>
          <w:numId w:val="2"/>
        </w:numPr>
        <w:autoSpaceDE w:val="0"/>
        <w:autoSpaceDN w:val="0"/>
        <w:adjustRightInd w:val="0"/>
        <w:spacing w:after="0"/>
        <w:contextualSpacing w:val="0"/>
        <w:rPr>
          <w:sz w:val="24"/>
          <w:szCs w:val="24"/>
        </w:rPr>
      </w:pPr>
      <w:r w:rsidRPr="000E645A">
        <w:rPr>
          <w:sz w:val="24"/>
          <w:szCs w:val="24"/>
        </w:rPr>
        <w:t>Meticillin Resistant Staphylococcus Aureus (MRSA) bloodstream infections.</w:t>
      </w:r>
    </w:p>
    <w:p w14:paraId="44346B73" w14:textId="77777777" w:rsidR="001527C1" w:rsidRPr="000E645A" w:rsidRDefault="001527C1" w:rsidP="00A53882">
      <w:pPr>
        <w:pStyle w:val="ListParagraph"/>
        <w:numPr>
          <w:ilvl w:val="0"/>
          <w:numId w:val="2"/>
        </w:numPr>
        <w:autoSpaceDE w:val="0"/>
        <w:autoSpaceDN w:val="0"/>
        <w:adjustRightInd w:val="0"/>
        <w:spacing w:after="0"/>
        <w:contextualSpacing w:val="0"/>
        <w:rPr>
          <w:sz w:val="24"/>
          <w:szCs w:val="24"/>
        </w:rPr>
      </w:pPr>
      <w:r w:rsidRPr="000E645A">
        <w:rPr>
          <w:iCs/>
          <w:sz w:val="24"/>
          <w:szCs w:val="24"/>
        </w:rPr>
        <w:t>Clostridioides difficile</w:t>
      </w:r>
      <w:r w:rsidRPr="000E645A">
        <w:rPr>
          <w:sz w:val="24"/>
          <w:szCs w:val="24"/>
        </w:rPr>
        <w:t xml:space="preserve"> infection (previously known as Clostridium difficile) </w:t>
      </w:r>
    </w:p>
    <w:p w14:paraId="2A0AE602" w14:textId="77777777" w:rsidR="001527C1" w:rsidRPr="000E645A" w:rsidRDefault="001527C1" w:rsidP="00A53882">
      <w:pPr>
        <w:pStyle w:val="ListParagraph"/>
        <w:numPr>
          <w:ilvl w:val="0"/>
          <w:numId w:val="2"/>
        </w:numPr>
        <w:autoSpaceDE w:val="0"/>
        <w:autoSpaceDN w:val="0"/>
        <w:adjustRightInd w:val="0"/>
        <w:spacing w:after="0"/>
        <w:contextualSpacing w:val="0"/>
        <w:rPr>
          <w:sz w:val="24"/>
          <w:szCs w:val="24"/>
        </w:rPr>
      </w:pPr>
      <w:r w:rsidRPr="000E645A">
        <w:rPr>
          <w:sz w:val="24"/>
          <w:szCs w:val="24"/>
        </w:rPr>
        <w:t>Meticillin Sensitive Staphylococcus Aureus (MSSA) bloodstream infections.</w:t>
      </w:r>
    </w:p>
    <w:p w14:paraId="7F269C49" w14:textId="065B8C3E" w:rsidR="002038FA" w:rsidRDefault="001527C1" w:rsidP="00A53882">
      <w:pPr>
        <w:pStyle w:val="ListParagraph"/>
        <w:numPr>
          <w:ilvl w:val="0"/>
          <w:numId w:val="2"/>
        </w:numPr>
        <w:autoSpaceDE w:val="0"/>
        <w:autoSpaceDN w:val="0"/>
        <w:adjustRightInd w:val="0"/>
        <w:spacing w:after="0" w:line="360" w:lineRule="auto"/>
        <w:contextualSpacing w:val="0"/>
        <w:rPr>
          <w:sz w:val="24"/>
          <w:szCs w:val="24"/>
        </w:rPr>
      </w:pPr>
      <w:r w:rsidRPr="000E645A">
        <w:rPr>
          <w:sz w:val="24"/>
          <w:szCs w:val="24"/>
        </w:rPr>
        <w:t>Gram Negative bloodstream infections (GNBSI)</w:t>
      </w:r>
    </w:p>
    <w:p w14:paraId="07469A41" w14:textId="76D21276" w:rsidR="001527C1" w:rsidRPr="000E645A" w:rsidRDefault="00D05622" w:rsidP="002038FA">
      <w:pPr>
        <w:autoSpaceDE w:val="0"/>
        <w:autoSpaceDN w:val="0"/>
        <w:adjustRightInd w:val="0"/>
        <w:spacing w:after="120"/>
        <w:ind w:left="720" w:hanging="720"/>
        <w:rPr>
          <w:b/>
          <w:sz w:val="24"/>
          <w:szCs w:val="24"/>
        </w:rPr>
      </w:pPr>
      <w:r>
        <w:rPr>
          <w:sz w:val="24"/>
          <w:szCs w:val="24"/>
        </w:rPr>
        <w:t>5</w:t>
      </w:r>
      <w:r w:rsidR="001527C1" w:rsidRPr="000E645A">
        <w:rPr>
          <w:sz w:val="24"/>
          <w:szCs w:val="24"/>
        </w:rPr>
        <w:t>.2</w:t>
      </w:r>
      <w:r w:rsidR="001527C1" w:rsidRPr="000E645A">
        <w:rPr>
          <w:b/>
          <w:sz w:val="24"/>
          <w:szCs w:val="24"/>
        </w:rPr>
        <w:tab/>
        <w:t>MRSA Blood stream infection rates</w:t>
      </w:r>
    </w:p>
    <w:p w14:paraId="3A985B4C" w14:textId="1313D8B9" w:rsidR="00696716" w:rsidRDefault="001527C1" w:rsidP="002038FA">
      <w:pPr>
        <w:spacing w:after="120"/>
        <w:ind w:left="720"/>
        <w:rPr>
          <w:sz w:val="24"/>
          <w:szCs w:val="24"/>
        </w:rPr>
      </w:pPr>
      <w:r w:rsidRPr="000E645A">
        <w:rPr>
          <w:sz w:val="24"/>
          <w:szCs w:val="24"/>
        </w:rPr>
        <w:t xml:space="preserve">The </w:t>
      </w:r>
      <w:r w:rsidR="005565D5">
        <w:rPr>
          <w:sz w:val="24"/>
          <w:szCs w:val="24"/>
        </w:rPr>
        <w:t>n</w:t>
      </w:r>
      <w:r w:rsidRPr="000E645A">
        <w:rPr>
          <w:sz w:val="24"/>
          <w:szCs w:val="24"/>
        </w:rPr>
        <w:t xml:space="preserve">ational trajectory is set at zero. </w:t>
      </w:r>
      <w:r w:rsidR="003A0C7F">
        <w:rPr>
          <w:sz w:val="24"/>
          <w:szCs w:val="24"/>
        </w:rPr>
        <w:t>The Trust</w:t>
      </w:r>
      <w:r w:rsidRPr="000E645A">
        <w:rPr>
          <w:sz w:val="24"/>
          <w:szCs w:val="24"/>
        </w:rPr>
        <w:t xml:space="preserve"> performance for MRSA bacteraemia from </w:t>
      </w:r>
      <w:r w:rsidR="008C49FC" w:rsidRPr="000E645A">
        <w:rPr>
          <w:sz w:val="24"/>
          <w:szCs w:val="24"/>
        </w:rPr>
        <w:t>April 202</w:t>
      </w:r>
      <w:r w:rsidR="00653CC2">
        <w:rPr>
          <w:sz w:val="24"/>
          <w:szCs w:val="24"/>
        </w:rPr>
        <w:t>1</w:t>
      </w:r>
      <w:r w:rsidR="008C49FC" w:rsidRPr="000E645A">
        <w:rPr>
          <w:sz w:val="24"/>
          <w:szCs w:val="24"/>
        </w:rPr>
        <w:t xml:space="preserve"> to </w:t>
      </w:r>
      <w:r w:rsidR="000E20E0">
        <w:rPr>
          <w:sz w:val="24"/>
          <w:szCs w:val="24"/>
        </w:rPr>
        <w:t>March 2022</w:t>
      </w:r>
      <w:r w:rsidR="00841E07" w:rsidRPr="000E645A">
        <w:rPr>
          <w:sz w:val="24"/>
          <w:szCs w:val="24"/>
        </w:rPr>
        <w:t xml:space="preserve"> </w:t>
      </w:r>
      <w:r w:rsidR="00653CC2">
        <w:rPr>
          <w:sz w:val="24"/>
          <w:szCs w:val="24"/>
        </w:rPr>
        <w:t>is</w:t>
      </w:r>
      <w:r w:rsidR="00841E07" w:rsidRPr="000E645A">
        <w:rPr>
          <w:sz w:val="24"/>
          <w:szCs w:val="24"/>
        </w:rPr>
        <w:t xml:space="preserve"> </w:t>
      </w:r>
      <w:r w:rsidR="00883DA2">
        <w:rPr>
          <w:sz w:val="24"/>
          <w:szCs w:val="24"/>
        </w:rPr>
        <w:t>zero.</w:t>
      </w:r>
    </w:p>
    <w:p w14:paraId="01F3487B" w14:textId="20169D52" w:rsidR="001527C1" w:rsidRPr="000E645A" w:rsidRDefault="00D05622" w:rsidP="000E645A">
      <w:pPr>
        <w:spacing w:after="120"/>
        <w:ind w:left="720" w:hanging="720"/>
        <w:rPr>
          <w:b/>
          <w:sz w:val="24"/>
          <w:szCs w:val="24"/>
        </w:rPr>
      </w:pPr>
      <w:r>
        <w:rPr>
          <w:sz w:val="24"/>
          <w:szCs w:val="24"/>
        </w:rPr>
        <w:t>5</w:t>
      </w:r>
      <w:r w:rsidR="001527C1" w:rsidRPr="000E645A">
        <w:rPr>
          <w:sz w:val="24"/>
          <w:szCs w:val="24"/>
        </w:rPr>
        <w:t>.3</w:t>
      </w:r>
      <w:r w:rsidR="001527C1" w:rsidRPr="000E645A">
        <w:rPr>
          <w:sz w:val="24"/>
          <w:szCs w:val="24"/>
        </w:rPr>
        <w:tab/>
      </w:r>
      <w:r w:rsidR="001527C1" w:rsidRPr="000E645A">
        <w:rPr>
          <w:b/>
          <w:sz w:val="24"/>
          <w:szCs w:val="24"/>
        </w:rPr>
        <w:t>Clostridium difficile infection</w:t>
      </w:r>
      <w:r w:rsidR="00273B95">
        <w:rPr>
          <w:b/>
          <w:sz w:val="24"/>
          <w:szCs w:val="24"/>
        </w:rPr>
        <w:t xml:space="preserve"> (CDI)</w:t>
      </w:r>
      <w:r w:rsidR="001527C1" w:rsidRPr="000E645A">
        <w:rPr>
          <w:b/>
          <w:sz w:val="24"/>
          <w:szCs w:val="24"/>
        </w:rPr>
        <w:t xml:space="preserve"> rates</w:t>
      </w:r>
    </w:p>
    <w:p w14:paraId="56E0E2D0" w14:textId="07AE46C1" w:rsidR="00653CC2" w:rsidRDefault="001527C1" w:rsidP="00653CC2">
      <w:pPr>
        <w:spacing w:after="120"/>
        <w:ind w:left="720"/>
        <w:rPr>
          <w:sz w:val="24"/>
          <w:szCs w:val="24"/>
        </w:rPr>
      </w:pPr>
      <w:r w:rsidRPr="000E645A">
        <w:rPr>
          <w:sz w:val="24"/>
          <w:szCs w:val="24"/>
        </w:rPr>
        <w:t>The agreed trajectory for 20</w:t>
      </w:r>
      <w:r w:rsidR="008C49FC" w:rsidRPr="000E645A">
        <w:rPr>
          <w:sz w:val="24"/>
          <w:szCs w:val="24"/>
        </w:rPr>
        <w:t>2</w:t>
      </w:r>
      <w:r w:rsidR="00400725">
        <w:rPr>
          <w:sz w:val="24"/>
          <w:szCs w:val="24"/>
        </w:rPr>
        <w:t>2</w:t>
      </w:r>
      <w:r w:rsidRPr="000E645A">
        <w:rPr>
          <w:sz w:val="24"/>
          <w:szCs w:val="24"/>
        </w:rPr>
        <w:t>/2</w:t>
      </w:r>
      <w:r w:rsidR="00400725">
        <w:rPr>
          <w:sz w:val="24"/>
          <w:szCs w:val="24"/>
        </w:rPr>
        <w:t>3</w:t>
      </w:r>
      <w:r w:rsidRPr="000E645A">
        <w:rPr>
          <w:sz w:val="24"/>
          <w:szCs w:val="24"/>
        </w:rPr>
        <w:t xml:space="preserve"> was 12 and is set internally by the</w:t>
      </w:r>
      <w:r w:rsidR="00400725">
        <w:rPr>
          <w:sz w:val="24"/>
          <w:szCs w:val="24"/>
        </w:rPr>
        <w:t xml:space="preserve"> integrated Care Board, based on national reporting guidance</w:t>
      </w:r>
      <w:r w:rsidRPr="000E645A">
        <w:rPr>
          <w:sz w:val="24"/>
          <w:szCs w:val="24"/>
        </w:rPr>
        <w:t xml:space="preserve"> (identified as EIA toxin positive CDI)</w:t>
      </w:r>
      <w:r w:rsidR="00273B95">
        <w:rPr>
          <w:sz w:val="24"/>
          <w:szCs w:val="24"/>
        </w:rPr>
        <w:t xml:space="preserve">. </w:t>
      </w:r>
      <w:r w:rsidR="00653CC2">
        <w:rPr>
          <w:sz w:val="24"/>
          <w:szCs w:val="24"/>
        </w:rPr>
        <w:t xml:space="preserve"> There have been </w:t>
      </w:r>
      <w:r w:rsidR="007162B0">
        <w:rPr>
          <w:sz w:val="24"/>
          <w:szCs w:val="24"/>
        </w:rPr>
        <w:t>11</w:t>
      </w:r>
      <w:r w:rsidR="00653CC2">
        <w:rPr>
          <w:sz w:val="24"/>
          <w:szCs w:val="24"/>
        </w:rPr>
        <w:t xml:space="preserve"> cases of health care associated infection of CDI between April 202</w:t>
      </w:r>
      <w:r w:rsidR="00400725">
        <w:rPr>
          <w:sz w:val="24"/>
          <w:szCs w:val="24"/>
        </w:rPr>
        <w:t>2</w:t>
      </w:r>
      <w:r w:rsidR="00653CC2">
        <w:rPr>
          <w:sz w:val="24"/>
          <w:szCs w:val="24"/>
        </w:rPr>
        <w:t xml:space="preserve"> and </w:t>
      </w:r>
      <w:r w:rsidR="00400725">
        <w:rPr>
          <w:sz w:val="24"/>
          <w:szCs w:val="24"/>
        </w:rPr>
        <w:t>December</w:t>
      </w:r>
      <w:r w:rsidR="000E20E0">
        <w:rPr>
          <w:sz w:val="24"/>
          <w:szCs w:val="24"/>
        </w:rPr>
        <w:t xml:space="preserve"> 2022</w:t>
      </w:r>
      <w:r w:rsidR="00B61605">
        <w:rPr>
          <w:sz w:val="24"/>
          <w:szCs w:val="24"/>
        </w:rPr>
        <w:t xml:space="preserve">. This slight increase reflects the national </w:t>
      </w:r>
      <w:r w:rsidR="00557593">
        <w:rPr>
          <w:sz w:val="24"/>
          <w:szCs w:val="24"/>
        </w:rPr>
        <w:t>picture.</w:t>
      </w:r>
    </w:p>
    <w:p w14:paraId="4FD568BA" w14:textId="675C9246" w:rsidR="00400725" w:rsidRDefault="00A53882" w:rsidP="00A53882">
      <w:pPr>
        <w:pStyle w:val="ListParagraph"/>
        <w:numPr>
          <w:ilvl w:val="0"/>
          <w:numId w:val="12"/>
        </w:numPr>
        <w:spacing w:after="120"/>
        <w:rPr>
          <w:sz w:val="24"/>
          <w:szCs w:val="24"/>
        </w:rPr>
      </w:pPr>
      <w:r>
        <w:rPr>
          <w:sz w:val="24"/>
          <w:szCs w:val="24"/>
        </w:rPr>
        <w:t>May – Clarendon Ward, Evington Centre</w:t>
      </w:r>
    </w:p>
    <w:p w14:paraId="11C3E005" w14:textId="6610566D" w:rsidR="00A53882" w:rsidRDefault="00A53882" w:rsidP="00A53882">
      <w:pPr>
        <w:pStyle w:val="ListParagraph"/>
        <w:numPr>
          <w:ilvl w:val="0"/>
          <w:numId w:val="12"/>
        </w:numPr>
        <w:spacing w:after="120"/>
        <w:rPr>
          <w:sz w:val="24"/>
          <w:szCs w:val="24"/>
        </w:rPr>
      </w:pPr>
      <w:r>
        <w:rPr>
          <w:sz w:val="24"/>
          <w:szCs w:val="24"/>
        </w:rPr>
        <w:t>May – Ward 1, Coalville Community Hospital</w:t>
      </w:r>
    </w:p>
    <w:p w14:paraId="7C1CDA44" w14:textId="656482AF" w:rsidR="00A53882" w:rsidRDefault="00A53882" w:rsidP="00A53882">
      <w:pPr>
        <w:pStyle w:val="ListParagraph"/>
        <w:numPr>
          <w:ilvl w:val="0"/>
          <w:numId w:val="12"/>
        </w:numPr>
        <w:spacing w:after="120"/>
        <w:rPr>
          <w:sz w:val="24"/>
          <w:szCs w:val="24"/>
        </w:rPr>
      </w:pPr>
      <w:r>
        <w:rPr>
          <w:sz w:val="24"/>
          <w:szCs w:val="24"/>
        </w:rPr>
        <w:t>Sept – Clarendon Ward, Evington Centre</w:t>
      </w:r>
    </w:p>
    <w:p w14:paraId="5BF66C0F" w14:textId="0358D297" w:rsidR="00A53882" w:rsidRDefault="00A53882" w:rsidP="00A53882">
      <w:pPr>
        <w:pStyle w:val="ListParagraph"/>
        <w:numPr>
          <w:ilvl w:val="0"/>
          <w:numId w:val="12"/>
        </w:numPr>
        <w:spacing w:after="120"/>
        <w:rPr>
          <w:sz w:val="24"/>
          <w:szCs w:val="24"/>
        </w:rPr>
      </w:pPr>
      <w:r>
        <w:rPr>
          <w:sz w:val="24"/>
          <w:szCs w:val="24"/>
        </w:rPr>
        <w:t>Sept – East Ward, Hinckley &amp; Bosworth Community Hospital</w:t>
      </w:r>
    </w:p>
    <w:p w14:paraId="01939592" w14:textId="370F0DC7" w:rsidR="00A53882" w:rsidRDefault="00A53882" w:rsidP="00A53882">
      <w:pPr>
        <w:pStyle w:val="ListParagraph"/>
        <w:numPr>
          <w:ilvl w:val="0"/>
          <w:numId w:val="12"/>
        </w:numPr>
        <w:spacing w:after="120"/>
        <w:rPr>
          <w:sz w:val="24"/>
          <w:szCs w:val="24"/>
        </w:rPr>
      </w:pPr>
      <w:r>
        <w:rPr>
          <w:sz w:val="24"/>
          <w:szCs w:val="24"/>
        </w:rPr>
        <w:lastRenderedPageBreak/>
        <w:t>Sept – Swithland Ward, Loughborough Community Hospital</w:t>
      </w:r>
    </w:p>
    <w:p w14:paraId="57904F54" w14:textId="1937FFC8" w:rsidR="00A53882" w:rsidRDefault="00A53882" w:rsidP="00A53882">
      <w:pPr>
        <w:pStyle w:val="ListParagraph"/>
        <w:numPr>
          <w:ilvl w:val="0"/>
          <w:numId w:val="12"/>
        </w:numPr>
        <w:spacing w:after="120"/>
        <w:rPr>
          <w:sz w:val="24"/>
          <w:szCs w:val="24"/>
        </w:rPr>
      </w:pPr>
      <w:r>
        <w:rPr>
          <w:sz w:val="24"/>
          <w:szCs w:val="24"/>
        </w:rPr>
        <w:t>Sept – Swithland Ward, Loughborough Community Hospital</w:t>
      </w:r>
    </w:p>
    <w:p w14:paraId="145C4CE3" w14:textId="3E79D3AE" w:rsidR="00A53882" w:rsidRDefault="00A53882" w:rsidP="00A53882">
      <w:pPr>
        <w:pStyle w:val="ListParagraph"/>
        <w:numPr>
          <w:ilvl w:val="0"/>
          <w:numId w:val="12"/>
        </w:numPr>
        <w:spacing w:after="120"/>
        <w:rPr>
          <w:sz w:val="24"/>
          <w:szCs w:val="24"/>
        </w:rPr>
      </w:pPr>
      <w:r>
        <w:rPr>
          <w:sz w:val="24"/>
          <w:szCs w:val="24"/>
        </w:rPr>
        <w:t>Oct – Ward 4, Coalville Community Hospital</w:t>
      </w:r>
    </w:p>
    <w:p w14:paraId="62BA88F5" w14:textId="72A91B7B" w:rsidR="00A53882" w:rsidRDefault="00A53882" w:rsidP="00A53882">
      <w:pPr>
        <w:pStyle w:val="ListParagraph"/>
        <w:numPr>
          <w:ilvl w:val="0"/>
          <w:numId w:val="12"/>
        </w:numPr>
        <w:spacing w:after="120"/>
        <w:rPr>
          <w:sz w:val="24"/>
          <w:szCs w:val="24"/>
        </w:rPr>
      </w:pPr>
      <w:r>
        <w:rPr>
          <w:sz w:val="24"/>
          <w:szCs w:val="24"/>
        </w:rPr>
        <w:t>Oct – Beechwood Ward, Evington Centre</w:t>
      </w:r>
    </w:p>
    <w:p w14:paraId="5C9030B2" w14:textId="73696275" w:rsidR="00A53882" w:rsidRDefault="00A53882" w:rsidP="00A53882">
      <w:pPr>
        <w:pStyle w:val="ListParagraph"/>
        <w:numPr>
          <w:ilvl w:val="0"/>
          <w:numId w:val="12"/>
        </w:numPr>
        <w:spacing w:after="120"/>
        <w:rPr>
          <w:sz w:val="24"/>
          <w:szCs w:val="24"/>
        </w:rPr>
      </w:pPr>
      <w:r>
        <w:rPr>
          <w:sz w:val="24"/>
          <w:szCs w:val="24"/>
        </w:rPr>
        <w:t>Oct – Beechwood Ward, Evington Centre</w:t>
      </w:r>
    </w:p>
    <w:p w14:paraId="2CF3245B" w14:textId="106BEC78" w:rsidR="00A53882" w:rsidRDefault="00A53882" w:rsidP="00A53882">
      <w:pPr>
        <w:pStyle w:val="ListParagraph"/>
        <w:numPr>
          <w:ilvl w:val="0"/>
          <w:numId w:val="12"/>
        </w:numPr>
        <w:spacing w:after="120"/>
        <w:rPr>
          <w:sz w:val="24"/>
          <w:szCs w:val="24"/>
        </w:rPr>
      </w:pPr>
      <w:r>
        <w:rPr>
          <w:sz w:val="24"/>
          <w:szCs w:val="24"/>
        </w:rPr>
        <w:t>Nov – East Ward, Hinckley &amp; Bosworth Community Hospital</w:t>
      </w:r>
    </w:p>
    <w:p w14:paraId="175B6873" w14:textId="6C3A47DA" w:rsidR="00A53882" w:rsidRPr="00400725" w:rsidRDefault="00A53882" w:rsidP="00A53882">
      <w:pPr>
        <w:pStyle w:val="ListParagraph"/>
        <w:numPr>
          <w:ilvl w:val="0"/>
          <w:numId w:val="12"/>
        </w:numPr>
        <w:spacing w:after="120"/>
        <w:rPr>
          <w:sz w:val="24"/>
          <w:szCs w:val="24"/>
        </w:rPr>
      </w:pPr>
      <w:r>
        <w:rPr>
          <w:sz w:val="24"/>
          <w:szCs w:val="24"/>
        </w:rPr>
        <w:t>Dec – Charnwood Ward, Loughborough Community Hospital</w:t>
      </w:r>
    </w:p>
    <w:p w14:paraId="248A0FF7" w14:textId="47693F96" w:rsidR="001533B5" w:rsidRPr="000E645A" w:rsidRDefault="00D05622" w:rsidP="002B6695">
      <w:pPr>
        <w:spacing w:after="120"/>
        <w:ind w:left="720" w:hanging="720"/>
        <w:rPr>
          <w:sz w:val="24"/>
          <w:szCs w:val="24"/>
        </w:rPr>
      </w:pPr>
      <w:r>
        <w:rPr>
          <w:sz w:val="24"/>
          <w:szCs w:val="24"/>
        </w:rPr>
        <w:t>5</w:t>
      </w:r>
      <w:r w:rsidR="001527C1" w:rsidRPr="000E645A">
        <w:rPr>
          <w:sz w:val="24"/>
          <w:szCs w:val="24"/>
        </w:rPr>
        <w:t>.4</w:t>
      </w:r>
      <w:r w:rsidR="001527C1" w:rsidRPr="000E645A">
        <w:rPr>
          <w:sz w:val="24"/>
          <w:szCs w:val="24"/>
        </w:rPr>
        <w:tab/>
        <w:t xml:space="preserve">All episodes of MRSA bacteraemia and CDI are identified  are subject to a Root Cause Analysis </w:t>
      </w:r>
      <w:r w:rsidR="009B1276">
        <w:rPr>
          <w:sz w:val="24"/>
          <w:szCs w:val="24"/>
        </w:rPr>
        <w:t xml:space="preserve">(RCA) </w:t>
      </w:r>
      <w:r w:rsidR="001527C1" w:rsidRPr="000E645A">
        <w:rPr>
          <w:sz w:val="24"/>
          <w:szCs w:val="24"/>
        </w:rPr>
        <w:t>investigation</w:t>
      </w:r>
      <w:r w:rsidR="001527C1" w:rsidRPr="009A5DD3">
        <w:rPr>
          <w:sz w:val="24"/>
          <w:szCs w:val="24"/>
        </w:rPr>
        <w:t>.  All action plans developed as part of this process are presented t</w:t>
      </w:r>
      <w:r w:rsidR="00A87965" w:rsidRPr="009A5DD3">
        <w:rPr>
          <w:sz w:val="24"/>
          <w:szCs w:val="24"/>
        </w:rPr>
        <w:t xml:space="preserve">o the </w:t>
      </w:r>
      <w:r w:rsidR="002B6695" w:rsidRPr="009A5DD3">
        <w:rPr>
          <w:sz w:val="24"/>
          <w:szCs w:val="24"/>
        </w:rPr>
        <w:t>Trust IPC</w:t>
      </w:r>
      <w:r w:rsidR="001527C1" w:rsidRPr="009A5DD3">
        <w:rPr>
          <w:sz w:val="24"/>
          <w:szCs w:val="24"/>
        </w:rPr>
        <w:t xml:space="preserve"> meeting which support</w:t>
      </w:r>
      <w:r w:rsidR="00A87965" w:rsidRPr="009A5DD3">
        <w:rPr>
          <w:sz w:val="24"/>
          <w:szCs w:val="24"/>
        </w:rPr>
        <w:t>s</w:t>
      </w:r>
      <w:r w:rsidR="001527C1" w:rsidRPr="009A5DD3">
        <w:rPr>
          <w:sz w:val="24"/>
          <w:szCs w:val="24"/>
        </w:rPr>
        <w:t xml:space="preserve"> the sign off of completed actions</w:t>
      </w:r>
      <w:r w:rsidR="00A87965">
        <w:rPr>
          <w:sz w:val="24"/>
          <w:szCs w:val="24"/>
        </w:rPr>
        <w:t xml:space="preserve"> and an opportunity to share learning</w:t>
      </w:r>
      <w:r w:rsidR="001527C1" w:rsidRPr="000E645A">
        <w:rPr>
          <w:sz w:val="24"/>
          <w:szCs w:val="24"/>
        </w:rPr>
        <w:t xml:space="preserve">.  </w:t>
      </w:r>
      <w:r w:rsidR="001533B5">
        <w:rPr>
          <w:sz w:val="24"/>
          <w:szCs w:val="24"/>
        </w:rPr>
        <w:t>Delayed sampling was identified as one of the learning points, and the need to consider infections other than C</w:t>
      </w:r>
      <w:r w:rsidR="00557593">
        <w:rPr>
          <w:sz w:val="24"/>
          <w:szCs w:val="24"/>
        </w:rPr>
        <w:t>OVID</w:t>
      </w:r>
      <w:r w:rsidR="001533B5">
        <w:rPr>
          <w:sz w:val="24"/>
          <w:szCs w:val="24"/>
        </w:rPr>
        <w:t>-19</w:t>
      </w:r>
      <w:r w:rsidR="00731133">
        <w:rPr>
          <w:sz w:val="24"/>
          <w:szCs w:val="24"/>
        </w:rPr>
        <w:t xml:space="preserve">. </w:t>
      </w:r>
      <w:r w:rsidR="00B61605">
        <w:rPr>
          <w:sz w:val="24"/>
          <w:szCs w:val="24"/>
        </w:rPr>
        <w:t>Learning boards continue to be developed to share the findings across the directorates</w:t>
      </w:r>
      <w:r w:rsidR="00E07733">
        <w:rPr>
          <w:sz w:val="24"/>
          <w:szCs w:val="24"/>
        </w:rPr>
        <w:t>.</w:t>
      </w:r>
    </w:p>
    <w:p w14:paraId="2BA40E2E" w14:textId="7B8BAE52" w:rsidR="001527C1" w:rsidRPr="000E645A" w:rsidRDefault="00D05622" w:rsidP="000E645A">
      <w:pPr>
        <w:spacing w:after="120"/>
        <w:ind w:left="720" w:hanging="720"/>
        <w:rPr>
          <w:b/>
          <w:sz w:val="24"/>
          <w:szCs w:val="24"/>
        </w:rPr>
      </w:pPr>
      <w:r>
        <w:rPr>
          <w:sz w:val="24"/>
          <w:szCs w:val="24"/>
        </w:rPr>
        <w:t>5</w:t>
      </w:r>
      <w:r w:rsidR="001527C1" w:rsidRPr="000E645A">
        <w:rPr>
          <w:sz w:val="24"/>
          <w:szCs w:val="24"/>
        </w:rPr>
        <w:t>.5</w:t>
      </w:r>
      <w:r w:rsidR="001527C1" w:rsidRPr="000E645A">
        <w:rPr>
          <w:b/>
          <w:sz w:val="24"/>
          <w:szCs w:val="24"/>
        </w:rPr>
        <w:tab/>
        <w:t>MSSA Blood stream infection rates</w:t>
      </w:r>
    </w:p>
    <w:p w14:paraId="4FC0BF45" w14:textId="48321521" w:rsidR="00FF0EF4" w:rsidRPr="000E645A" w:rsidRDefault="001527C1" w:rsidP="002038FA">
      <w:pPr>
        <w:spacing w:after="120"/>
        <w:ind w:left="720" w:hanging="720"/>
        <w:rPr>
          <w:sz w:val="24"/>
          <w:szCs w:val="24"/>
        </w:rPr>
      </w:pPr>
      <w:r w:rsidRPr="000E645A">
        <w:rPr>
          <w:sz w:val="24"/>
          <w:szCs w:val="24"/>
        </w:rPr>
        <w:tab/>
        <w:t xml:space="preserve">There is no identified </w:t>
      </w:r>
      <w:r w:rsidR="00A87965">
        <w:rPr>
          <w:sz w:val="24"/>
          <w:szCs w:val="24"/>
        </w:rPr>
        <w:t xml:space="preserve">Trust </w:t>
      </w:r>
      <w:r w:rsidR="002B6695" w:rsidRPr="000E645A">
        <w:rPr>
          <w:sz w:val="24"/>
          <w:szCs w:val="24"/>
        </w:rPr>
        <w:t>trajectory for</w:t>
      </w:r>
      <w:r w:rsidRPr="000E645A">
        <w:rPr>
          <w:sz w:val="24"/>
          <w:szCs w:val="24"/>
        </w:rPr>
        <w:t xml:space="preserve"> MSSA, with national requirements focused on acute trust services only.  </w:t>
      </w:r>
      <w:r w:rsidR="00A87965" w:rsidRPr="000E645A">
        <w:rPr>
          <w:sz w:val="24"/>
          <w:szCs w:val="24"/>
        </w:rPr>
        <w:t>However,</w:t>
      </w:r>
      <w:r w:rsidRPr="000E645A">
        <w:rPr>
          <w:sz w:val="24"/>
          <w:szCs w:val="24"/>
        </w:rPr>
        <w:t xml:space="preserve"> the monthly data for this infection rate is submitted to the </w:t>
      </w:r>
      <w:r w:rsidR="00557593">
        <w:rPr>
          <w:sz w:val="24"/>
          <w:szCs w:val="24"/>
        </w:rPr>
        <w:t>IPC Assurance group</w:t>
      </w:r>
      <w:r w:rsidR="00AA48FE">
        <w:rPr>
          <w:sz w:val="24"/>
          <w:szCs w:val="24"/>
        </w:rPr>
        <w:t xml:space="preserve"> </w:t>
      </w:r>
      <w:r w:rsidRPr="000E645A">
        <w:rPr>
          <w:sz w:val="24"/>
          <w:szCs w:val="24"/>
        </w:rPr>
        <w:t xml:space="preserve">as part of the quality schedule, this supports the overview of the infection rates and the potential of an increase which may need further review and </w:t>
      </w:r>
      <w:r w:rsidR="00557593" w:rsidRPr="000E645A">
        <w:rPr>
          <w:sz w:val="24"/>
          <w:szCs w:val="24"/>
        </w:rPr>
        <w:t>investigation.</w:t>
      </w:r>
    </w:p>
    <w:p w14:paraId="30769BA0" w14:textId="4E8B931F" w:rsidR="001527C1" w:rsidRPr="000E645A" w:rsidRDefault="00D05622" w:rsidP="000E645A">
      <w:pPr>
        <w:autoSpaceDE w:val="0"/>
        <w:autoSpaceDN w:val="0"/>
        <w:adjustRightInd w:val="0"/>
        <w:spacing w:after="120"/>
        <w:ind w:left="720" w:hanging="720"/>
        <w:rPr>
          <w:b/>
          <w:sz w:val="24"/>
          <w:szCs w:val="24"/>
        </w:rPr>
      </w:pPr>
      <w:r>
        <w:rPr>
          <w:sz w:val="24"/>
          <w:szCs w:val="24"/>
        </w:rPr>
        <w:t>5</w:t>
      </w:r>
      <w:r w:rsidR="001527C1" w:rsidRPr="000E645A">
        <w:rPr>
          <w:sz w:val="24"/>
          <w:szCs w:val="24"/>
        </w:rPr>
        <w:t>.6</w:t>
      </w:r>
      <w:r w:rsidR="001527C1" w:rsidRPr="000E645A">
        <w:rPr>
          <w:b/>
          <w:sz w:val="24"/>
          <w:szCs w:val="24"/>
        </w:rPr>
        <w:tab/>
        <w:t>Gram Negative Blood Stream Infection (GNBSI) rates</w:t>
      </w:r>
    </w:p>
    <w:p w14:paraId="0BFA074C" w14:textId="4CE9F00A" w:rsidR="001C475B" w:rsidRPr="001C475B" w:rsidRDefault="001527C1" w:rsidP="001C475B">
      <w:pPr>
        <w:pStyle w:val="ListParagraph"/>
        <w:tabs>
          <w:tab w:val="left" w:pos="1380"/>
        </w:tabs>
        <w:spacing w:after="120"/>
        <w:ind w:hanging="720"/>
        <w:rPr>
          <w:lang w:val="en-US"/>
        </w:rPr>
      </w:pPr>
      <w:r w:rsidRPr="000E645A">
        <w:rPr>
          <w:rFonts w:eastAsia="Arial"/>
          <w:sz w:val="24"/>
          <w:szCs w:val="24"/>
        </w:rPr>
        <w:tab/>
      </w:r>
      <w:r w:rsidR="00E07733">
        <w:rPr>
          <w:sz w:val="24"/>
          <w:szCs w:val="24"/>
          <w:lang w:val="en-US"/>
        </w:rPr>
        <w:t>T</w:t>
      </w:r>
      <w:r w:rsidR="00DE015A" w:rsidRPr="001C475B">
        <w:rPr>
          <w:sz w:val="24"/>
          <w:szCs w:val="24"/>
          <w:lang w:val="en-US"/>
        </w:rPr>
        <w:t xml:space="preserve">he NHS Long Term Plan supports a 50% reduction in Gram-negative bloodstream infections (GNBSIs) by 2024/25. </w:t>
      </w:r>
      <w:r w:rsidR="001C475B" w:rsidRPr="001C475B">
        <w:rPr>
          <w:rFonts w:eastAsia="Times New Roman" w:cs="Times New Roman"/>
          <w:sz w:val="24"/>
          <w:szCs w:val="24"/>
          <w:lang w:val="en-US" w:eastAsia="en-GB"/>
        </w:rPr>
        <w:t>To help NHS systems achieve this, NHS England have developed a GNBSI reduction toolkit: a collection of guidance notes, actions and resources to support reducing GNBSI.</w:t>
      </w:r>
    </w:p>
    <w:p w14:paraId="2E8D90C5" w14:textId="76098AA3" w:rsidR="001527C1" w:rsidRPr="000E645A" w:rsidRDefault="001527C1" w:rsidP="000E645A">
      <w:pPr>
        <w:autoSpaceDE w:val="0"/>
        <w:autoSpaceDN w:val="0"/>
        <w:adjustRightInd w:val="0"/>
        <w:spacing w:after="120"/>
        <w:ind w:left="720" w:hanging="720"/>
        <w:rPr>
          <w:sz w:val="24"/>
          <w:szCs w:val="24"/>
        </w:rPr>
      </w:pPr>
      <w:r w:rsidRPr="000E645A">
        <w:rPr>
          <w:sz w:val="24"/>
          <w:szCs w:val="24"/>
        </w:rPr>
        <w:tab/>
        <w:t xml:space="preserve">From April 2018 the </w:t>
      </w:r>
      <w:r w:rsidR="00D406B5" w:rsidRPr="000E645A">
        <w:rPr>
          <w:sz w:val="24"/>
          <w:szCs w:val="24"/>
        </w:rPr>
        <w:t>Gram-Negative</w:t>
      </w:r>
      <w:r w:rsidRPr="000E645A">
        <w:rPr>
          <w:sz w:val="24"/>
          <w:szCs w:val="24"/>
        </w:rPr>
        <w:t xml:space="preserve"> Bloodstream Infection rates include:</w:t>
      </w:r>
    </w:p>
    <w:p w14:paraId="07F7A405" w14:textId="77777777" w:rsidR="001527C1" w:rsidRPr="000E645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E-Coli</w:t>
      </w:r>
    </w:p>
    <w:p w14:paraId="425C0E1C" w14:textId="77777777" w:rsidR="001527C1" w:rsidRPr="000E645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Klebsiella pneumonia</w:t>
      </w:r>
    </w:p>
    <w:p w14:paraId="60962E26" w14:textId="77777777" w:rsidR="002038FA" w:rsidRDefault="001527C1" w:rsidP="00B410E4">
      <w:pPr>
        <w:pStyle w:val="ListParagraph"/>
        <w:numPr>
          <w:ilvl w:val="0"/>
          <w:numId w:val="1"/>
        </w:numPr>
        <w:autoSpaceDE w:val="0"/>
        <w:autoSpaceDN w:val="0"/>
        <w:adjustRightInd w:val="0"/>
        <w:spacing w:after="0"/>
        <w:contextualSpacing w:val="0"/>
        <w:rPr>
          <w:sz w:val="24"/>
          <w:szCs w:val="24"/>
        </w:rPr>
      </w:pPr>
      <w:r w:rsidRPr="000E645A">
        <w:rPr>
          <w:sz w:val="24"/>
          <w:szCs w:val="24"/>
        </w:rPr>
        <w:t>Pseudomonas aeruginosa</w:t>
      </w:r>
    </w:p>
    <w:p w14:paraId="7C7549CF" w14:textId="77777777" w:rsidR="00200E99" w:rsidRPr="002038FA" w:rsidRDefault="00200E99" w:rsidP="00200E99">
      <w:pPr>
        <w:pStyle w:val="ListParagraph"/>
        <w:autoSpaceDE w:val="0"/>
        <w:autoSpaceDN w:val="0"/>
        <w:adjustRightInd w:val="0"/>
        <w:spacing w:after="0"/>
        <w:ind w:left="1440"/>
        <w:contextualSpacing w:val="0"/>
        <w:rPr>
          <w:sz w:val="24"/>
          <w:szCs w:val="24"/>
        </w:rPr>
      </w:pPr>
    </w:p>
    <w:p w14:paraId="5B46D962" w14:textId="133E5231" w:rsidR="001C475B" w:rsidRDefault="00D05622" w:rsidP="002B6695">
      <w:pPr>
        <w:spacing w:after="120"/>
        <w:ind w:left="720" w:hanging="720"/>
        <w:rPr>
          <w:sz w:val="24"/>
          <w:szCs w:val="24"/>
        </w:rPr>
      </w:pPr>
      <w:r>
        <w:rPr>
          <w:sz w:val="24"/>
          <w:szCs w:val="24"/>
        </w:rPr>
        <w:t>5</w:t>
      </w:r>
      <w:r w:rsidR="001527C1" w:rsidRPr="000E645A">
        <w:rPr>
          <w:sz w:val="24"/>
          <w:szCs w:val="24"/>
        </w:rPr>
        <w:t>.7</w:t>
      </w:r>
      <w:r w:rsidR="001527C1" w:rsidRPr="000E645A">
        <w:rPr>
          <w:sz w:val="24"/>
          <w:szCs w:val="24"/>
        </w:rPr>
        <w:tab/>
        <w:t xml:space="preserve">There is no </w:t>
      </w:r>
      <w:r w:rsidR="00A87965">
        <w:rPr>
          <w:sz w:val="24"/>
          <w:szCs w:val="24"/>
        </w:rPr>
        <w:t>Trust</w:t>
      </w:r>
      <w:r w:rsidR="001527C1" w:rsidRPr="000E645A">
        <w:rPr>
          <w:sz w:val="24"/>
          <w:szCs w:val="24"/>
        </w:rPr>
        <w:t xml:space="preserve"> trajectory for GNBSI, however monthly data for this infection rate is submitted to the</w:t>
      </w:r>
      <w:r w:rsidR="007162B0">
        <w:rPr>
          <w:sz w:val="24"/>
          <w:szCs w:val="24"/>
        </w:rPr>
        <w:t xml:space="preserve"> Infection Prevention and Control Assurance Group Meeting</w:t>
      </w:r>
      <w:r w:rsidR="001527C1" w:rsidRPr="000E645A">
        <w:rPr>
          <w:sz w:val="24"/>
          <w:szCs w:val="24"/>
        </w:rPr>
        <w:t>.</w:t>
      </w:r>
      <w:r w:rsidR="00731133">
        <w:rPr>
          <w:sz w:val="24"/>
          <w:szCs w:val="24"/>
        </w:rPr>
        <w:t xml:space="preserve"> </w:t>
      </w:r>
    </w:p>
    <w:p w14:paraId="1E4071CC" w14:textId="29EF4F37" w:rsidR="000550D7" w:rsidRDefault="001C475B" w:rsidP="002B6695">
      <w:pPr>
        <w:spacing w:after="120"/>
        <w:ind w:left="720" w:hanging="720"/>
        <w:rPr>
          <w:sz w:val="24"/>
          <w:szCs w:val="24"/>
        </w:rPr>
      </w:pPr>
      <w:r>
        <w:rPr>
          <w:sz w:val="24"/>
          <w:szCs w:val="24"/>
        </w:rPr>
        <w:t>5.8</w:t>
      </w:r>
      <w:r>
        <w:rPr>
          <w:sz w:val="24"/>
          <w:szCs w:val="24"/>
        </w:rPr>
        <w:tab/>
      </w:r>
      <w:r w:rsidR="00731133">
        <w:rPr>
          <w:sz w:val="24"/>
          <w:szCs w:val="24"/>
        </w:rPr>
        <w:t xml:space="preserve">Due to the pandemic a number of </w:t>
      </w:r>
      <w:r w:rsidR="007162B0">
        <w:rPr>
          <w:sz w:val="24"/>
          <w:szCs w:val="24"/>
        </w:rPr>
        <w:t xml:space="preserve">nationally </w:t>
      </w:r>
      <w:r w:rsidR="00731133">
        <w:rPr>
          <w:sz w:val="24"/>
          <w:szCs w:val="24"/>
        </w:rPr>
        <w:t>planned workstreams to look at improving the reduction in rates had halted, work is now underway to re-establish the working groups.</w:t>
      </w:r>
    </w:p>
    <w:p w14:paraId="09982B25" w14:textId="77777777" w:rsidR="00557593" w:rsidRDefault="00557593" w:rsidP="000C23C9">
      <w:pPr>
        <w:pStyle w:val="Default"/>
        <w:tabs>
          <w:tab w:val="left" w:pos="9072"/>
        </w:tabs>
        <w:spacing w:after="120" w:line="276" w:lineRule="auto"/>
        <w:ind w:left="720" w:hanging="720"/>
        <w:rPr>
          <w:rFonts w:asciiTheme="minorHAnsi" w:hAnsiTheme="minorHAnsi"/>
          <w:b/>
          <w:bCs/>
        </w:rPr>
      </w:pPr>
    </w:p>
    <w:p w14:paraId="1D698905" w14:textId="77777777" w:rsidR="00557593" w:rsidRDefault="00557593" w:rsidP="000C23C9">
      <w:pPr>
        <w:pStyle w:val="Default"/>
        <w:tabs>
          <w:tab w:val="left" w:pos="9072"/>
        </w:tabs>
        <w:spacing w:after="120" w:line="276" w:lineRule="auto"/>
        <w:ind w:left="720" w:hanging="720"/>
        <w:rPr>
          <w:rFonts w:asciiTheme="minorHAnsi" w:hAnsiTheme="minorHAnsi"/>
          <w:b/>
          <w:bCs/>
        </w:rPr>
      </w:pPr>
    </w:p>
    <w:p w14:paraId="295A6685" w14:textId="2DBBEC6B" w:rsidR="001527C1" w:rsidRPr="00ED0FEE" w:rsidRDefault="00D05622" w:rsidP="000C23C9">
      <w:pPr>
        <w:pStyle w:val="Default"/>
        <w:tabs>
          <w:tab w:val="left" w:pos="9072"/>
        </w:tabs>
        <w:spacing w:after="120" w:line="276" w:lineRule="auto"/>
        <w:ind w:left="720" w:hanging="720"/>
      </w:pPr>
      <w:r w:rsidRPr="002B6695">
        <w:rPr>
          <w:rFonts w:asciiTheme="minorHAnsi" w:hAnsiTheme="minorHAnsi"/>
          <w:b/>
          <w:bCs/>
        </w:rPr>
        <w:t>6</w:t>
      </w:r>
      <w:r w:rsidR="00FF0EF4" w:rsidRPr="002B6695">
        <w:rPr>
          <w:rFonts w:asciiTheme="minorHAnsi" w:hAnsiTheme="minorHAnsi"/>
          <w:b/>
          <w:bCs/>
        </w:rPr>
        <w:t>.</w:t>
      </w:r>
      <w:r w:rsidR="007162B0">
        <w:rPr>
          <w:rFonts w:asciiTheme="minorHAnsi" w:hAnsiTheme="minorHAnsi"/>
          <w:b/>
          <w:bCs/>
        </w:rPr>
        <w:t>0</w:t>
      </w:r>
      <w:r w:rsidR="001527C1" w:rsidRPr="000E645A">
        <w:rPr>
          <w:rFonts w:asciiTheme="minorHAnsi" w:hAnsiTheme="minorHAnsi"/>
        </w:rPr>
        <w:tab/>
      </w:r>
      <w:r w:rsidR="00FE4DF6">
        <w:rPr>
          <w:rFonts w:asciiTheme="minorHAnsi" w:hAnsiTheme="minorHAnsi"/>
          <w:b/>
        </w:rPr>
        <w:t xml:space="preserve">Ventilation </w:t>
      </w:r>
      <w:r w:rsidR="001527C1" w:rsidRPr="000E645A">
        <w:rPr>
          <w:rFonts w:asciiTheme="minorHAnsi" w:hAnsiTheme="minorHAnsi"/>
          <w:highlight w:val="yellow"/>
        </w:rPr>
        <w:t xml:space="preserve"> </w:t>
      </w:r>
    </w:p>
    <w:p w14:paraId="08EC061F" w14:textId="743BA5DF" w:rsidR="00123925" w:rsidRDefault="00D05622" w:rsidP="00874E15">
      <w:pPr>
        <w:spacing w:after="120"/>
        <w:ind w:left="720" w:hanging="720"/>
        <w:rPr>
          <w:rFonts w:cstheme="minorHAnsi"/>
          <w:sz w:val="24"/>
          <w:szCs w:val="24"/>
        </w:rPr>
      </w:pPr>
      <w:r>
        <w:rPr>
          <w:rFonts w:eastAsia="Arial"/>
          <w:spacing w:val="-1"/>
          <w:sz w:val="24"/>
          <w:szCs w:val="24"/>
        </w:rPr>
        <w:t>6</w:t>
      </w:r>
      <w:r w:rsidR="001527C1" w:rsidRPr="000E645A">
        <w:rPr>
          <w:rFonts w:eastAsia="Arial"/>
          <w:spacing w:val="-1"/>
          <w:sz w:val="24"/>
          <w:szCs w:val="24"/>
        </w:rPr>
        <w:t>.1</w:t>
      </w:r>
      <w:r w:rsidR="001527C1" w:rsidRPr="000E645A">
        <w:rPr>
          <w:rFonts w:eastAsia="Arial"/>
          <w:spacing w:val="-1"/>
          <w:sz w:val="24"/>
          <w:szCs w:val="24"/>
        </w:rPr>
        <w:tab/>
      </w:r>
      <w:bookmarkStart w:id="4" w:name="_Hlk89418562"/>
      <w:r w:rsidR="00123925">
        <w:rPr>
          <w:rFonts w:eastAsia="Arial"/>
          <w:spacing w:val="-1"/>
          <w:sz w:val="24"/>
          <w:szCs w:val="24"/>
        </w:rPr>
        <w:t xml:space="preserve">The </w:t>
      </w:r>
      <w:r w:rsidR="00123925" w:rsidRPr="000E645A">
        <w:rPr>
          <w:rFonts w:cstheme="minorHAnsi"/>
          <w:sz w:val="24"/>
          <w:szCs w:val="24"/>
        </w:rPr>
        <w:t xml:space="preserve">Trust </w:t>
      </w:r>
      <w:r w:rsidR="00123925">
        <w:rPr>
          <w:rFonts w:cstheme="minorHAnsi"/>
          <w:sz w:val="24"/>
          <w:szCs w:val="24"/>
        </w:rPr>
        <w:t>has re-</w:t>
      </w:r>
      <w:r w:rsidR="00123925" w:rsidRPr="000E645A">
        <w:rPr>
          <w:rFonts w:cstheme="minorHAnsi"/>
          <w:sz w:val="24"/>
          <w:szCs w:val="24"/>
        </w:rPr>
        <w:t xml:space="preserve">appointed </w:t>
      </w:r>
      <w:r w:rsidR="00123925">
        <w:rPr>
          <w:rFonts w:cstheme="minorHAnsi"/>
          <w:sz w:val="24"/>
          <w:szCs w:val="24"/>
        </w:rPr>
        <w:t xml:space="preserve">the existing </w:t>
      </w:r>
      <w:r w:rsidR="00123925" w:rsidRPr="000E645A">
        <w:rPr>
          <w:rFonts w:cstheme="minorHAnsi"/>
          <w:sz w:val="24"/>
          <w:szCs w:val="24"/>
        </w:rPr>
        <w:t>Authorising Engineer AE</w:t>
      </w:r>
      <w:r w:rsidR="00123925">
        <w:rPr>
          <w:rFonts w:cstheme="minorHAnsi"/>
          <w:sz w:val="24"/>
          <w:szCs w:val="24"/>
        </w:rPr>
        <w:t>(V) for ventilation</w:t>
      </w:r>
      <w:r w:rsidR="00123925" w:rsidRPr="000E645A">
        <w:rPr>
          <w:rFonts w:cstheme="minorHAnsi"/>
          <w:sz w:val="24"/>
          <w:szCs w:val="24"/>
        </w:rPr>
        <w:t xml:space="preserve"> direct</w:t>
      </w:r>
      <w:r w:rsidR="00123925">
        <w:rPr>
          <w:rFonts w:cstheme="minorHAnsi"/>
          <w:sz w:val="24"/>
          <w:szCs w:val="24"/>
        </w:rPr>
        <w:t>ly, GPT Consulting.  Continuity of expert advice remains an important factor in comp</w:t>
      </w:r>
      <w:r w:rsidR="00E07733">
        <w:rPr>
          <w:rFonts w:cstheme="minorHAnsi"/>
          <w:sz w:val="24"/>
          <w:szCs w:val="24"/>
        </w:rPr>
        <w:t>liance</w:t>
      </w:r>
      <w:r w:rsidR="00123925">
        <w:rPr>
          <w:rFonts w:cstheme="minorHAnsi"/>
          <w:sz w:val="24"/>
          <w:szCs w:val="24"/>
        </w:rPr>
        <w:t xml:space="preserve"> with NHS IPC requirements</w:t>
      </w:r>
      <w:r w:rsidR="00E07733">
        <w:rPr>
          <w:rFonts w:cstheme="minorHAnsi"/>
          <w:sz w:val="24"/>
          <w:szCs w:val="24"/>
        </w:rPr>
        <w:t xml:space="preserve"> including high consequence respiratory infections such as Covid-19 and Influenza</w:t>
      </w:r>
      <w:r w:rsidR="00123925">
        <w:rPr>
          <w:rFonts w:cstheme="minorHAnsi"/>
          <w:sz w:val="24"/>
          <w:szCs w:val="24"/>
        </w:rPr>
        <w:t xml:space="preserve">.  </w:t>
      </w:r>
    </w:p>
    <w:p w14:paraId="61B383BD" w14:textId="77777777" w:rsidR="00123925" w:rsidRPr="00F90BBC" w:rsidRDefault="00123925" w:rsidP="00123925">
      <w:pPr>
        <w:spacing w:after="120"/>
        <w:ind w:left="720" w:hanging="720"/>
        <w:rPr>
          <w:rFonts w:cstheme="minorHAnsi"/>
          <w:sz w:val="24"/>
          <w:szCs w:val="24"/>
        </w:rPr>
      </w:pPr>
      <w:r>
        <w:rPr>
          <w:rFonts w:cstheme="minorHAnsi"/>
          <w:sz w:val="24"/>
          <w:szCs w:val="24"/>
        </w:rPr>
        <w:t>6</w:t>
      </w:r>
      <w:r w:rsidRPr="00F90BBC">
        <w:rPr>
          <w:rFonts w:cstheme="minorHAnsi"/>
          <w:sz w:val="24"/>
          <w:szCs w:val="24"/>
        </w:rPr>
        <w:t>.</w:t>
      </w:r>
      <w:r>
        <w:rPr>
          <w:rFonts w:cstheme="minorHAnsi"/>
          <w:sz w:val="24"/>
          <w:szCs w:val="24"/>
        </w:rPr>
        <w:t>2</w:t>
      </w:r>
      <w:r w:rsidRPr="00F90BBC">
        <w:rPr>
          <w:rFonts w:cstheme="minorHAnsi"/>
          <w:sz w:val="24"/>
          <w:szCs w:val="24"/>
        </w:rPr>
        <w:tab/>
      </w:r>
      <w:r>
        <w:rPr>
          <w:rFonts w:cstheme="minorHAnsi"/>
          <w:sz w:val="24"/>
          <w:szCs w:val="24"/>
        </w:rPr>
        <w:t xml:space="preserve">The inaugural </w:t>
      </w:r>
      <w:r w:rsidRPr="00F90BBC">
        <w:rPr>
          <w:rFonts w:cstheme="minorHAnsi"/>
          <w:sz w:val="24"/>
          <w:szCs w:val="24"/>
        </w:rPr>
        <w:t xml:space="preserve">Ventilation Safety Group </w:t>
      </w:r>
      <w:r>
        <w:rPr>
          <w:rFonts w:cstheme="minorHAnsi"/>
          <w:sz w:val="24"/>
          <w:szCs w:val="24"/>
        </w:rPr>
        <w:t xml:space="preserve">(VSG) </w:t>
      </w:r>
      <w:r w:rsidRPr="00F90BBC">
        <w:rPr>
          <w:rFonts w:cstheme="minorHAnsi"/>
          <w:sz w:val="24"/>
          <w:szCs w:val="24"/>
        </w:rPr>
        <w:t>took place in May 2021 and</w:t>
      </w:r>
      <w:r w:rsidRPr="00F90BBC">
        <w:rPr>
          <w:sz w:val="24"/>
          <w:szCs w:val="24"/>
        </w:rPr>
        <w:t xml:space="preserve"> has met subsequently </w:t>
      </w:r>
      <w:r>
        <w:rPr>
          <w:sz w:val="24"/>
          <w:szCs w:val="24"/>
        </w:rPr>
        <w:t xml:space="preserve">at 2 monthly </w:t>
      </w:r>
      <w:r w:rsidRPr="00F90BBC">
        <w:rPr>
          <w:sz w:val="24"/>
          <w:szCs w:val="24"/>
        </w:rPr>
        <w:t xml:space="preserve">intervals </w:t>
      </w:r>
      <w:r>
        <w:rPr>
          <w:sz w:val="24"/>
          <w:szCs w:val="24"/>
        </w:rPr>
        <w:t>to provide the foundation for ventilation compliance discussions in the Trust.</w:t>
      </w:r>
      <w:r w:rsidRPr="00F90BBC">
        <w:rPr>
          <w:sz w:val="24"/>
          <w:szCs w:val="24"/>
        </w:rPr>
        <w:t xml:space="preserve"> </w:t>
      </w:r>
      <w:r>
        <w:rPr>
          <w:sz w:val="24"/>
          <w:szCs w:val="24"/>
        </w:rPr>
        <w:t xml:space="preserve"> The Terms of Reference and Ventilation Policy documents have been prepared, accordingly.</w:t>
      </w:r>
    </w:p>
    <w:p w14:paraId="3ED1D781" w14:textId="77777777" w:rsidR="00123925" w:rsidRDefault="00123925" w:rsidP="00123925">
      <w:pPr>
        <w:spacing w:after="120"/>
        <w:ind w:left="720" w:hanging="720"/>
        <w:rPr>
          <w:sz w:val="24"/>
          <w:szCs w:val="24"/>
        </w:rPr>
      </w:pPr>
      <w:r>
        <w:rPr>
          <w:rFonts w:cstheme="minorHAnsi"/>
          <w:sz w:val="24"/>
          <w:szCs w:val="24"/>
        </w:rPr>
        <w:lastRenderedPageBreak/>
        <w:t>6</w:t>
      </w:r>
      <w:r w:rsidRPr="00F90BBC">
        <w:rPr>
          <w:rFonts w:cstheme="minorHAnsi"/>
          <w:sz w:val="24"/>
          <w:szCs w:val="24"/>
        </w:rPr>
        <w:t>.</w:t>
      </w:r>
      <w:r>
        <w:rPr>
          <w:rFonts w:cstheme="minorHAnsi"/>
          <w:sz w:val="24"/>
          <w:szCs w:val="24"/>
        </w:rPr>
        <w:t>3</w:t>
      </w:r>
      <w:r w:rsidRPr="00F90BBC">
        <w:rPr>
          <w:rFonts w:cstheme="minorHAnsi"/>
          <w:sz w:val="24"/>
          <w:szCs w:val="24"/>
        </w:rPr>
        <w:tab/>
      </w:r>
      <w:r>
        <w:rPr>
          <w:rFonts w:cstheme="minorHAnsi"/>
          <w:sz w:val="24"/>
          <w:szCs w:val="24"/>
        </w:rPr>
        <w:t>T</w:t>
      </w:r>
      <w:r>
        <w:rPr>
          <w:sz w:val="24"/>
          <w:szCs w:val="24"/>
        </w:rPr>
        <w:t>he VSG has</w:t>
      </w:r>
      <w:r w:rsidRPr="00F90BBC">
        <w:rPr>
          <w:sz w:val="24"/>
          <w:szCs w:val="24"/>
        </w:rPr>
        <w:t xml:space="preserve"> work</w:t>
      </w:r>
      <w:r>
        <w:rPr>
          <w:sz w:val="24"/>
          <w:szCs w:val="24"/>
        </w:rPr>
        <w:t>ed to progress key fundamental governance requirements in support of safe spaces for patients, staff and visitors.  The</w:t>
      </w:r>
      <w:r w:rsidRPr="00F90BBC">
        <w:rPr>
          <w:sz w:val="24"/>
          <w:szCs w:val="24"/>
        </w:rPr>
        <w:t xml:space="preserve"> group </w:t>
      </w:r>
      <w:r>
        <w:rPr>
          <w:sz w:val="24"/>
          <w:szCs w:val="24"/>
        </w:rPr>
        <w:t xml:space="preserve">focus includes: HTM and Policy updates; statutory compliance; advice during pandemic; requests for change of use; matters </w:t>
      </w:r>
      <w:r w:rsidRPr="00F90BBC">
        <w:rPr>
          <w:sz w:val="24"/>
          <w:szCs w:val="24"/>
        </w:rPr>
        <w:t xml:space="preserve">arising </w:t>
      </w:r>
      <w:r>
        <w:rPr>
          <w:sz w:val="24"/>
          <w:szCs w:val="24"/>
        </w:rPr>
        <w:t xml:space="preserve">from current operational use of spaces; and examination of potential new products to the market for use in LPT.  </w:t>
      </w:r>
    </w:p>
    <w:p w14:paraId="65CCFD2E" w14:textId="5EA73521" w:rsidR="00123925" w:rsidRDefault="00123925" w:rsidP="00123925">
      <w:pPr>
        <w:spacing w:after="120"/>
        <w:ind w:left="720" w:hanging="720"/>
        <w:rPr>
          <w:sz w:val="24"/>
          <w:szCs w:val="24"/>
        </w:rPr>
      </w:pPr>
      <w:r>
        <w:rPr>
          <w:sz w:val="24"/>
          <w:szCs w:val="24"/>
        </w:rPr>
        <w:t xml:space="preserve">6.4 </w:t>
      </w:r>
      <w:r>
        <w:rPr>
          <w:sz w:val="24"/>
          <w:szCs w:val="24"/>
        </w:rPr>
        <w:tab/>
      </w:r>
      <w:r w:rsidR="00687D96">
        <w:rPr>
          <w:sz w:val="24"/>
          <w:szCs w:val="24"/>
        </w:rPr>
        <w:t>Due to concerns regarding the previous external maintenance programme and lack of assurance</w:t>
      </w:r>
      <w:r>
        <w:rPr>
          <w:sz w:val="24"/>
          <w:szCs w:val="24"/>
        </w:rPr>
        <w:t xml:space="preserve">s, the </w:t>
      </w:r>
      <w:r w:rsidR="00687D96">
        <w:rPr>
          <w:sz w:val="24"/>
          <w:szCs w:val="24"/>
        </w:rPr>
        <w:t xml:space="preserve">VSG </w:t>
      </w:r>
      <w:r>
        <w:rPr>
          <w:sz w:val="24"/>
          <w:szCs w:val="24"/>
        </w:rPr>
        <w:t xml:space="preserve">group commissioned a full ventilation audit to provide the Trust an assessment of the adequacy of the ventilation systems deployed across our estate.  This feedback has been extended to include a supplementary audit of sites with repeated </w:t>
      </w:r>
      <w:r w:rsidR="00687D96">
        <w:rPr>
          <w:sz w:val="24"/>
          <w:szCs w:val="24"/>
        </w:rPr>
        <w:t>C</w:t>
      </w:r>
      <w:r>
        <w:rPr>
          <w:sz w:val="24"/>
          <w:szCs w:val="24"/>
        </w:rPr>
        <w:t>ovid</w:t>
      </w:r>
      <w:r w:rsidR="00687D96">
        <w:rPr>
          <w:sz w:val="24"/>
          <w:szCs w:val="24"/>
        </w:rPr>
        <w:t>-19</w:t>
      </w:r>
      <w:r>
        <w:rPr>
          <w:sz w:val="24"/>
          <w:szCs w:val="24"/>
        </w:rPr>
        <w:t xml:space="preserve"> outbreaks.  Reports </w:t>
      </w:r>
      <w:r w:rsidR="007162B0">
        <w:rPr>
          <w:sz w:val="24"/>
          <w:szCs w:val="24"/>
        </w:rPr>
        <w:t>were</w:t>
      </w:r>
      <w:r>
        <w:rPr>
          <w:sz w:val="24"/>
          <w:szCs w:val="24"/>
        </w:rPr>
        <w:t xml:space="preserve"> due in November 2022</w:t>
      </w:r>
      <w:r w:rsidR="007162B0">
        <w:rPr>
          <w:sz w:val="24"/>
          <w:szCs w:val="24"/>
        </w:rPr>
        <w:t>, however due to incidents outside of the trusts control these have been delayed by a couple of months</w:t>
      </w:r>
      <w:r>
        <w:rPr>
          <w:sz w:val="24"/>
          <w:szCs w:val="24"/>
        </w:rPr>
        <w:t xml:space="preserve">.  </w:t>
      </w:r>
    </w:p>
    <w:p w14:paraId="0419B33E" w14:textId="77777777" w:rsidR="00123925" w:rsidRDefault="00123925" w:rsidP="00123925">
      <w:pPr>
        <w:spacing w:after="120"/>
        <w:ind w:left="720" w:hanging="720"/>
        <w:rPr>
          <w:sz w:val="24"/>
          <w:szCs w:val="24"/>
        </w:rPr>
      </w:pPr>
      <w:r>
        <w:rPr>
          <w:sz w:val="24"/>
          <w:szCs w:val="24"/>
        </w:rPr>
        <w:t xml:space="preserve">6.5 </w:t>
      </w:r>
      <w:r>
        <w:rPr>
          <w:sz w:val="24"/>
          <w:szCs w:val="24"/>
        </w:rPr>
        <w:tab/>
        <w:t>The VSG has provided appropriate advice to H&amp;S and IPC to support the Reset &amp; Rebuild transformation work, and hybrid working.</w:t>
      </w:r>
    </w:p>
    <w:p w14:paraId="68FE09B8" w14:textId="77777777" w:rsidR="00123925" w:rsidRPr="00F90BBC" w:rsidRDefault="00123925" w:rsidP="00123925">
      <w:pPr>
        <w:spacing w:after="120"/>
        <w:ind w:left="720" w:hanging="720"/>
        <w:rPr>
          <w:sz w:val="24"/>
          <w:szCs w:val="24"/>
        </w:rPr>
      </w:pPr>
      <w:r>
        <w:rPr>
          <w:sz w:val="24"/>
          <w:szCs w:val="24"/>
        </w:rPr>
        <w:t>6.6</w:t>
      </w:r>
      <w:r>
        <w:rPr>
          <w:sz w:val="24"/>
          <w:szCs w:val="24"/>
        </w:rPr>
        <w:tab/>
        <w:t xml:space="preserve">A crucial aspect of VSG is to address issues around </w:t>
      </w:r>
      <w:r w:rsidRPr="00F90BBC">
        <w:rPr>
          <w:sz w:val="24"/>
          <w:szCs w:val="24"/>
        </w:rPr>
        <w:t xml:space="preserve">asset and compliance data checks, </w:t>
      </w:r>
      <w:r>
        <w:rPr>
          <w:sz w:val="24"/>
          <w:szCs w:val="24"/>
        </w:rPr>
        <w:t xml:space="preserve">technical compliance, design advice, approval of capital designs, </w:t>
      </w:r>
      <w:r w:rsidRPr="00F90BBC">
        <w:rPr>
          <w:sz w:val="24"/>
          <w:szCs w:val="24"/>
        </w:rPr>
        <w:t>reviewing management processes and organisational governance arrangements.</w:t>
      </w:r>
    </w:p>
    <w:p w14:paraId="74C7BA85" w14:textId="77777777" w:rsidR="00123925" w:rsidRDefault="00123925" w:rsidP="00123925">
      <w:pPr>
        <w:spacing w:after="120"/>
        <w:rPr>
          <w:rFonts w:cstheme="minorHAnsi"/>
          <w:sz w:val="24"/>
          <w:szCs w:val="24"/>
        </w:rPr>
      </w:pPr>
      <w:r>
        <w:rPr>
          <w:rFonts w:cstheme="minorHAnsi"/>
          <w:sz w:val="24"/>
          <w:szCs w:val="24"/>
        </w:rPr>
        <w:t>Key achievements include:</w:t>
      </w:r>
    </w:p>
    <w:p w14:paraId="2D4B88FD" w14:textId="77777777" w:rsidR="00123925" w:rsidRPr="0068144D" w:rsidRDefault="00123925" w:rsidP="00A53882">
      <w:pPr>
        <w:pStyle w:val="ListParagraph"/>
        <w:numPr>
          <w:ilvl w:val="0"/>
          <w:numId w:val="6"/>
        </w:numPr>
        <w:spacing w:after="120"/>
        <w:rPr>
          <w:rFonts w:cstheme="minorHAnsi"/>
          <w:sz w:val="24"/>
          <w:szCs w:val="24"/>
        </w:rPr>
      </w:pPr>
      <w:r w:rsidRPr="0068144D">
        <w:rPr>
          <w:rFonts w:cstheme="minorHAnsi"/>
          <w:sz w:val="24"/>
          <w:szCs w:val="24"/>
        </w:rPr>
        <w:t>Rectification of non-complaint plant in ECT clinical areas to ensure safe working during covid.</w:t>
      </w:r>
    </w:p>
    <w:p w14:paraId="45D31160" w14:textId="77777777" w:rsidR="00123925" w:rsidRPr="0068144D" w:rsidRDefault="00123925" w:rsidP="00A53882">
      <w:pPr>
        <w:pStyle w:val="ListParagraph"/>
        <w:numPr>
          <w:ilvl w:val="0"/>
          <w:numId w:val="6"/>
        </w:numPr>
        <w:spacing w:after="120"/>
        <w:rPr>
          <w:rFonts w:cstheme="minorHAnsi"/>
          <w:sz w:val="24"/>
          <w:szCs w:val="24"/>
        </w:rPr>
      </w:pPr>
      <w:r w:rsidRPr="0068144D">
        <w:rPr>
          <w:rFonts w:cstheme="minorHAnsi"/>
          <w:sz w:val="24"/>
          <w:szCs w:val="24"/>
        </w:rPr>
        <w:t>Working with H&amp;S colleagues, providing the narrative to advise safe spaces during covid across the Trust’s estate.</w:t>
      </w:r>
    </w:p>
    <w:p w14:paraId="4D4E63F2" w14:textId="77777777" w:rsidR="00123925" w:rsidRPr="0068144D" w:rsidRDefault="00123925" w:rsidP="00A53882">
      <w:pPr>
        <w:pStyle w:val="ListParagraph"/>
        <w:numPr>
          <w:ilvl w:val="0"/>
          <w:numId w:val="6"/>
        </w:numPr>
        <w:spacing w:after="120"/>
        <w:rPr>
          <w:rFonts w:cstheme="minorHAnsi"/>
          <w:sz w:val="24"/>
          <w:szCs w:val="24"/>
        </w:rPr>
      </w:pPr>
      <w:r w:rsidRPr="0068144D">
        <w:rPr>
          <w:rFonts w:cstheme="minorHAnsi"/>
          <w:sz w:val="24"/>
          <w:szCs w:val="24"/>
        </w:rPr>
        <w:t>Full site audit across all former UHL maintained sites.</w:t>
      </w:r>
    </w:p>
    <w:p w14:paraId="535D0D1C" w14:textId="77777777" w:rsidR="00123925" w:rsidRPr="0068144D" w:rsidRDefault="00123925" w:rsidP="00A53882">
      <w:pPr>
        <w:pStyle w:val="ListParagraph"/>
        <w:numPr>
          <w:ilvl w:val="0"/>
          <w:numId w:val="6"/>
        </w:numPr>
        <w:spacing w:after="120"/>
        <w:rPr>
          <w:rFonts w:cstheme="minorHAnsi"/>
          <w:sz w:val="24"/>
          <w:szCs w:val="24"/>
        </w:rPr>
      </w:pPr>
      <w:r w:rsidRPr="0068144D">
        <w:rPr>
          <w:rFonts w:cstheme="minorHAnsi"/>
          <w:sz w:val="24"/>
          <w:szCs w:val="24"/>
        </w:rPr>
        <w:t>Establishment of a fan cleaning process for heatwave.</w:t>
      </w:r>
    </w:p>
    <w:p w14:paraId="33CCCEFA" w14:textId="77777777" w:rsidR="00123925" w:rsidRPr="0068144D" w:rsidRDefault="00123925" w:rsidP="00A53882">
      <w:pPr>
        <w:pStyle w:val="ListParagraph"/>
        <w:numPr>
          <w:ilvl w:val="0"/>
          <w:numId w:val="6"/>
        </w:numPr>
        <w:spacing w:after="120"/>
        <w:rPr>
          <w:rFonts w:cstheme="minorHAnsi"/>
          <w:sz w:val="24"/>
          <w:szCs w:val="24"/>
        </w:rPr>
      </w:pPr>
      <w:r w:rsidRPr="0068144D">
        <w:rPr>
          <w:rFonts w:cstheme="minorHAnsi"/>
          <w:sz w:val="24"/>
          <w:szCs w:val="24"/>
        </w:rPr>
        <w:t>Ventilation advice and decisions for ad-hoc requests for alterations or change of use of clinical or office areas.</w:t>
      </w:r>
    </w:p>
    <w:p w14:paraId="7F13A1F4" w14:textId="532D248F" w:rsidR="008A6F39" w:rsidRPr="000E645A" w:rsidRDefault="00FF0EF4" w:rsidP="00123925">
      <w:pPr>
        <w:spacing w:after="120"/>
        <w:ind w:left="720" w:hanging="720"/>
        <w:rPr>
          <w:rFonts w:cstheme="minorHAnsi"/>
          <w:sz w:val="24"/>
          <w:szCs w:val="24"/>
        </w:rPr>
      </w:pPr>
      <w:r w:rsidRPr="000E645A">
        <w:rPr>
          <w:rFonts w:cstheme="minorHAnsi"/>
          <w:sz w:val="24"/>
          <w:szCs w:val="24"/>
        </w:rPr>
        <w:t xml:space="preserve"> </w:t>
      </w:r>
      <w:bookmarkEnd w:id="4"/>
    </w:p>
    <w:p w14:paraId="2F3914E3" w14:textId="16F80C1B" w:rsidR="000550D7" w:rsidRDefault="001A042D" w:rsidP="002038FA">
      <w:pPr>
        <w:spacing w:after="120"/>
        <w:ind w:left="720" w:hanging="720"/>
        <w:rPr>
          <w:b/>
          <w:sz w:val="24"/>
          <w:szCs w:val="24"/>
        </w:rPr>
      </w:pPr>
      <w:r>
        <w:rPr>
          <w:b/>
          <w:sz w:val="24"/>
          <w:szCs w:val="24"/>
        </w:rPr>
        <w:t>7</w:t>
      </w:r>
      <w:r w:rsidR="000550D7" w:rsidRPr="000E645A">
        <w:rPr>
          <w:b/>
          <w:sz w:val="24"/>
          <w:szCs w:val="24"/>
        </w:rPr>
        <w:t>.</w:t>
      </w:r>
      <w:r w:rsidR="007162B0">
        <w:rPr>
          <w:b/>
          <w:sz w:val="24"/>
          <w:szCs w:val="24"/>
        </w:rPr>
        <w:t>0</w:t>
      </w:r>
      <w:r w:rsidR="000550D7" w:rsidRPr="000E645A">
        <w:rPr>
          <w:b/>
          <w:sz w:val="24"/>
          <w:szCs w:val="24"/>
        </w:rPr>
        <w:tab/>
      </w:r>
      <w:r w:rsidR="00841E07" w:rsidRPr="000E645A">
        <w:rPr>
          <w:b/>
          <w:sz w:val="24"/>
          <w:szCs w:val="24"/>
        </w:rPr>
        <w:t>Water Management</w:t>
      </w:r>
    </w:p>
    <w:p w14:paraId="355481B8" w14:textId="40F31692" w:rsidR="00123925" w:rsidRDefault="007879DB" w:rsidP="00123925">
      <w:pPr>
        <w:spacing w:after="120"/>
        <w:ind w:left="720" w:hanging="720"/>
        <w:rPr>
          <w:bCs/>
          <w:sz w:val="24"/>
          <w:szCs w:val="24"/>
        </w:rPr>
      </w:pPr>
      <w:r>
        <w:rPr>
          <w:bCs/>
          <w:sz w:val="24"/>
          <w:szCs w:val="24"/>
        </w:rPr>
        <w:t>7.1</w:t>
      </w:r>
      <w:r>
        <w:rPr>
          <w:bCs/>
          <w:sz w:val="24"/>
          <w:szCs w:val="24"/>
        </w:rPr>
        <w:tab/>
      </w:r>
      <w:r w:rsidR="00123925">
        <w:rPr>
          <w:bCs/>
          <w:sz w:val="24"/>
          <w:szCs w:val="24"/>
        </w:rPr>
        <w:t>The water safety group (WSG) meets every 2 months.  The WSG members have been appointed by the Trust and competence for the role validated by our Authorising Engineer AE(W), Hydrop.  Governance of the group is established with appropriate representation and supported with current documentation including a Water Safety Plan and water Policies.</w:t>
      </w:r>
    </w:p>
    <w:p w14:paraId="06012F29" w14:textId="77777777" w:rsidR="00123925" w:rsidRDefault="00123925" w:rsidP="00123925">
      <w:pPr>
        <w:spacing w:after="120"/>
        <w:ind w:left="720" w:hanging="720"/>
        <w:rPr>
          <w:bCs/>
          <w:sz w:val="24"/>
          <w:szCs w:val="24"/>
        </w:rPr>
      </w:pPr>
      <w:r>
        <w:rPr>
          <w:bCs/>
          <w:sz w:val="24"/>
          <w:szCs w:val="24"/>
        </w:rPr>
        <w:t>7.2</w:t>
      </w:r>
      <w:r>
        <w:rPr>
          <w:bCs/>
          <w:sz w:val="24"/>
          <w:szCs w:val="24"/>
        </w:rPr>
        <w:tab/>
        <w:t>Appropriate Responsible Person (RP) training has been undertaken by members of the WSG, with further training for remaining colleagues in place.  Membership comprises representation from key areas of the Trust, including Estates, IPC, H&amp;S, alongside our existing AE(W) Hydrop, and newly appointed independent advisor from UHL Microbiology.</w:t>
      </w:r>
    </w:p>
    <w:p w14:paraId="67702CFB" w14:textId="1FEF2142" w:rsidR="00123925" w:rsidRDefault="00123925" w:rsidP="00874E15">
      <w:pPr>
        <w:ind w:left="720" w:hanging="720"/>
        <w:rPr>
          <w:bCs/>
          <w:sz w:val="24"/>
          <w:szCs w:val="24"/>
        </w:rPr>
      </w:pPr>
      <w:r>
        <w:rPr>
          <w:bCs/>
          <w:sz w:val="24"/>
          <w:szCs w:val="24"/>
        </w:rPr>
        <w:t>7.3</w:t>
      </w:r>
      <w:r>
        <w:rPr>
          <w:bCs/>
          <w:sz w:val="24"/>
          <w:szCs w:val="24"/>
        </w:rPr>
        <w:tab/>
        <w:t xml:space="preserve">As </w:t>
      </w:r>
      <w:r w:rsidR="00687D96">
        <w:rPr>
          <w:bCs/>
          <w:sz w:val="24"/>
          <w:szCs w:val="24"/>
        </w:rPr>
        <w:t xml:space="preserve">there were </w:t>
      </w:r>
      <w:r>
        <w:rPr>
          <w:bCs/>
          <w:sz w:val="24"/>
          <w:szCs w:val="24"/>
        </w:rPr>
        <w:t>no assurance</w:t>
      </w:r>
      <w:r w:rsidR="00687D96">
        <w:rPr>
          <w:bCs/>
          <w:sz w:val="24"/>
          <w:szCs w:val="24"/>
        </w:rPr>
        <w:t>, maintenance or checking from the previous external contractor</w:t>
      </w:r>
      <w:r>
        <w:rPr>
          <w:bCs/>
          <w:sz w:val="24"/>
          <w:szCs w:val="24"/>
        </w:rPr>
        <w:t xml:space="preserve"> LPT has </w:t>
      </w:r>
      <w:r w:rsidR="00687D96">
        <w:rPr>
          <w:bCs/>
          <w:sz w:val="24"/>
          <w:szCs w:val="24"/>
        </w:rPr>
        <w:t>instigated</w:t>
      </w:r>
      <w:r>
        <w:rPr>
          <w:bCs/>
          <w:sz w:val="24"/>
          <w:szCs w:val="24"/>
        </w:rPr>
        <w:t xml:space="preserve"> compliance checks for water systems across all sites.   Overall, compliance is improving, however the concerns remain around legacy maintenance which are being addressed through the FM Transformation work and appointments to new LPT estate maintenance roles.  It remains an estates priority to achieve compliance, which is observable through increased checking and monitoring of temperatures etc, being undertaken in accordance with the Water Safety Plan.  Furthermore, contracts are being established for maintenance and cleaning tasks.  </w:t>
      </w:r>
    </w:p>
    <w:p w14:paraId="557A7C50" w14:textId="77777777" w:rsidR="00123925" w:rsidRDefault="00123925" w:rsidP="00123925">
      <w:pPr>
        <w:ind w:left="720" w:hanging="720"/>
        <w:rPr>
          <w:bCs/>
          <w:sz w:val="24"/>
          <w:szCs w:val="24"/>
        </w:rPr>
      </w:pPr>
      <w:r>
        <w:rPr>
          <w:bCs/>
          <w:sz w:val="24"/>
          <w:szCs w:val="24"/>
        </w:rPr>
        <w:lastRenderedPageBreak/>
        <w:t>7.4</w:t>
      </w:r>
      <w:r>
        <w:rPr>
          <w:bCs/>
          <w:sz w:val="24"/>
          <w:szCs w:val="24"/>
        </w:rPr>
        <w:tab/>
        <w:t>As a consequence of enhanced monitoring and checking, there are notable issues which have required immediate attention to rectify.  The WSG continues to focus on the legacy matters around maintenance and address issues, accordingly.</w:t>
      </w:r>
    </w:p>
    <w:p w14:paraId="56FFEED0" w14:textId="77777777" w:rsidR="00123925" w:rsidRDefault="00123925" w:rsidP="00123925">
      <w:pPr>
        <w:rPr>
          <w:bCs/>
          <w:sz w:val="24"/>
          <w:szCs w:val="24"/>
        </w:rPr>
      </w:pPr>
      <w:r>
        <w:rPr>
          <w:bCs/>
          <w:sz w:val="24"/>
          <w:szCs w:val="24"/>
        </w:rPr>
        <w:t>7.5</w:t>
      </w:r>
      <w:r>
        <w:rPr>
          <w:bCs/>
          <w:sz w:val="24"/>
          <w:szCs w:val="24"/>
        </w:rPr>
        <w:tab/>
        <w:t>Key achievements in the period include:</w:t>
      </w:r>
    </w:p>
    <w:p w14:paraId="33799507" w14:textId="77777777" w:rsidR="00123925" w:rsidRDefault="00123925" w:rsidP="00A53882">
      <w:pPr>
        <w:pStyle w:val="ListParagraph"/>
        <w:numPr>
          <w:ilvl w:val="0"/>
          <w:numId w:val="4"/>
        </w:numPr>
        <w:rPr>
          <w:rFonts w:cstheme="minorHAnsi"/>
          <w:bCs/>
          <w:sz w:val="24"/>
          <w:szCs w:val="24"/>
        </w:rPr>
      </w:pPr>
      <w:r w:rsidRPr="00345BCF">
        <w:rPr>
          <w:rFonts w:cstheme="minorHAnsi"/>
          <w:bCs/>
          <w:sz w:val="24"/>
          <w:szCs w:val="24"/>
        </w:rPr>
        <w:t>Rectification of legionella issue</w:t>
      </w:r>
      <w:r>
        <w:rPr>
          <w:rFonts w:cstheme="minorHAnsi"/>
          <w:bCs/>
          <w:sz w:val="24"/>
          <w:szCs w:val="24"/>
        </w:rPr>
        <w:t>s</w:t>
      </w:r>
      <w:r w:rsidRPr="00345BCF">
        <w:rPr>
          <w:rFonts w:cstheme="minorHAnsi"/>
          <w:bCs/>
          <w:sz w:val="24"/>
          <w:szCs w:val="24"/>
        </w:rPr>
        <w:t xml:space="preserve"> identified through active monitoring and capital delivery processes</w:t>
      </w:r>
      <w:r>
        <w:rPr>
          <w:rFonts w:cstheme="minorHAnsi"/>
          <w:bCs/>
          <w:sz w:val="24"/>
          <w:szCs w:val="24"/>
        </w:rPr>
        <w:t>, across LPT estate.</w:t>
      </w:r>
    </w:p>
    <w:p w14:paraId="5A5703DC" w14:textId="77777777" w:rsidR="00123925" w:rsidRDefault="00123925" w:rsidP="00A53882">
      <w:pPr>
        <w:pStyle w:val="ListParagraph"/>
        <w:numPr>
          <w:ilvl w:val="0"/>
          <w:numId w:val="4"/>
        </w:numPr>
        <w:rPr>
          <w:rFonts w:cstheme="minorHAnsi"/>
          <w:sz w:val="24"/>
          <w:szCs w:val="24"/>
        </w:rPr>
      </w:pPr>
      <w:r>
        <w:rPr>
          <w:rFonts w:cstheme="minorHAnsi"/>
          <w:bCs/>
          <w:sz w:val="24"/>
          <w:szCs w:val="24"/>
        </w:rPr>
        <w:t xml:space="preserve">Improvement in the </w:t>
      </w:r>
      <w:r w:rsidRPr="00577B8D">
        <w:rPr>
          <w:rFonts w:cstheme="minorHAnsi"/>
          <w:sz w:val="24"/>
          <w:szCs w:val="24"/>
        </w:rPr>
        <w:t>visibility of data, enabling the direction of tasks to be focused.</w:t>
      </w:r>
    </w:p>
    <w:p w14:paraId="573BF25A" w14:textId="77777777" w:rsidR="00123925" w:rsidRDefault="00123925" w:rsidP="00A53882">
      <w:pPr>
        <w:pStyle w:val="ListParagraph"/>
        <w:numPr>
          <w:ilvl w:val="0"/>
          <w:numId w:val="4"/>
        </w:numPr>
        <w:rPr>
          <w:rFonts w:cstheme="minorHAnsi"/>
          <w:sz w:val="24"/>
          <w:szCs w:val="24"/>
        </w:rPr>
      </w:pPr>
      <w:r>
        <w:rPr>
          <w:rFonts w:cstheme="minorHAnsi"/>
          <w:sz w:val="24"/>
          <w:szCs w:val="24"/>
        </w:rPr>
        <w:t>Completion of Water Risk Assessments (WRA) across Trust sites.</w:t>
      </w:r>
    </w:p>
    <w:p w14:paraId="31CD41F6" w14:textId="77777777" w:rsidR="00123925" w:rsidRPr="00577B8D" w:rsidRDefault="00123925" w:rsidP="00A53882">
      <w:pPr>
        <w:pStyle w:val="ListParagraph"/>
        <w:numPr>
          <w:ilvl w:val="0"/>
          <w:numId w:val="4"/>
        </w:numPr>
        <w:rPr>
          <w:rFonts w:cstheme="minorHAnsi"/>
          <w:sz w:val="24"/>
          <w:szCs w:val="24"/>
        </w:rPr>
      </w:pPr>
      <w:r>
        <w:rPr>
          <w:rFonts w:cstheme="minorHAnsi"/>
          <w:sz w:val="24"/>
          <w:szCs w:val="24"/>
        </w:rPr>
        <w:t>Commencement of actions arising from WRA, on priority basis.</w:t>
      </w:r>
    </w:p>
    <w:p w14:paraId="2A6836FC" w14:textId="77777777" w:rsidR="00123925" w:rsidRDefault="00123925" w:rsidP="00A53882">
      <w:pPr>
        <w:pStyle w:val="ListParagraph"/>
        <w:numPr>
          <w:ilvl w:val="0"/>
          <w:numId w:val="4"/>
        </w:numPr>
        <w:rPr>
          <w:rFonts w:cstheme="minorHAnsi"/>
          <w:sz w:val="24"/>
          <w:szCs w:val="24"/>
        </w:rPr>
      </w:pPr>
      <w:r w:rsidRPr="00080CDB">
        <w:rPr>
          <w:rFonts w:cstheme="minorHAnsi"/>
          <w:sz w:val="24"/>
          <w:szCs w:val="24"/>
        </w:rPr>
        <w:t>Installation of Chlorine Dioxide unit at Coalville Community Hospital</w:t>
      </w:r>
      <w:r>
        <w:rPr>
          <w:rFonts w:cstheme="minorHAnsi"/>
          <w:sz w:val="24"/>
          <w:szCs w:val="24"/>
        </w:rPr>
        <w:t xml:space="preserve"> as part of rectification measures to address water quality.</w:t>
      </w:r>
    </w:p>
    <w:p w14:paraId="027156B0" w14:textId="48B5B37C" w:rsidR="00577B8D" w:rsidRDefault="00123925" w:rsidP="00A53882">
      <w:pPr>
        <w:pStyle w:val="ListParagraph"/>
        <w:numPr>
          <w:ilvl w:val="0"/>
          <w:numId w:val="4"/>
        </w:numPr>
        <w:spacing w:after="120"/>
        <w:rPr>
          <w:rFonts w:cstheme="minorHAnsi"/>
          <w:sz w:val="24"/>
          <w:szCs w:val="24"/>
        </w:rPr>
      </w:pPr>
      <w:r w:rsidRPr="00123925">
        <w:rPr>
          <w:rFonts w:cstheme="minorHAnsi"/>
          <w:sz w:val="24"/>
          <w:szCs w:val="24"/>
        </w:rPr>
        <w:t>Flushing water records maintained.</w:t>
      </w:r>
    </w:p>
    <w:p w14:paraId="1578F716" w14:textId="77777777" w:rsidR="007162B0" w:rsidRPr="007162B0" w:rsidRDefault="007162B0" w:rsidP="007162B0">
      <w:pPr>
        <w:spacing w:after="120"/>
        <w:rPr>
          <w:rFonts w:cstheme="minorHAnsi"/>
          <w:sz w:val="24"/>
          <w:szCs w:val="24"/>
        </w:rPr>
      </w:pPr>
    </w:p>
    <w:p w14:paraId="34298BD7" w14:textId="5CABC46F" w:rsidR="00801C95" w:rsidRDefault="004F1107" w:rsidP="00801C95">
      <w:pPr>
        <w:spacing w:after="120"/>
        <w:ind w:left="720" w:hanging="720"/>
        <w:rPr>
          <w:b/>
          <w:bCs/>
          <w:sz w:val="24"/>
          <w:szCs w:val="24"/>
        </w:rPr>
      </w:pPr>
      <w:r>
        <w:rPr>
          <w:b/>
          <w:sz w:val="24"/>
          <w:szCs w:val="24"/>
        </w:rPr>
        <w:t>8</w:t>
      </w:r>
      <w:r w:rsidR="000550D7" w:rsidRPr="000E645A">
        <w:rPr>
          <w:b/>
          <w:sz w:val="24"/>
          <w:szCs w:val="24"/>
        </w:rPr>
        <w:t>.</w:t>
      </w:r>
      <w:r w:rsidR="007162B0">
        <w:rPr>
          <w:b/>
          <w:sz w:val="24"/>
          <w:szCs w:val="24"/>
        </w:rPr>
        <w:t>0</w:t>
      </w:r>
      <w:r w:rsidR="000550D7" w:rsidRPr="000E645A">
        <w:rPr>
          <w:b/>
          <w:sz w:val="24"/>
          <w:szCs w:val="24"/>
        </w:rPr>
        <w:tab/>
      </w:r>
      <w:bookmarkStart w:id="5" w:name="_Hlk104970257"/>
      <w:bookmarkStart w:id="6" w:name="_Hlk104556817"/>
      <w:r w:rsidR="00801C95">
        <w:rPr>
          <w:b/>
          <w:bCs/>
          <w:sz w:val="24"/>
          <w:szCs w:val="24"/>
        </w:rPr>
        <w:t xml:space="preserve">Hand hygiene </w:t>
      </w:r>
    </w:p>
    <w:p w14:paraId="38E67F0A" w14:textId="6358C1F9" w:rsidR="00801C95" w:rsidRDefault="004F1107" w:rsidP="00801C95">
      <w:pPr>
        <w:spacing w:after="120"/>
        <w:ind w:left="720" w:hanging="720"/>
        <w:rPr>
          <w:sz w:val="24"/>
          <w:szCs w:val="24"/>
        </w:rPr>
      </w:pPr>
      <w:r>
        <w:rPr>
          <w:sz w:val="24"/>
          <w:szCs w:val="24"/>
        </w:rPr>
        <w:t>8</w:t>
      </w:r>
      <w:r w:rsidR="00801C95">
        <w:rPr>
          <w:sz w:val="24"/>
          <w:szCs w:val="24"/>
        </w:rPr>
        <w:t>.1       The total number of audits required per month by all teams equates to 1516 audits  to ensure more  representative auditing. The aim for 202</w:t>
      </w:r>
      <w:r w:rsidR="00216C26">
        <w:rPr>
          <w:sz w:val="24"/>
          <w:szCs w:val="24"/>
        </w:rPr>
        <w:t>2</w:t>
      </w:r>
      <w:r w:rsidR="00801C95">
        <w:rPr>
          <w:sz w:val="24"/>
          <w:szCs w:val="24"/>
        </w:rPr>
        <w:t>/2</w:t>
      </w:r>
      <w:r w:rsidR="00216C26">
        <w:rPr>
          <w:sz w:val="24"/>
          <w:szCs w:val="24"/>
        </w:rPr>
        <w:t>3</w:t>
      </w:r>
      <w:r w:rsidR="00801C95">
        <w:rPr>
          <w:sz w:val="24"/>
          <w:szCs w:val="24"/>
        </w:rPr>
        <w:t xml:space="preserve"> was to maintain the total number of audits at 909 audits (60%)</w:t>
      </w:r>
      <w:r w:rsidR="00687D96">
        <w:rPr>
          <w:sz w:val="24"/>
          <w:szCs w:val="24"/>
        </w:rPr>
        <w:t xml:space="preserve"> due to the impact of the pandemic and continued agile and hybrid working impacting on numbers of audits</w:t>
      </w:r>
      <w:r w:rsidR="00801C95">
        <w:rPr>
          <w:sz w:val="24"/>
          <w:szCs w:val="24"/>
        </w:rPr>
        <w:t xml:space="preserve">.  </w:t>
      </w:r>
    </w:p>
    <w:p w14:paraId="4BFA0145" w14:textId="77777777" w:rsidR="00216C26" w:rsidRDefault="004F1107" w:rsidP="00216C26">
      <w:pPr>
        <w:spacing w:after="120"/>
        <w:ind w:left="709" w:hanging="709"/>
        <w:rPr>
          <w:sz w:val="24"/>
          <w:szCs w:val="24"/>
        </w:rPr>
      </w:pPr>
      <w:r>
        <w:rPr>
          <w:sz w:val="24"/>
          <w:szCs w:val="24"/>
        </w:rPr>
        <w:t>8</w:t>
      </w:r>
      <w:r w:rsidR="00801C95">
        <w:rPr>
          <w:sz w:val="24"/>
          <w:szCs w:val="24"/>
        </w:rPr>
        <w:t>.2      </w:t>
      </w:r>
      <w:r w:rsidR="00216C26">
        <w:rPr>
          <w:sz w:val="24"/>
          <w:szCs w:val="24"/>
        </w:rPr>
        <w:t xml:space="preserve"> Quarter 1 (Q1) returned an average total of 869 hand hygiene audits and Quarter 2 (Q2) decreased to an average of 797. The average number of audits throughout Q1 and Q2 remain under the expected average of 909 audits. It is difficult to distinguish the reason for the reduction in audit submissions from Q1 to Q2 however it is likely that the changes to link IPC staff, staff working from home and staffing challenges have resulted in the average number of completed audits is below the target. </w:t>
      </w:r>
    </w:p>
    <w:p w14:paraId="510F8AE8" w14:textId="74BA533A" w:rsidR="00216C26" w:rsidRDefault="00216C26" w:rsidP="00216C26">
      <w:pPr>
        <w:spacing w:after="120"/>
        <w:ind w:left="709" w:hanging="709"/>
        <w:rPr>
          <w:sz w:val="24"/>
          <w:szCs w:val="24"/>
        </w:rPr>
      </w:pPr>
      <w:r>
        <w:rPr>
          <w:sz w:val="24"/>
          <w:szCs w:val="24"/>
        </w:rPr>
        <w:t xml:space="preserve">8.3       The graph indicates that on average, the number of hand hygiene audits being completed is considerably lower the expected target of 909, except for May where 1036 hand hygiene audits were submitted. Taking into consideration the possible factors outlined above, work continues to try to improve the number of audits being completed. Teams are encouraged to notify the IPC team of any new IPC links and a team’s meeting is offered to provide support on how to complete and input audits onto the hand hygiene app if required. </w:t>
      </w:r>
    </w:p>
    <w:p w14:paraId="2B17C86D" w14:textId="4A70D27E" w:rsidR="00557593" w:rsidRDefault="00557593" w:rsidP="00216C26">
      <w:pPr>
        <w:spacing w:after="120"/>
        <w:ind w:left="709" w:hanging="709"/>
        <w:rPr>
          <w:sz w:val="24"/>
          <w:szCs w:val="24"/>
        </w:rPr>
      </w:pPr>
    </w:p>
    <w:p w14:paraId="6547FDE5" w14:textId="77777777" w:rsidR="00557593" w:rsidRDefault="00557593" w:rsidP="00216C26">
      <w:pPr>
        <w:spacing w:after="120"/>
        <w:ind w:left="709" w:hanging="709"/>
        <w:rPr>
          <w:sz w:val="24"/>
          <w:szCs w:val="24"/>
        </w:rPr>
      </w:pPr>
    </w:p>
    <w:p w14:paraId="5C50D420" w14:textId="77777777" w:rsidR="00216C26" w:rsidRDefault="00216C26" w:rsidP="00216C26">
      <w:pPr>
        <w:spacing w:after="120"/>
        <w:ind w:left="709" w:hanging="709"/>
        <w:rPr>
          <w:sz w:val="24"/>
          <w:szCs w:val="24"/>
        </w:rPr>
      </w:pPr>
      <w:r>
        <w:rPr>
          <w:noProof/>
        </w:rPr>
        <w:drawing>
          <wp:anchor distT="0" distB="0" distL="114300" distR="114300" simplePos="0" relativeHeight="251714560" behindDoc="1" locked="0" layoutInCell="1" allowOverlap="1" wp14:anchorId="3C385A45" wp14:editId="58EBDC16">
            <wp:simplePos x="0" y="0"/>
            <wp:positionH relativeFrom="margin">
              <wp:posOffset>238760</wp:posOffset>
            </wp:positionH>
            <wp:positionV relativeFrom="paragraph">
              <wp:posOffset>8890</wp:posOffset>
            </wp:positionV>
            <wp:extent cx="5731510" cy="2713355"/>
            <wp:effectExtent l="0" t="0" r="2540" b="10795"/>
            <wp:wrapNone/>
            <wp:docPr id="1" name="Chart 1">
              <a:extLst xmlns:a="http://schemas.openxmlformats.org/drawingml/2006/main">
                <a:ext uri="{FF2B5EF4-FFF2-40B4-BE49-F238E27FC236}">
                  <a16:creationId xmlns:a16="http://schemas.microsoft.com/office/drawing/2014/main" id="{BC3D46F7-02D2-6565-D097-20EF839093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3E6B468" w14:textId="77777777" w:rsidR="00216C26" w:rsidRDefault="00216C26" w:rsidP="00216C26">
      <w:pPr>
        <w:spacing w:after="120"/>
        <w:ind w:left="720" w:hanging="11"/>
        <w:rPr>
          <w:sz w:val="24"/>
          <w:szCs w:val="24"/>
        </w:rPr>
      </w:pPr>
    </w:p>
    <w:p w14:paraId="64A3B905" w14:textId="77777777" w:rsidR="00216C26" w:rsidRDefault="00216C26" w:rsidP="00216C26">
      <w:pPr>
        <w:spacing w:after="120"/>
        <w:ind w:left="720" w:hanging="11"/>
        <w:rPr>
          <w:sz w:val="24"/>
          <w:szCs w:val="24"/>
        </w:rPr>
      </w:pPr>
    </w:p>
    <w:p w14:paraId="77FDDA57" w14:textId="77777777" w:rsidR="00216C26" w:rsidRDefault="00216C26" w:rsidP="00216C26">
      <w:pPr>
        <w:spacing w:after="120"/>
        <w:ind w:left="720" w:hanging="11"/>
        <w:rPr>
          <w:sz w:val="24"/>
          <w:szCs w:val="24"/>
        </w:rPr>
      </w:pPr>
    </w:p>
    <w:p w14:paraId="60AE4087" w14:textId="77777777" w:rsidR="00216C26" w:rsidRDefault="00216C26" w:rsidP="00216C26">
      <w:pPr>
        <w:spacing w:after="120"/>
        <w:ind w:left="720" w:hanging="11"/>
        <w:rPr>
          <w:sz w:val="24"/>
          <w:szCs w:val="24"/>
        </w:rPr>
      </w:pPr>
    </w:p>
    <w:p w14:paraId="17EE5DE0" w14:textId="77777777" w:rsidR="00216C26" w:rsidRDefault="00216C26" w:rsidP="00216C26">
      <w:pPr>
        <w:spacing w:after="120"/>
        <w:ind w:left="720" w:hanging="11"/>
        <w:rPr>
          <w:sz w:val="24"/>
          <w:szCs w:val="24"/>
        </w:rPr>
      </w:pPr>
    </w:p>
    <w:p w14:paraId="2E942441" w14:textId="77777777" w:rsidR="00216C26" w:rsidRDefault="00216C26" w:rsidP="00216C26">
      <w:pPr>
        <w:spacing w:after="120"/>
        <w:ind w:left="720" w:hanging="11"/>
        <w:rPr>
          <w:sz w:val="24"/>
          <w:szCs w:val="24"/>
        </w:rPr>
      </w:pPr>
    </w:p>
    <w:p w14:paraId="043FAF34" w14:textId="77777777" w:rsidR="00216C26" w:rsidRDefault="00216C26" w:rsidP="00216C26">
      <w:pPr>
        <w:spacing w:after="120"/>
        <w:ind w:left="720" w:hanging="720"/>
        <w:rPr>
          <w:sz w:val="24"/>
          <w:szCs w:val="24"/>
        </w:rPr>
      </w:pPr>
    </w:p>
    <w:p w14:paraId="1A310C59" w14:textId="77777777" w:rsidR="00216C26" w:rsidRDefault="00216C26" w:rsidP="00216C26">
      <w:pPr>
        <w:spacing w:after="120"/>
        <w:ind w:left="720" w:hanging="720"/>
        <w:rPr>
          <w:sz w:val="24"/>
          <w:szCs w:val="24"/>
        </w:rPr>
      </w:pPr>
    </w:p>
    <w:p w14:paraId="66B37D7C" w14:textId="77777777" w:rsidR="00216C26" w:rsidRDefault="00216C26" w:rsidP="00216C26">
      <w:pPr>
        <w:spacing w:after="120"/>
        <w:ind w:left="720" w:hanging="720"/>
        <w:rPr>
          <w:sz w:val="24"/>
          <w:szCs w:val="24"/>
        </w:rPr>
      </w:pPr>
    </w:p>
    <w:p w14:paraId="0A3504DB" w14:textId="77777777" w:rsidR="00216C26" w:rsidRDefault="00216C26" w:rsidP="00216C26">
      <w:pPr>
        <w:spacing w:after="120"/>
        <w:ind w:left="720" w:hanging="720"/>
        <w:rPr>
          <w:sz w:val="24"/>
          <w:szCs w:val="24"/>
        </w:rPr>
      </w:pPr>
      <w:r>
        <w:rPr>
          <w:sz w:val="24"/>
          <w:szCs w:val="24"/>
        </w:rPr>
        <w:t xml:space="preserve">8.4       </w:t>
      </w:r>
      <w:bookmarkStart w:id="7" w:name="_Hlk104816708"/>
      <w:r>
        <w:rPr>
          <w:sz w:val="24"/>
          <w:szCs w:val="24"/>
        </w:rPr>
        <w:t xml:space="preserve">Hand hygiene audit reports are now accessible via Staffnet and are circulated every Monday to the relevant IPC link leads. Three reports are available to view: IPC hand hygiene summary, IPC hand hygiene by teams and IPC never reported in the past 12 months. The IPC hand hygiene trend report is also emailed to the IPC link leads and uploaded onto StaffNet monthly. These reports are also shared at the IPC Operational Group bi-monthly so directorates can acknowledge and address any concerns which need to be included in their IPC highlight reports which are shared at the bi-monthly IPC Assurance Group meetings. </w:t>
      </w:r>
      <w:bookmarkEnd w:id="7"/>
    </w:p>
    <w:p w14:paraId="2F07F0B8" w14:textId="77777777" w:rsidR="00216C26" w:rsidRDefault="00216C26" w:rsidP="00216C26">
      <w:pPr>
        <w:spacing w:after="120"/>
        <w:ind w:left="720" w:hanging="720"/>
        <w:rPr>
          <w:sz w:val="24"/>
          <w:szCs w:val="24"/>
        </w:rPr>
      </w:pPr>
      <w:r>
        <w:rPr>
          <w:sz w:val="24"/>
          <w:szCs w:val="24"/>
        </w:rPr>
        <w:t>8.5       There has been sustained compliance performance in terms of practice and results of the audits with a pass rate of 99% in Q1 and 96% in Q2, showing an average of 98%. If the number of audits increased, it would be anticipated and expected that there may be a decline in the overall performance as it would portray a more reflective representation of clinical practice.</w:t>
      </w:r>
    </w:p>
    <w:p w14:paraId="5EAA8E4C" w14:textId="77777777" w:rsidR="00216C26" w:rsidRDefault="00216C26" w:rsidP="00216C26">
      <w:pPr>
        <w:spacing w:after="120"/>
        <w:ind w:left="720" w:hanging="720"/>
        <w:rPr>
          <w:sz w:val="24"/>
          <w:szCs w:val="24"/>
        </w:rPr>
      </w:pPr>
      <w:r>
        <w:rPr>
          <w:sz w:val="24"/>
          <w:szCs w:val="24"/>
        </w:rPr>
        <w:t>8.6       The Trust Infection Prevention and Control team continue with the in-patient clinical support visits that include a quality assurance review of hand hygiene practice and adherence to Personal Protective Equipment (PPE).</w:t>
      </w:r>
    </w:p>
    <w:p w14:paraId="610BF27F" w14:textId="75654B14" w:rsidR="00801C95" w:rsidRDefault="00801C95" w:rsidP="00A43E1E">
      <w:pPr>
        <w:spacing w:after="120"/>
        <w:ind w:left="709" w:hanging="709"/>
        <w:rPr>
          <w:sz w:val="24"/>
          <w:szCs w:val="24"/>
        </w:rPr>
      </w:pPr>
      <w:r>
        <w:rPr>
          <w:sz w:val="24"/>
          <w:szCs w:val="24"/>
        </w:rPr>
        <w:t xml:space="preserve">    </w:t>
      </w:r>
      <w:bookmarkEnd w:id="5"/>
    </w:p>
    <w:p w14:paraId="48B2D8C7" w14:textId="449BAE11" w:rsidR="001527C1" w:rsidRPr="000915F3" w:rsidRDefault="00D406B5" w:rsidP="000C23C9">
      <w:pPr>
        <w:pStyle w:val="Default"/>
        <w:spacing w:after="120" w:line="276" w:lineRule="auto"/>
        <w:rPr>
          <w:rFonts w:asciiTheme="minorHAnsi" w:hAnsiTheme="minorHAnsi"/>
          <w:b/>
          <w:color w:val="auto"/>
        </w:rPr>
      </w:pPr>
      <w:bookmarkStart w:id="8" w:name="_Hlk104561817"/>
      <w:bookmarkEnd w:id="6"/>
      <w:r>
        <w:rPr>
          <w:rFonts w:asciiTheme="minorHAnsi" w:hAnsiTheme="minorHAnsi"/>
          <w:b/>
          <w:color w:val="auto"/>
        </w:rPr>
        <w:t>9</w:t>
      </w:r>
      <w:r w:rsidR="000550D7" w:rsidRPr="000915F3">
        <w:rPr>
          <w:rFonts w:asciiTheme="minorHAnsi" w:hAnsiTheme="minorHAnsi"/>
          <w:b/>
          <w:color w:val="auto"/>
        </w:rPr>
        <w:t>.</w:t>
      </w:r>
      <w:r w:rsidR="007162B0">
        <w:rPr>
          <w:rFonts w:asciiTheme="minorHAnsi" w:hAnsiTheme="minorHAnsi"/>
          <w:b/>
          <w:color w:val="auto"/>
        </w:rPr>
        <w:t>0</w:t>
      </w:r>
      <w:r w:rsidR="000550D7" w:rsidRPr="000915F3">
        <w:rPr>
          <w:rFonts w:asciiTheme="minorHAnsi" w:hAnsiTheme="minorHAnsi"/>
          <w:b/>
          <w:color w:val="auto"/>
        </w:rPr>
        <w:tab/>
      </w:r>
      <w:r w:rsidR="001527C1" w:rsidRPr="000915F3">
        <w:rPr>
          <w:rFonts w:asciiTheme="minorHAnsi" w:hAnsiTheme="minorHAnsi"/>
          <w:b/>
          <w:color w:val="auto"/>
        </w:rPr>
        <w:t xml:space="preserve">Cleaning </w:t>
      </w:r>
    </w:p>
    <w:p w14:paraId="39A3732D" w14:textId="57F4492C" w:rsidR="00765AC6" w:rsidRDefault="00D406B5" w:rsidP="00765AC6">
      <w:pPr>
        <w:pStyle w:val="Default"/>
        <w:spacing w:after="120" w:line="276" w:lineRule="auto"/>
        <w:ind w:left="720" w:hanging="720"/>
        <w:rPr>
          <w:rFonts w:ascii="Calibri" w:hAnsi="Calibri"/>
          <w:color w:val="auto"/>
        </w:rPr>
      </w:pPr>
      <w:r>
        <w:rPr>
          <w:rFonts w:asciiTheme="minorHAnsi" w:hAnsiTheme="minorHAnsi"/>
          <w:color w:val="auto"/>
        </w:rPr>
        <w:t>9</w:t>
      </w:r>
      <w:r w:rsidR="001527C1" w:rsidRPr="000915F3">
        <w:rPr>
          <w:rFonts w:asciiTheme="minorHAnsi" w:hAnsiTheme="minorHAnsi"/>
          <w:color w:val="auto"/>
        </w:rPr>
        <w:t>.1</w:t>
      </w:r>
      <w:r w:rsidR="001527C1" w:rsidRPr="000915F3">
        <w:rPr>
          <w:rFonts w:asciiTheme="minorHAnsi" w:hAnsiTheme="minorHAnsi"/>
          <w:b/>
          <w:color w:val="auto"/>
        </w:rPr>
        <w:tab/>
      </w:r>
      <w:r w:rsidR="00765AC6">
        <w:rPr>
          <w:rFonts w:ascii="Calibri" w:hAnsi="Calibri"/>
          <w:color w:val="auto"/>
        </w:rPr>
        <w:t>Cleaning audit</w:t>
      </w:r>
      <w:r w:rsidR="00E23E05">
        <w:rPr>
          <w:rFonts w:ascii="Calibri" w:hAnsi="Calibri"/>
          <w:color w:val="auto"/>
        </w:rPr>
        <w:t xml:space="preserve"> outcomes</w:t>
      </w:r>
      <w:r w:rsidR="00A43E1E">
        <w:rPr>
          <w:rFonts w:ascii="Calibri" w:hAnsi="Calibri"/>
          <w:color w:val="auto"/>
        </w:rPr>
        <w:t xml:space="preserve"> previously reported </w:t>
      </w:r>
      <w:r w:rsidR="00765AC6">
        <w:rPr>
          <w:rFonts w:ascii="Calibri" w:hAnsi="Calibri"/>
          <w:color w:val="auto"/>
        </w:rPr>
        <w:t>monthly through the Trust IPC Group</w:t>
      </w:r>
      <w:r w:rsidR="00A43E1E">
        <w:rPr>
          <w:rFonts w:ascii="Calibri" w:hAnsi="Calibri"/>
          <w:color w:val="auto"/>
        </w:rPr>
        <w:t xml:space="preserve"> have not been received due to a lack of information fr</w:t>
      </w:r>
      <w:r w:rsidR="007314B8">
        <w:rPr>
          <w:rFonts w:ascii="Calibri" w:hAnsi="Calibri"/>
          <w:color w:val="auto"/>
        </w:rPr>
        <w:t>o</w:t>
      </w:r>
      <w:r w:rsidR="00A43E1E">
        <w:rPr>
          <w:rFonts w:ascii="Calibri" w:hAnsi="Calibri"/>
          <w:color w:val="auto"/>
        </w:rPr>
        <w:t>m the host organisation</w:t>
      </w:r>
      <w:r w:rsidR="00765AC6">
        <w:rPr>
          <w:rFonts w:ascii="Calibri" w:hAnsi="Calibri"/>
          <w:color w:val="auto"/>
        </w:rPr>
        <w:t xml:space="preserve">. </w:t>
      </w:r>
      <w:r w:rsidR="00F97486">
        <w:rPr>
          <w:rFonts w:ascii="Calibri" w:hAnsi="Calibri"/>
          <w:color w:val="auto"/>
        </w:rPr>
        <w:t xml:space="preserve">Cleaning services have been identified as an organisational risk </w:t>
      </w:r>
      <w:r w:rsidR="00A43E1E">
        <w:rPr>
          <w:rFonts w:ascii="Calibri" w:hAnsi="Calibri"/>
          <w:color w:val="auto"/>
        </w:rPr>
        <w:t xml:space="preserve">and this is </w:t>
      </w:r>
      <w:r w:rsidR="00F97486">
        <w:rPr>
          <w:rFonts w:ascii="Calibri" w:hAnsi="Calibri"/>
          <w:color w:val="auto"/>
        </w:rPr>
        <w:t xml:space="preserve">reviewed at every IPC group </w:t>
      </w:r>
      <w:r w:rsidR="00A43E1E">
        <w:rPr>
          <w:rFonts w:ascii="Calibri" w:hAnsi="Calibri"/>
          <w:color w:val="auto"/>
        </w:rPr>
        <w:t xml:space="preserve">monthly </w:t>
      </w:r>
      <w:r w:rsidR="00F97486">
        <w:rPr>
          <w:rFonts w:ascii="Calibri" w:hAnsi="Calibri"/>
          <w:color w:val="auto"/>
        </w:rPr>
        <w:t xml:space="preserve">meeting.  The risk identifies reporting of audit scores </w:t>
      </w:r>
      <w:r w:rsidR="006F1426">
        <w:rPr>
          <w:rFonts w:ascii="Calibri" w:hAnsi="Calibri"/>
          <w:color w:val="auto"/>
        </w:rPr>
        <w:t xml:space="preserve">by the host of the service </w:t>
      </w:r>
      <w:r w:rsidR="00F97486">
        <w:rPr>
          <w:rFonts w:ascii="Calibri" w:hAnsi="Calibri"/>
          <w:color w:val="auto"/>
        </w:rPr>
        <w:t xml:space="preserve">has been sporadic and </w:t>
      </w:r>
      <w:r w:rsidR="006F1426">
        <w:rPr>
          <w:rFonts w:ascii="Calibri" w:hAnsi="Calibri"/>
          <w:color w:val="auto"/>
        </w:rPr>
        <w:t xml:space="preserve">not reflective of findings by LPT.  </w:t>
      </w:r>
    </w:p>
    <w:p w14:paraId="4A675868" w14:textId="09D7B5A8"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w:t>
      </w:r>
      <w:r w:rsidR="00765AC6">
        <w:rPr>
          <w:rFonts w:ascii="Calibri" w:hAnsi="Calibri"/>
          <w:color w:val="auto"/>
        </w:rPr>
        <w:t>.2</w:t>
      </w:r>
      <w:r w:rsidR="00765AC6">
        <w:rPr>
          <w:rFonts w:ascii="Calibri" w:hAnsi="Calibri"/>
          <w:color w:val="auto"/>
        </w:rPr>
        <w:tab/>
        <w:t>In line with the national recommendations, during C</w:t>
      </w:r>
      <w:r w:rsidR="00902EF8">
        <w:rPr>
          <w:rFonts w:ascii="Calibri" w:hAnsi="Calibri"/>
          <w:color w:val="auto"/>
        </w:rPr>
        <w:t>ovid-</w:t>
      </w:r>
      <w:r w:rsidR="00BD5037">
        <w:rPr>
          <w:rFonts w:ascii="Calibri" w:hAnsi="Calibri"/>
          <w:color w:val="auto"/>
        </w:rPr>
        <w:t>19 peaks</w:t>
      </w:r>
      <w:r w:rsidR="00765AC6">
        <w:rPr>
          <w:rFonts w:ascii="Calibri" w:hAnsi="Calibri"/>
          <w:color w:val="auto"/>
        </w:rPr>
        <w:t xml:space="preserve">, two hourly touch point cleaning was implemented within inpatient areas. This process supported the reduction in outbreaks of infection, with specific reference to Covid-19.  This process has been documented and audited to provide assurance.  This action has since been reduced </w:t>
      </w:r>
      <w:r w:rsidR="007314B8">
        <w:rPr>
          <w:rFonts w:ascii="Calibri" w:hAnsi="Calibri"/>
          <w:color w:val="auto"/>
        </w:rPr>
        <w:t xml:space="preserve">universally </w:t>
      </w:r>
      <w:r w:rsidR="00765AC6">
        <w:rPr>
          <w:rFonts w:ascii="Calibri" w:hAnsi="Calibri"/>
          <w:color w:val="auto"/>
        </w:rPr>
        <w:t>and is applicable in outbreak areas only.</w:t>
      </w:r>
    </w:p>
    <w:p w14:paraId="5B41D9C4" w14:textId="6253F195"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w:t>
      </w:r>
      <w:r w:rsidR="00765AC6">
        <w:rPr>
          <w:rFonts w:ascii="Calibri" w:hAnsi="Calibri"/>
          <w:color w:val="auto"/>
        </w:rPr>
        <w:t xml:space="preserve">.3 </w:t>
      </w:r>
      <w:r w:rsidR="00765AC6">
        <w:rPr>
          <w:rFonts w:ascii="Calibri" w:hAnsi="Calibri"/>
          <w:color w:val="auto"/>
        </w:rPr>
        <w:tab/>
        <w:t xml:space="preserve">A business case was </w:t>
      </w:r>
      <w:r>
        <w:rPr>
          <w:rFonts w:ascii="Calibri" w:hAnsi="Calibri"/>
          <w:color w:val="auto"/>
        </w:rPr>
        <w:t>developed,</w:t>
      </w:r>
      <w:r w:rsidR="00765AC6">
        <w:rPr>
          <w:rFonts w:ascii="Calibri" w:hAnsi="Calibri"/>
          <w:color w:val="auto"/>
        </w:rPr>
        <w:t xml:space="preserve"> and a rapid response cleaning team was operationalised for supporting the introduction of a third clean in inpatient areas as well as a quick response to outbreak/cleaning requirements.</w:t>
      </w:r>
      <w:r w:rsidR="006F1426">
        <w:rPr>
          <w:rFonts w:ascii="Calibri" w:hAnsi="Calibri"/>
          <w:color w:val="auto"/>
        </w:rPr>
        <w:t xml:space="preserve">  Recruitment to these posts </w:t>
      </w:r>
      <w:r w:rsidR="00A43E1E">
        <w:rPr>
          <w:rFonts w:ascii="Calibri" w:hAnsi="Calibri"/>
          <w:color w:val="auto"/>
        </w:rPr>
        <w:t>remains challenging due to the host organisation suspending recruitment pending the transfer of services to LPT. Recruitment to all vacant domestic services posts is a critical action for LPT following this transfer.</w:t>
      </w:r>
    </w:p>
    <w:p w14:paraId="084C098D" w14:textId="5F702B80" w:rsidR="00765AC6" w:rsidRDefault="00D406B5" w:rsidP="00765AC6">
      <w:pPr>
        <w:pStyle w:val="Default"/>
        <w:spacing w:after="120" w:line="276" w:lineRule="auto"/>
        <w:ind w:left="720" w:hanging="720"/>
        <w:rPr>
          <w:rFonts w:ascii="Calibri" w:hAnsi="Calibri"/>
          <w:color w:val="auto"/>
        </w:rPr>
      </w:pPr>
      <w:r>
        <w:rPr>
          <w:rFonts w:ascii="Calibri" w:hAnsi="Calibri"/>
          <w:color w:val="auto"/>
        </w:rPr>
        <w:lastRenderedPageBreak/>
        <w:t>9.4</w:t>
      </w:r>
      <w:r w:rsidR="00765AC6">
        <w:rPr>
          <w:rFonts w:ascii="Calibri" w:hAnsi="Calibri"/>
          <w:color w:val="auto"/>
        </w:rPr>
        <w:t xml:space="preserve">      </w:t>
      </w:r>
      <w:r w:rsidR="00A43E1E">
        <w:rPr>
          <w:rFonts w:ascii="Calibri" w:hAnsi="Calibri"/>
          <w:color w:val="auto"/>
        </w:rPr>
        <w:tab/>
        <w:t xml:space="preserve">Despite assurance that </w:t>
      </w:r>
      <w:r w:rsidR="00557593">
        <w:rPr>
          <w:rFonts w:ascii="Calibri" w:hAnsi="Calibri"/>
          <w:color w:val="auto"/>
        </w:rPr>
        <w:t>cleaners’</w:t>
      </w:r>
      <w:r w:rsidR="00765AC6">
        <w:rPr>
          <w:rFonts w:ascii="Calibri" w:hAnsi="Calibri"/>
          <w:color w:val="auto"/>
        </w:rPr>
        <w:t xml:space="preserve"> rooms and equipment are audited monthly as part of the management audit undertaken by the Soft FM team</w:t>
      </w:r>
      <w:r w:rsidR="00A43E1E">
        <w:rPr>
          <w:rFonts w:ascii="Calibri" w:hAnsi="Calibri"/>
          <w:color w:val="auto"/>
        </w:rPr>
        <w:t>, there has been no reporting received from the host organisation</w:t>
      </w:r>
      <w:r w:rsidR="00765AC6">
        <w:rPr>
          <w:rFonts w:ascii="Calibri" w:hAnsi="Calibri"/>
          <w:color w:val="auto"/>
        </w:rPr>
        <w:t xml:space="preserve">.  </w:t>
      </w:r>
    </w:p>
    <w:p w14:paraId="67514540" w14:textId="75960F0B"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w:t>
      </w:r>
      <w:r w:rsidR="00765AC6">
        <w:rPr>
          <w:rFonts w:ascii="Calibri" w:hAnsi="Calibri"/>
          <w:color w:val="auto"/>
        </w:rPr>
        <w:t>.5      The Trust has a twelve-month rolling deep clean programme in place</w:t>
      </w:r>
      <w:r w:rsidR="00A43E1E">
        <w:rPr>
          <w:rFonts w:ascii="Calibri" w:hAnsi="Calibri"/>
          <w:color w:val="auto"/>
        </w:rPr>
        <w:t xml:space="preserve"> </w:t>
      </w:r>
      <w:r w:rsidR="009259BD">
        <w:rPr>
          <w:rFonts w:ascii="Calibri" w:hAnsi="Calibri"/>
          <w:color w:val="auto"/>
        </w:rPr>
        <w:t>however due to the high volume of vacancies, the deep clean team have been utilised to cover the rapid response team and attend/support outbreak areas. The deep clean schedule is approximately 10 weeks behind plan.</w:t>
      </w:r>
    </w:p>
    <w:p w14:paraId="6817156D" w14:textId="287B60B9"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w:t>
      </w:r>
      <w:r w:rsidR="00765AC6">
        <w:rPr>
          <w:rFonts w:ascii="Calibri" w:hAnsi="Calibri"/>
          <w:color w:val="auto"/>
        </w:rPr>
        <w:t>.6</w:t>
      </w:r>
      <w:r w:rsidR="00765AC6">
        <w:rPr>
          <w:rFonts w:ascii="Calibri" w:hAnsi="Calibri"/>
          <w:color w:val="auto"/>
        </w:rPr>
        <w:tab/>
        <w:t>The monthly facilities forum has been</w:t>
      </w:r>
      <w:r w:rsidR="009259BD">
        <w:rPr>
          <w:rFonts w:ascii="Calibri" w:hAnsi="Calibri"/>
          <w:color w:val="auto"/>
        </w:rPr>
        <w:t xml:space="preserve"> suspended due to resourcing issues and the prioritisation of transfer of services back to LPT </w:t>
      </w:r>
      <w:r w:rsidR="00765AC6">
        <w:rPr>
          <w:rFonts w:ascii="Calibri" w:hAnsi="Calibri"/>
          <w:color w:val="auto"/>
        </w:rPr>
        <w:t xml:space="preserve">. </w:t>
      </w:r>
    </w:p>
    <w:p w14:paraId="589DE112" w14:textId="7CA5F467" w:rsidR="00765AC6" w:rsidRDefault="00D406B5" w:rsidP="00765AC6">
      <w:pPr>
        <w:pStyle w:val="Default"/>
        <w:spacing w:after="120" w:line="276" w:lineRule="auto"/>
        <w:ind w:left="720" w:hanging="720"/>
        <w:rPr>
          <w:rFonts w:ascii="Calibri" w:hAnsi="Calibri"/>
          <w:color w:val="auto"/>
        </w:rPr>
      </w:pPr>
      <w:r>
        <w:rPr>
          <w:rFonts w:ascii="Calibri" w:hAnsi="Calibri"/>
          <w:color w:val="auto"/>
        </w:rPr>
        <w:t>9.7</w:t>
      </w:r>
      <w:r w:rsidR="00765AC6">
        <w:rPr>
          <w:rFonts w:ascii="Calibri" w:hAnsi="Calibri"/>
          <w:color w:val="auto"/>
        </w:rPr>
        <w:t xml:space="preserve">      </w:t>
      </w:r>
      <w:r w:rsidR="009259BD">
        <w:rPr>
          <w:rFonts w:ascii="Calibri" w:hAnsi="Calibri"/>
          <w:color w:val="auto"/>
        </w:rPr>
        <w:t>Despite assurance from the host organisation that t</w:t>
      </w:r>
      <w:r w:rsidR="00765AC6">
        <w:rPr>
          <w:rFonts w:ascii="Calibri" w:hAnsi="Calibri"/>
          <w:color w:val="auto"/>
        </w:rPr>
        <w:t>he National Standards for Healthcare</w:t>
      </w:r>
      <w:r w:rsidR="009259BD">
        <w:rPr>
          <w:rFonts w:ascii="Calibri" w:hAnsi="Calibri"/>
          <w:color w:val="auto"/>
        </w:rPr>
        <w:t xml:space="preserve"> </w:t>
      </w:r>
      <w:r w:rsidR="00765AC6">
        <w:rPr>
          <w:rFonts w:ascii="Calibri" w:hAnsi="Calibri"/>
          <w:color w:val="auto"/>
        </w:rPr>
        <w:t>Cleanliness 2021 ha</w:t>
      </w:r>
      <w:r w:rsidR="009259BD">
        <w:rPr>
          <w:rFonts w:ascii="Calibri" w:hAnsi="Calibri"/>
          <w:color w:val="auto"/>
        </w:rPr>
        <w:t>d</w:t>
      </w:r>
      <w:r w:rsidR="00765AC6">
        <w:rPr>
          <w:rFonts w:ascii="Calibri" w:hAnsi="Calibri"/>
          <w:color w:val="auto"/>
        </w:rPr>
        <w:t xml:space="preserve"> been implemented</w:t>
      </w:r>
      <w:r w:rsidR="009259BD">
        <w:rPr>
          <w:rFonts w:ascii="Calibri" w:hAnsi="Calibri"/>
          <w:color w:val="auto"/>
        </w:rPr>
        <w:t>, since transfer of services it has been established that full implementation is not in place and a plan has been developed to ensure full implementation is achieved by the end of January 2023</w:t>
      </w:r>
      <w:r w:rsidR="00765AC6">
        <w:rPr>
          <w:rFonts w:ascii="Calibri" w:hAnsi="Calibri"/>
          <w:color w:val="auto"/>
        </w:rPr>
        <w:t xml:space="preserve">.  </w:t>
      </w:r>
    </w:p>
    <w:p w14:paraId="059E1F76" w14:textId="3BE3FBBE" w:rsidR="009259BD" w:rsidRDefault="009259BD" w:rsidP="00765AC6">
      <w:pPr>
        <w:pStyle w:val="Default"/>
        <w:spacing w:after="120" w:line="276" w:lineRule="auto"/>
        <w:ind w:left="720" w:hanging="720"/>
        <w:rPr>
          <w:rFonts w:ascii="Calibri" w:hAnsi="Calibri"/>
          <w:color w:val="auto"/>
        </w:rPr>
      </w:pPr>
      <w:r>
        <w:rPr>
          <w:rFonts w:ascii="Calibri" w:hAnsi="Calibri"/>
          <w:color w:val="auto"/>
        </w:rPr>
        <w:t>9.8</w:t>
      </w:r>
      <w:r>
        <w:rPr>
          <w:rFonts w:ascii="Calibri" w:hAnsi="Calibri"/>
          <w:color w:val="auto"/>
        </w:rPr>
        <w:tab/>
        <w:t>LPT has purchased equipment to replace the existing broken/redundant equipment identified during transfer preparations. The distribution of this equipment is being rolled out to all areas in November 2022.</w:t>
      </w:r>
    </w:p>
    <w:p w14:paraId="343D71FB" w14:textId="0A039078" w:rsidR="009259BD" w:rsidRDefault="009259BD" w:rsidP="00765AC6">
      <w:pPr>
        <w:pStyle w:val="Default"/>
        <w:spacing w:after="120" w:line="276" w:lineRule="auto"/>
        <w:ind w:left="720" w:hanging="720"/>
        <w:rPr>
          <w:rFonts w:ascii="Calibri" w:hAnsi="Calibri"/>
          <w:color w:val="auto"/>
        </w:rPr>
      </w:pPr>
      <w:r>
        <w:rPr>
          <w:rFonts w:ascii="Calibri" w:hAnsi="Calibri"/>
          <w:color w:val="auto"/>
        </w:rPr>
        <w:t>9.9</w:t>
      </w:r>
      <w:r>
        <w:rPr>
          <w:rFonts w:ascii="Calibri" w:hAnsi="Calibri"/>
          <w:color w:val="auto"/>
        </w:rPr>
        <w:tab/>
        <w:t>All Facilities Management (FM) services from existing host to LPT was completed on 1</w:t>
      </w:r>
      <w:r w:rsidRPr="009259BD">
        <w:rPr>
          <w:rFonts w:ascii="Calibri" w:hAnsi="Calibri"/>
          <w:color w:val="auto"/>
          <w:vertAlign w:val="superscript"/>
        </w:rPr>
        <w:t>st</w:t>
      </w:r>
      <w:r>
        <w:rPr>
          <w:rFonts w:ascii="Calibri" w:hAnsi="Calibri"/>
          <w:color w:val="auto"/>
        </w:rPr>
        <w:t xml:space="preserve"> November 2022. A number of issues relating to TUPE data are still to be worked </w:t>
      </w:r>
      <w:r w:rsidR="00557593">
        <w:rPr>
          <w:rFonts w:ascii="Calibri" w:hAnsi="Calibri"/>
          <w:color w:val="auto"/>
        </w:rPr>
        <w:t>through,</w:t>
      </w:r>
      <w:r>
        <w:rPr>
          <w:rFonts w:ascii="Calibri" w:hAnsi="Calibri"/>
          <w:color w:val="auto"/>
        </w:rPr>
        <w:t xml:space="preserve"> but services are able to be delivered in the same format as pre-transfer. Work had commenced on the transformation of these services to improve standards and meet compliance requirements.</w:t>
      </w:r>
    </w:p>
    <w:p w14:paraId="5D48527B" w14:textId="77777777" w:rsidR="00285F76" w:rsidRDefault="00285F76" w:rsidP="00765AC6">
      <w:pPr>
        <w:pStyle w:val="Default"/>
        <w:spacing w:after="120" w:line="276" w:lineRule="auto"/>
        <w:ind w:left="720" w:hanging="720"/>
        <w:rPr>
          <w:rFonts w:ascii="Calibri" w:hAnsi="Calibri"/>
          <w:color w:val="auto"/>
        </w:rPr>
      </w:pPr>
    </w:p>
    <w:bookmarkEnd w:id="8"/>
    <w:p w14:paraId="6E9AB72B" w14:textId="2371908E" w:rsidR="001527C1" w:rsidRPr="00D57B6F" w:rsidRDefault="004208FD" w:rsidP="00D57B6F">
      <w:pPr>
        <w:spacing w:after="120"/>
        <w:rPr>
          <w:b/>
          <w:sz w:val="24"/>
          <w:szCs w:val="24"/>
        </w:rPr>
      </w:pPr>
      <w:r w:rsidRPr="000915F3">
        <w:rPr>
          <w:b/>
          <w:sz w:val="24"/>
          <w:szCs w:val="24"/>
        </w:rPr>
        <w:t>1</w:t>
      </w:r>
      <w:r w:rsidR="00D406B5">
        <w:rPr>
          <w:b/>
          <w:sz w:val="24"/>
          <w:szCs w:val="24"/>
        </w:rPr>
        <w:t>0</w:t>
      </w:r>
      <w:r w:rsidRPr="000915F3">
        <w:rPr>
          <w:b/>
          <w:sz w:val="24"/>
          <w:szCs w:val="24"/>
        </w:rPr>
        <w:t>.</w:t>
      </w:r>
      <w:r w:rsidR="007162B0">
        <w:rPr>
          <w:b/>
          <w:sz w:val="24"/>
          <w:szCs w:val="24"/>
        </w:rPr>
        <w:t>0</w:t>
      </w:r>
      <w:r w:rsidRPr="000915F3">
        <w:rPr>
          <w:b/>
          <w:sz w:val="24"/>
          <w:szCs w:val="24"/>
        </w:rPr>
        <w:tab/>
      </w:r>
      <w:r w:rsidR="001527C1" w:rsidRPr="000915F3">
        <w:rPr>
          <w:b/>
          <w:sz w:val="24"/>
          <w:szCs w:val="24"/>
        </w:rPr>
        <w:t>Antimicrobial stewardship</w:t>
      </w:r>
    </w:p>
    <w:p w14:paraId="716E4FFD" w14:textId="05052C64" w:rsidR="00393409" w:rsidRPr="00393409" w:rsidRDefault="00FF0EF4" w:rsidP="00393409">
      <w:pPr>
        <w:ind w:left="720" w:hanging="720"/>
        <w:rPr>
          <w:sz w:val="24"/>
          <w:szCs w:val="24"/>
        </w:rPr>
      </w:pPr>
      <w:r w:rsidRPr="000915F3">
        <w:rPr>
          <w:sz w:val="24"/>
          <w:szCs w:val="24"/>
        </w:rPr>
        <w:t>1</w:t>
      </w:r>
      <w:r w:rsidR="00D406B5">
        <w:rPr>
          <w:sz w:val="24"/>
          <w:szCs w:val="24"/>
        </w:rPr>
        <w:t>0</w:t>
      </w:r>
      <w:r w:rsidRPr="000915F3">
        <w:rPr>
          <w:sz w:val="24"/>
          <w:szCs w:val="24"/>
        </w:rPr>
        <w:t>.1</w:t>
      </w:r>
      <w:r w:rsidRPr="000915F3">
        <w:rPr>
          <w:sz w:val="24"/>
          <w:szCs w:val="24"/>
        </w:rPr>
        <w:tab/>
      </w:r>
      <w:r w:rsidR="00393409" w:rsidRPr="00393409">
        <w:rPr>
          <w:sz w:val="24"/>
          <w:szCs w:val="24"/>
        </w:rPr>
        <w:t>‘Antimicrobial stewardship remains a vital tool in the fight against resistance and preserving the usefulness of antimicrobials so that they benefit patients who really need them.</w:t>
      </w:r>
    </w:p>
    <w:p w14:paraId="7858A007" w14:textId="24776FEA" w:rsidR="00393409" w:rsidRPr="00393409" w:rsidRDefault="00902EF8" w:rsidP="00B61605">
      <w:pPr>
        <w:ind w:left="720" w:hanging="720"/>
        <w:rPr>
          <w:sz w:val="24"/>
          <w:szCs w:val="24"/>
        </w:rPr>
      </w:pPr>
      <w:r>
        <w:rPr>
          <w:sz w:val="24"/>
          <w:szCs w:val="24"/>
        </w:rPr>
        <w:t xml:space="preserve">10.2 </w:t>
      </w:r>
      <w:r>
        <w:rPr>
          <w:sz w:val="24"/>
          <w:szCs w:val="24"/>
        </w:rPr>
        <w:tab/>
      </w:r>
      <w:r w:rsidR="00393409" w:rsidRPr="00393409">
        <w:rPr>
          <w:sz w:val="24"/>
          <w:szCs w:val="24"/>
        </w:rPr>
        <w:t xml:space="preserve">The lead pharmacist for antimicrobial stewardship continues to oversee the maintenance of the actions and controls within the trust </w:t>
      </w:r>
      <w:r w:rsidR="00393409">
        <w:rPr>
          <w:sz w:val="24"/>
          <w:szCs w:val="24"/>
        </w:rPr>
        <w:t>policy</w:t>
      </w:r>
      <w:r w:rsidR="00393409" w:rsidRPr="00393409">
        <w:rPr>
          <w:sz w:val="24"/>
          <w:szCs w:val="24"/>
        </w:rPr>
        <w:t>.  This includes careful consideration of stock lists for inpatient wards, bi-annual audit, education and training and prescribing protocols.</w:t>
      </w:r>
    </w:p>
    <w:p w14:paraId="4CF2F8E6" w14:textId="448EF86C" w:rsidR="00393409" w:rsidRPr="00393409" w:rsidRDefault="00902EF8" w:rsidP="00B61605">
      <w:pPr>
        <w:ind w:left="720" w:hanging="720"/>
        <w:rPr>
          <w:sz w:val="24"/>
          <w:szCs w:val="24"/>
        </w:rPr>
      </w:pPr>
      <w:r>
        <w:rPr>
          <w:sz w:val="24"/>
          <w:szCs w:val="24"/>
        </w:rPr>
        <w:t>10.3</w:t>
      </w:r>
      <w:r>
        <w:rPr>
          <w:sz w:val="24"/>
          <w:szCs w:val="24"/>
        </w:rPr>
        <w:tab/>
      </w:r>
      <w:r w:rsidR="00393409" w:rsidRPr="00393409">
        <w:rPr>
          <w:sz w:val="24"/>
          <w:szCs w:val="24"/>
        </w:rPr>
        <w:t xml:space="preserve">Antimicrobial surveillance is a useful tool to monitor consumption.  A sophisticated dataset has been developed to monitor trends in consumption across inpatient areas, with quarterly reports being fed into Medicines Management Committee and </w:t>
      </w:r>
      <w:r w:rsidR="00285F76">
        <w:rPr>
          <w:sz w:val="24"/>
          <w:szCs w:val="24"/>
        </w:rPr>
        <w:t>the Infection Prevention and Control Assurance Group</w:t>
      </w:r>
      <w:r w:rsidR="00393409" w:rsidRPr="00393409">
        <w:rPr>
          <w:sz w:val="24"/>
          <w:szCs w:val="24"/>
        </w:rPr>
        <w:t>.</w:t>
      </w:r>
    </w:p>
    <w:p w14:paraId="2D1F8984" w14:textId="3B53A543" w:rsidR="00285F76" w:rsidRDefault="00902EF8" w:rsidP="00B61605">
      <w:pPr>
        <w:ind w:left="720" w:hanging="720"/>
        <w:rPr>
          <w:sz w:val="24"/>
          <w:szCs w:val="24"/>
        </w:rPr>
      </w:pPr>
      <w:r>
        <w:rPr>
          <w:sz w:val="24"/>
          <w:szCs w:val="24"/>
        </w:rPr>
        <w:t>10.4</w:t>
      </w:r>
      <w:r>
        <w:rPr>
          <w:sz w:val="24"/>
          <w:szCs w:val="24"/>
        </w:rPr>
        <w:tab/>
      </w:r>
      <w:r w:rsidR="00285F76">
        <w:rPr>
          <w:sz w:val="24"/>
          <w:szCs w:val="24"/>
        </w:rPr>
        <w:t>On an annual basis, there is international recognition by way of the European antimicrobial awareness day and world antimicrobial awareness week. Within LPT, we mark this event by ensuring our audits are undertaken at this time, whilst also doing promotion in the trust communication to all staff.</w:t>
      </w:r>
    </w:p>
    <w:p w14:paraId="5784FE76" w14:textId="6320761E" w:rsidR="00393409" w:rsidRPr="00393409" w:rsidRDefault="00285F76" w:rsidP="00B61605">
      <w:pPr>
        <w:ind w:left="720" w:hanging="720"/>
        <w:rPr>
          <w:sz w:val="24"/>
          <w:szCs w:val="24"/>
        </w:rPr>
      </w:pPr>
      <w:r>
        <w:rPr>
          <w:sz w:val="24"/>
          <w:szCs w:val="24"/>
        </w:rPr>
        <w:t>10.5</w:t>
      </w:r>
      <w:r>
        <w:rPr>
          <w:sz w:val="24"/>
          <w:szCs w:val="24"/>
        </w:rPr>
        <w:tab/>
      </w:r>
      <w:r w:rsidR="00393409" w:rsidRPr="00393409">
        <w:rPr>
          <w:sz w:val="24"/>
          <w:szCs w:val="24"/>
        </w:rPr>
        <w:t>The lead pharmacist for antimicrobial stewardship also continues to represent LPT in Leicestershire-wide groups.’</w:t>
      </w:r>
    </w:p>
    <w:p w14:paraId="30248F2A" w14:textId="3222FC65" w:rsidR="001527C1" w:rsidRPr="000E645A" w:rsidRDefault="00F04DB1" w:rsidP="002038FA">
      <w:pPr>
        <w:pStyle w:val="Default"/>
        <w:spacing w:after="120" w:line="276" w:lineRule="auto"/>
        <w:ind w:left="720" w:hanging="720"/>
        <w:rPr>
          <w:rFonts w:asciiTheme="minorHAnsi" w:hAnsiTheme="minorHAnsi" w:cstheme="minorHAnsi"/>
          <w:b/>
          <w:color w:val="4F81BD" w:themeColor="accent1"/>
          <w:sz w:val="30"/>
          <w:szCs w:val="30"/>
        </w:rPr>
      </w:pPr>
      <w:r w:rsidRPr="000E645A">
        <w:rPr>
          <w:rFonts w:asciiTheme="minorHAnsi" w:hAnsiTheme="minorHAnsi" w:cstheme="minorHAnsi"/>
          <w:b/>
          <w:color w:val="4F81BD" w:themeColor="accent1"/>
          <w:sz w:val="30"/>
          <w:szCs w:val="30"/>
        </w:rPr>
        <w:t>Proposal</w:t>
      </w:r>
    </w:p>
    <w:p w14:paraId="05950957" w14:textId="77777777" w:rsidR="001527C1" w:rsidRPr="002038FA" w:rsidRDefault="001527C1" w:rsidP="002038FA">
      <w:pPr>
        <w:spacing w:after="120"/>
        <w:rPr>
          <w:noProof/>
          <w:color w:val="000000"/>
          <w:sz w:val="24"/>
          <w:szCs w:val="24"/>
        </w:rPr>
      </w:pPr>
      <w:r w:rsidRPr="000E645A">
        <w:rPr>
          <w:noProof/>
          <w:color w:val="000000"/>
          <w:sz w:val="24"/>
          <w:szCs w:val="24"/>
        </w:rPr>
        <w:lastRenderedPageBreak/>
        <w:t xml:space="preserve">This six monthly report outlines assurance from the Director of Infection Preventon  and Control (DIPaC demonstrating compliance with the Health and Social Care Act 2008 (updated July 2015) also referred to as the Hygiene Code. The report also highlights the impact of the COVID-19 pandemic to the business as usual IPC work programme and quality improvement in response to  NHSE &amp; I </w:t>
      </w:r>
      <w:r w:rsidR="00F04DB1">
        <w:rPr>
          <w:noProof/>
          <w:color w:val="000000"/>
          <w:sz w:val="24"/>
          <w:szCs w:val="24"/>
        </w:rPr>
        <w:t xml:space="preserve">IPC </w:t>
      </w:r>
      <w:r w:rsidRPr="000E645A">
        <w:rPr>
          <w:noProof/>
          <w:color w:val="000000"/>
          <w:sz w:val="24"/>
          <w:szCs w:val="24"/>
        </w:rPr>
        <w:t>visit</w:t>
      </w:r>
      <w:r w:rsidR="00F04DB1">
        <w:rPr>
          <w:noProof/>
          <w:color w:val="000000"/>
          <w:sz w:val="24"/>
          <w:szCs w:val="24"/>
        </w:rPr>
        <w:t>s</w:t>
      </w:r>
      <w:r w:rsidRPr="000E645A">
        <w:rPr>
          <w:noProof/>
          <w:color w:val="000000"/>
          <w:sz w:val="24"/>
          <w:szCs w:val="24"/>
        </w:rPr>
        <w:t xml:space="preserve">. </w:t>
      </w:r>
    </w:p>
    <w:p w14:paraId="6BCB8424" w14:textId="77777777" w:rsidR="002475A8" w:rsidRPr="007F05FD" w:rsidRDefault="002475A8" w:rsidP="002038FA">
      <w:pPr>
        <w:spacing w:after="120"/>
        <w:rPr>
          <w:b/>
          <w:color w:val="4F81BD" w:themeColor="accent1"/>
          <w:sz w:val="28"/>
        </w:rPr>
      </w:pPr>
      <w:r>
        <w:rPr>
          <w:b/>
          <w:color w:val="4F81BD" w:themeColor="accent1"/>
          <w:sz w:val="28"/>
        </w:rPr>
        <w:t>Decision required</w:t>
      </w:r>
    </w:p>
    <w:p w14:paraId="79994E6A" w14:textId="77777777" w:rsidR="00F04DB1" w:rsidRPr="000E645A" w:rsidRDefault="002475A8" w:rsidP="002038FA">
      <w:pPr>
        <w:spacing w:after="120"/>
        <w:rPr>
          <w:noProof/>
          <w:color w:val="000000"/>
          <w:sz w:val="24"/>
          <w:szCs w:val="24"/>
        </w:rPr>
      </w:pPr>
      <w:r w:rsidRPr="00B657EE">
        <w:rPr>
          <w:sz w:val="24"/>
          <w:szCs w:val="24"/>
        </w:rPr>
        <w:t xml:space="preserve">The board is asked to confirm a level of assurance </w:t>
      </w:r>
      <w:r w:rsidRPr="00B657EE">
        <w:rPr>
          <w:rFonts w:cs="Arial"/>
          <w:sz w:val="24"/>
          <w:szCs w:val="24"/>
        </w:rPr>
        <w:t>that pr</w:t>
      </w:r>
      <w:r>
        <w:rPr>
          <w:rFonts w:cs="Arial"/>
          <w:sz w:val="24"/>
          <w:szCs w:val="24"/>
        </w:rPr>
        <w:t>ocesses are in place to monitor and ensure compliance with the Health and Social Care Act 2008 (updated July 2015) also referred to the as the Hygiene Code and NHS England IPC Board Assurance Framework to ensure that all IPC measures are taken in line with PHE Covid-19 guidance to ensure</w:t>
      </w:r>
      <w:r w:rsidRPr="00B657EE">
        <w:rPr>
          <w:rFonts w:cs="Arial"/>
          <w:sz w:val="24"/>
          <w:szCs w:val="24"/>
        </w:rPr>
        <w:t xml:space="preserve"> patient safety </w:t>
      </w:r>
      <w:r>
        <w:rPr>
          <w:rFonts w:cs="Arial"/>
          <w:sz w:val="24"/>
          <w:szCs w:val="24"/>
        </w:rPr>
        <w:t xml:space="preserve">and </w:t>
      </w:r>
      <w:r w:rsidRPr="00B657EE">
        <w:rPr>
          <w:rFonts w:cs="Arial"/>
          <w:sz w:val="24"/>
          <w:szCs w:val="24"/>
        </w:rPr>
        <w:t>care quality is</w:t>
      </w:r>
      <w:r>
        <w:rPr>
          <w:rFonts w:cs="Arial"/>
          <w:sz w:val="24"/>
          <w:szCs w:val="24"/>
        </w:rPr>
        <w:t xml:space="preserve"> maintained.</w:t>
      </w:r>
    </w:p>
    <w:p w14:paraId="096223BC" w14:textId="77777777" w:rsidR="001527C1" w:rsidRDefault="001527C1" w:rsidP="00FF0EF4">
      <w:pPr>
        <w:pStyle w:val="ListParagraph"/>
        <w:spacing w:after="0" w:line="240" w:lineRule="auto"/>
        <w:ind w:hanging="720"/>
        <w:rPr>
          <w:noProof/>
          <w:color w:val="000000"/>
          <w:sz w:val="24"/>
          <w:szCs w:val="24"/>
        </w:rPr>
      </w:pPr>
    </w:p>
    <w:p w14:paraId="1F778243" w14:textId="77777777" w:rsidR="002038FA" w:rsidRPr="002038FA" w:rsidRDefault="00455018" w:rsidP="002038FA">
      <w:pPr>
        <w:pStyle w:val="Heading2"/>
        <w:spacing w:before="0"/>
        <w:rPr>
          <w:rFonts w:asciiTheme="minorHAnsi" w:hAnsiTheme="minorHAnsi" w:cstheme="minorHAnsi"/>
          <w:sz w:val="28"/>
          <w:szCs w:val="28"/>
        </w:rPr>
      </w:pPr>
      <w:r>
        <w:rPr>
          <w:rFonts w:asciiTheme="minorHAnsi" w:hAnsiTheme="minorHAnsi" w:cstheme="minorHAnsi"/>
          <w:sz w:val="28"/>
          <w:szCs w:val="28"/>
        </w:rPr>
        <w:t>Governance t</w:t>
      </w:r>
      <w:r w:rsidR="0043360A" w:rsidRPr="00EA7354">
        <w:rPr>
          <w:rFonts w:asciiTheme="minorHAnsi" w:hAnsiTheme="minorHAnsi" w:cstheme="minorHAnsi"/>
          <w:sz w:val="28"/>
          <w:szCs w:val="28"/>
        </w:rPr>
        <w:t xml:space="preserve">able </w:t>
      </w:r>
    </w:p>
    <w:tbl>
      <w:tblPr>
        <w:tblStyle w:val="MediumGrid3-Accent1"/>
        <w:tblW w:w="0" w:type="auto"/>
        <w:tblInd w:w="108" w:type="dxa"/>
        <w:tblLook w:val="0480" w:firstRow="0" w:lastRow="0" w:firstColumn="1" w:lastColumn="0" w:noHBand="0" w:noVBand="1"/>
      </w:tblPr>
      <w:tblGrid>
        <w:gridCol w:w="4395"/>
        <w:gridCol w:w="2268"/>
        <w:gridCol w:w="2471"/>
      </w:tblGrid>
      <w:tr w:rsidR="0043360A" w:rsidRPr="00050DBC" w14:paraId="07EB1B74"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46CD0C0C" w14:textId="77777777" w:rsidR="0043360A" w:rsidRPr="00050DBC" w:rsidRDefault="0043360A" w:rsidP="008013B6">
            <w:pPr>
              <w:rPr>
                <w:sz w:val="20"/>
                <w:szCs w:val="20"/>
              </w:rPr>
            </w:pPr>
            <w:r w:rsidRPr="00050DBC">
              <w:rPr>
                <w:sz w:val="20"/>
                <w:szCs w:val="20"/>
              </w:rPr>
              <w:t>For Board and Board Committees:</w:t>
            </w:r>
          </w:p>
        </w:tc>
        <w:tc>
          <w:tcPr>
            <w:tcW w:w="4739" w:type="dxa"/>
            <w:gridSpan w:val="2"/>
          </w:tcPr>
          <w:p w14:paraId="4353FBAE" w14:textId="7777777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Trust Board</w:t>
            </w:r>
          </w:p>
        </w:tc>
      </w:tr>
      <w:tr w:rsidR="0043360A" w:rsidRPr="00050DBC" w14:paraId="4C036E3B" w14:textId="77777777" w:rsidTr="00FF0EF4">
        <w:tc>
          <w:tcPr>
            <w:cnfStyle w:val="001000000000" w:firstRow="0" w:lastRow="0" w:firstColumn="1" w:lastColumn="0" w:oddVBand="0" w:evenVBand="0" w:oddHBand="0" w:evenHBand="0" w:firstRowFirstColumn="0" w:firstRowLastColumn="0" w:lastRowFirstColumn="0" w:lastRowLastColumn="0"/>
            <w:tcW w:w="4395" w:type="dxa"/>
            <w:hideMark/>
          </w:tcPr>
          <w:p w14:paraId="6188F16D" w14:textId="77777777" w:rsidR="0043360A" w:rsidRPr="00050DBC" w:rsidRDefault="0043360A" w:rsidP="008013B6">
            <w:pPr>
              <w:rPr>
                <w:sz w:val="20"/>
                <w:szCs w:val="20"/>
              </w:rPr>
            </w:pPr>
            <w:r w:rsidRPr="00050DBC">
              <w:rPr>
                <w:sz w:val="20"/>
                <w:szCs w:val="20"/>
              </w:rPr>
              <w:t>Paper sponsored by:</w:t>
            </w:r>
          </w:p>
        </w:tc>
        <w:tc>
          <w:tcPr>
            <w:tcW w:w="4739" w:type="dxa"/>
            <w:gridSpan w:val="2"/>
          </w:tcPr>
          <w:p w14:paraId="5DA2DCF4" w14:textId="34346DC7" w:rsidR="0043360A" w:rsidRPr="00050DBC" w:rsidRDefault="008119AC"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Dr </w:t>
            </w:r>
            <w:r w:rsidR="00391D55">
              <w:rPr>
                <w:sz w:val="20"/>
                <w:szCs w:val="20"/>
              </w:rPr>
              <w:t xml:space="preserve">Anne Scott – </w:t>
            </w:r>
            <w:r w:rsidR="005751B4">
              <w:rPr>
                <w:sz w:val="20"/>
                <w:szCs w:val="20"/>
              </w:rPr>
              <w:t xml:space="preserve">Executive </w:t>
            </w:r>
            <w:r w:rsidR="00391D55">
              <w:rPr>
                <w:sz w:val="20"/>
                <w:szCs w:val="20"/>
              </w:rPr>
              <w:t>Director of Nursing, AHP and Quality</w:t>
            </w:r>
          </w:p>
        </w:tc>
      </w:tr>
      <w:tr w:rsidR="0043360A" w:rsidRPr="00050DBC" w14:paraId="50E41629"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3AA8B55C" w14:textId="77777777" w:rsidR="0043360A" w:rsidRPr="00050DBC" w:rsidRDefault="0043360A" w:rsidP="008013B6">
            <w:pPr>
              <w:rPr>
                <w:sz w:val="20"/>
                <w:szCs w:val="20"/>
              </w:rPr>
            </w:pPr>
            <w:r w:rsidRPr="00050DBC">
              <w:rPr>
                <w:sz w:val="20"/>
                <w:szCs w:val="20"/>
              </w:rPr>
              <w:t>Paper authored by:</w:t>
            </w:r>
          </w:p>
        </w:tc>
        <w:tc>
          <w:tcPr>
            <w:tcW w:w="4739" w:type="dxa"/>
            <w:gridSpan w:val="2"/>
            <w:tcBorders>
              <w:top w:val="single" w:sz="6" w:space="0" w:color="FFFFFF" w:themeColor="background1"/>
              <w:left w:val="single" w:sz="6" w:space="0" w:color="FFFFFF" w:themeColor="background1"/>
              <w:bottom w:val="single" w:sz="6" w:space="0" w:color="FFFFFF" w:themeColor="background1"/>
            </w:tcBorders>
          </w:tcPr>
          <w:p w14:paraId="754261C9" w14:textId="77777777" w:rsidR="0043360A"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Amanda Hemsley – Lead Infection Prevention and Control Nurse</w:t>
            </w:r>
          </w:p>
          <w:p w14:paraId="0EAE5448" w14:textId="4D967473" w:rsidR="00FD129F" w:rsidRPr="00050DBC" w:rsidRDefault="00FD129F"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041BAB54" w14:textId="77777777" w:rsidTr="00FF0EF4">
        <w:tc>
          <w:tcPr>
            <w:cnfStyle w:val="001000000000" w:firstRow="0" w:lastRow="0" w:firstColumn="1" w:lastColumn="0" w:oddVBand="0" w:evenVBand="0" w:oddHBand="0" w:evenHBand="0" w:firstRowFirstColumn="0" w:firstRowLastColumn="0" w:lastRowFirstColumn="0" w:lastRowLastColumn="0"/>
            <w:tcW w:w="4395" w:type="dxa"/>
            <w:hideMark/>
          </w:tcPr>
          <w:p w14:paraId="59331216" w14:textId="77777777" w:rsidR="0043360A" w:rsidRPr="00050DBC" w:rsidRDefault="0043360A" w:rsidP="008013B6">
            <w:pPr>
              <w:rPr>
                <w:sz w:val="20"/>
                <w:szCs w:val="20"/>
              </w:rPr>
            </w:pPr>
            <w:r w:rsidRPr="00050DBC">
              <w:rPr>
                <w:sz w:val="20"/>
                <w:szCs w:val="20"/>
              </w:rPr>
              <w:t>Date submitted:</w:t>
            </w:r>
          </w:p>
        </w:tc>
        <w:tc>
          <w:tcPr>
            <w:tcW w:w="4739" w:type="dxa"/>
            <w:gridSpan w:val="2"/>
          </w:tcPr>
          <w:p w14:paraId="1749C51D" w14:textId="05C2155A" w:rsidR="0043360A" w:rsidRPr="00050DBC" w:rsidRDefault="007162B0"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 January 2023</w:t>
            </w:r>
          </w:p>
        </w:tc>
      </w:tr>
      <w:tr w:rsidR="0043360A" w:rsidRPr="00050DBC" w14:paraId="00CA7B64"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4885510" w14:textId="77777777" w:rsidR="0043360A" w:rsidRPr="00050DBC" w:rsidRDefault="0043360A" w:rsidP="008013B6">
            <w:pPr>
              <w:rPr>
                <w:sz w:val="20"/>
                <w:szCs w:val="20"/>
              </w:rPr>
            </w:pPr>
            <w:r w:rsidRPr="00050DBC">
              <w:rPr>
                <w:sz w:val="20"/>
                <w:szCs w:val="20"/>
              </w:rPr>
              <w:t>State which Board Committee or other forum within the Trust’s governance structure, if any, have previously considered the report/this issue and the date of the relevant meeting(s):</w:t>
            </w:r>
          </w:p>
        </w:tc>
        <w:tc>
          <w:tcPr>
            <w:tcW w:w="4739" w:type="dxa"/>
            <w:gridSpan w:val="2"/>
          </w:tcPr>
          <w:p w14:paraId="6D340C58" w14:textId="77777777"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Direct to trust board</w:t>
            </w:r>
          </w:p>
        </w:tc>
      </w:tr>
      <w:tr w:rsidR="0043360A" w:rsidRPr="00050DBC" w14:paraId="3B68A078" w14:textId="77777777" w:rsidTr="00FF0EF4">
        <w:tc>
          <w:tcPr>
            <w:cnfStyle w:val="001000000000" w:firstRow="0" w:lastRow="0" w:firstColumn="1" w:lastColumn="0" w:oddVBand="0" w:evenVBand="0" w:oddHBand="0" w:evenHBand="0" w:firstRowFirstColumn="0" w:firstRowLastColumn="0" w:lastRowFirstColumn="0" w:lastRowLastColumn="0"/>
            <w:tcW w:w="4395" w:type="dxa"/>
          </w:tcPr>
          <w:p w14:paraId="72EC62B3" w14:textId="5DE3258B" w:rsidR="0043360A" w:rsidRPr="00050DBC" w:rsidRDefault="0043360A" w:rsidP="008013B6">
            <w:pPr>
              <w:rPr>
                <w:sz w:val="20"/>
                <w:szCs w:val="20"/>
              </w:rPr>
            </w:pPr>
            <w:r w:rsidRPr="00050DBC">
              <w:rPr>
                <w:sz w:val="20"/>
                <w:szCs w:val="20"/>
              </w:rPr>
              <w:t xml:space="preserve">If considered elsewhere, state the level of assurance gained by the Board Committee or other forum </w:t>
            </w:r>
            <w:r w:rsidR="00D406B5" w:rsidRPr="00050DBC">
              <w:rPr>
                <w:sz w:val="20"/>
                <w:szCs w:val="20"/>
              </w:rPr>
              <w:t>i.e.,</w:t>
            </w:r>
            <w:r w:rsidRPr="00050DBC">
              <w:rPr>
                <w:sz w:val="20"/>
                <w:szCs w:val="20"/>
              </w:rPr>
              <w:t xml:space="preserve"> assured/ partially assured / not assured:</w:t>
            </w:r>
          </w:p>
        </w:tc>
        <w:tc>
          <w:tcPr>
            <w:tcW w:w="4739" w:type="dxa"/>
            <w:gridSpan w:val="2"/>
          </w:tcPr>
          <w:p w14:paraId="71934FC8" w14:textId="77777777" w:rsidR="0043360A" w:rsidRPr="00050DBC" w:rsidRDefault="0043360A" w:rsidP="008013B6">
            <w:pPr>
              <w:cnfStyle w:val="000000000000" w:firstRow="0" w:lastRow="0" w:firstColumn="0" w:lastColumn="0" w:oddVBand="0" w:evenVBand="0" w:oddHBand="0" w:evenHBand="0" w:firstRowFirstColumn="0" w:firstRowLastColumn="0" w:lastRowFirstColumn="0" w:lastRowLastColumn="0"/>
              <w:rPr>
                <w:sz w:val="20"/>
                <w:szCs w:val="20"/>
              </w:rPr>
            </w:pPr>
          </w:p>
        </w:tc>
      </w:tr>
      <w:tr w:rsidR="0043360A" w:rsidRPr="00050DBC" w14:paraId="34C741F8"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7E0FC54" w14:textId="77777777" w:rsidR="0043360A" w:rsidRPr="00050DBC" w:rsidRDefault="0043360A" w:rsidP="008013B6">
            <w:pPr>
              <w:rPr>
                <w:sz w:val="20"/>
                <w:szCs w:val="20"/>
              </w:rPr>
            </w:pPr>
            <w:r w:rsidRPr="00050DBC">
              <w:rPr>
                <w:sz w:val="20"/>
                <w:szCs w:val="20"/>
              </w:rPr>
              <w:t>State whether this is a ‘one off’ report or, if not, when an update report will be provided for the purposes of corporate Agenda planning</w:t>
            </w:r>
            <w:r w:rsidRPr="00050DBC" w:rsidDel="00BD629A">
              <w:rPr>
                <w:sz w:val="20"/>
                <w:szCs w:val="20"/>
              </w:rPr>
              <w:t xml:space="preserve"> </w:t>
            </w:r>
          </w:p>
        </w:tc>
        <w:tc>
          <w:tcPr>
            <w:tcW w:w="4739" w:type="dxa"/>
            <w:gridSpan w:val="2"/>
          </w:tcPr>
          <w:p w14:paraId="4D3CE919" w14:textId="48B067B1" w:rsidR="0043360A" w:rsidRPr="00050DBC" w:rsidRDefault="00391D55"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6 monthly </w:t>
            </w:r>
            <w:r w:rsidR="00D406B5">
              <w:rPr>
                <w:sz w:val="20"/>
                <w:szCs w:val="20"/>
              </w:rPr>
              <w:t>reports</w:t>
            </w:r>
          </w:p>
        </w:tc>
      </w:tr>
      <w:tr w:rsidR="0043360A" w:rsidRPr="00050DBC" w14:paraId="1A553E73" w14:textId="77777777" w:rsidTr="00443738">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5B3A916C" w14:textId="77777777" w:rsidR="0043360A" w:rsidRPr="00050DBC" w:rsidRDefault="001F1E8B" w:rsidP="00443738">
            <w:pPr>
              <w:rPr>
                <w:sz w:val="20"/>
                <w:szCs w:val="20"/>
              </w:rPr>
            </w:pPr>
            <w:r>
              <w:rPr>
                <w:sz w:val="20"/>
                <w:szCs w:val="20"/>
              </w:rPr>
              <w:t>S</w:t>
            </w:r>
            <w:r w:rsidR="00443738">
              <w:rPr>
                <w:sz w:val="20"/>
                <w:szCs w:val="20"/>
              </w:rPr>
              <w:t>TEP up to GREAT</w:t>
            </w:r>
            <w:r w:rsidR="0043360A" w:rsidRPr="00050DBC">
              <w:rPr>
                <w:sz w:val="20"/>
                <w:szCs w:val="20"/>
              </w:rPr>
              <w:t xml:space="preserve"> strategic alignment*:</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0E9BD44" w14:textId="77777777" w:rsidR="0043360A" w:rsidRPr="00050DBC" w:rsidRDefault="00443738" w:rsidP="0044373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1E1F"/>
                <w:sz w:val="20"/>
                <w:szCs w:val="20"/>
              </w:rPr>
            </w:pPr>
            <w:r>
              <w:rPr>
                <w:rStyle w:val="A5"/>
                <w:rFonts w:asciiTheme="minorHAnsi" w:hAnsiTheme="minorHAnsi" w:cstheme="minorHAnsi"/>
                <w:sz w:val="20"/>
                <w:szCs w:val="20"/>
              </w:rPr>
              <w:t xml:space="preserve">High </w:t>
            </w:r>
            <w:r w:rsidRPr="00443738">
              <w:rPr>
                <w:rStyle w:val="A5"/>
                <w:rFonts w:asciiTheme="minorHAnsi" w:hAnsiTheme="minorHAnsi" w:cstheme="minorHAnsi"/>
                <w:b/>
                <w:sz w:val="20"/>
                <w:szCs w:val="20"/>
              </w:rPr>
              <w:t>S</w:t>
            </w:r>
            <w:r>
              <w:rPr>
                <w:rStyle w:val="A5"/>
                <w:rFonts w:asciiTheme="minorHAnsi" w:hAnsiTheme="minorHAnsi" w:cstheme="minorHAnsi"/>
                <w:sz w:val="20"/>
                <w:szCs w:val="20"/>
              </w:rPr>
              <w:t>tandards</w:t>
            </w:r>
            <w:r w:rsidR="0043360A" w:rsidRPr="00050DBC">
              <w:rPr>
                <w:rStyle w:val="A5"/>
                <w:rFonts w:asciiTheme="minorHAnsi" w:hAnsiTheme="minorHAnsi" w:cstheme="minorHAnsi"/>
                <w:sz w:val="20"/>
                <w:szCs w:val="20"/>
              </w:rPr>
              <w:t xml:space="preserve"> </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520EBC28"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077DFDAC" w14:textId="77777777" w:rsidTr="0044373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tcPr>
          <w:p w14:paraId="5349752D" w14:textId="77777777" w:rsidR="0043360A" w:rsidRPr="00050DBC" w:rsidRDefault="0043360A" w:rsidP="008013B6">
            <w:pPr>
              <w:rPr>
                <w:sz w:val="20"/>
                <w:szCs w:val="20"/>
              </w:rPr>
            </w:pPr>
          </w:p>
        </w:tc>
        <w:tc>
          <w:tcPr>
            <w:tcW w:w="2268" w:type="dxa"/>
            <w:hideMark/>
          </w:tcPr>
          <w:p w14:paraId="4421306A" w14:textId="77777777" w:rsidR="0043360A" w:rsidRPr="00050DBC"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T</w:t>
            </w:r>
            <w:r w:rsidRPr="00443738">
              <w:rPr>
                <w:rStyle w:val="A5"/>
                <w:rFonts w:asciiTheme="minorHAnsi" w:hAnsiTheme="minorHAnsi" w:cstheme="minorHAnsi"/>
                <w:bCs/>
                <w:sz w:val="20"/>
                <w:szCs w:val="20"/>
              </w:rPr>
              <w:t>ransformation</w:t>
            </w:r>
          </w:p>
        </w:tc>
        <w:tc>
          <w:tcPr>
            <w:tcW w:w="2471" w:type="dxa"/>
          </w:tcPr>
          <w:p w14:paraId="484B3005"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18962DD1" w14:textId="77777777" w:rsidTr="00443738">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tcPr>
          <w:p w14:paraId="07795866" w14:textId="77777777" w:rsidR="0043360A" w:rsidRPr="00050DBC" w:rsidRDefault="0043360A" w:rsidP="008013B6">
            <w:pPr>
              <w:rPr>
                <w:sz w:val="20"/>
                <w:szCs w:val="20"/>
              </w:rPr>
            </w:pP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540FB46" w14:textId="77777777" w:rsidR="0043360A" w:rsidRPr="00050DBC" w:rsidRDefault="00443738" w:rsidP="00443738">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E</w:t>
            </w:r>
            <w:r w:rsidRPr="00443738">
              <w:rPr>
                <w:rStyle w:val="A5"/>
                <w:rFonts w:asciiTheme="minorHAnsi" w:hAnsiTheme="minorHAnsi" w:cstheme="minorHAnsi"/>
                <w:bCs/>
                <w:sz w:val="20"/>
                <w:szCs w:val="20"/>
              </w:rPr>
              <w:t>nvironments</w:t>
            </w:r>
            <w:r w:rsidR="0043360A" w:rsidRPr="00050DBC">
              <w:rPr>
                <w:rStyle w:val="A5"/>
                <w:rFonts w:asciiTheme="minorHAnsi" w:hAnsiTheme="minorHAnsi" w:cstheme="minorHAnsi"/>
                <w:sz w:val="20"/>
                <w:szCs w:val="20"/>
              </w:rPr>
              <w:t xml:space="preserve"> </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38F48B71"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75CCF76D"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4687481" w14:textId="77777777" w:rsidR="0043360A" w:rsidRPr="00050DBC" w:rsidRDefault="0043360A" w:rsidP="008013B6">
            <w:pPr>
              <w:rPr>
                <w:sz w:val="20"/>
                <w:szCs w:val="20"/>
              </w:rPr>
            </w:pPr>
          </w:p>
        </w:tc>
        <w:tc>
          <w:tcPr>
            <w:tcW w:w="2268" w:type="dxa"/>
            <w:hideMark/>
          </w:tcPr>
          <w:p w14:paraId="464A60F0" w14:textId="77777777" w:rsidR="0043360A"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Pr>
                <w:rStyle w:val="A5"/>
                <w:rFonts w:asciiTheme="minorHAnsi" w:hAnsiTheme="minorHAnsi" w:cstheme="minorHAnsi"/>
                <w:b/>
                <w:bCs/>
                <w:sz w:val="20"/>
                <w:szCs w:val="20"/>
              </w:rPr>
              <w:t>P</w:t>
            </w:r>
            <w:r>
              <w:rPr>
                <w:rStyle w:val="A5"/>
                <w:rFonts w:asciiTheme="minorHAnsi" w:hAnsiTheme="minorHAnsi" w:cstheme="minorHAnsi"/>
                <w:bCs/>
                <w:sz w:val="20"/>
                <w:szCs w:val="20"/>
              </w:rPr>
              <w:t>atient Involvement</w:t>
            </w:r>
          </w:p>
        </w:tc>
        <w:tc>
          <w:tcPr>
            <w:tcW w:w="2471" w:type="dxa"/>
          </w:tcPr>
          <w:p w14:paraId="2E75BC7E"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3360A" w:rsidRPr="00050DBC" w14:paraId="09BECCF5"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533CFFA4" w14:textId="77777777" w:rsidR="0043360A" w:rsidRPr="00443738" w:rsidRDefault="0043360A" w:rsidP="008013B6">
            <w:pPr>
              <w:rPr>
                <w:b w:val="0"/>
                <w:sz w:val="20"/>
                <w:szCs w:val="20"/>
              </w:rPr>
            </w:pPr>
          </w:p>
        </w:tc>
        <w:tc>
          <w:tcPr>
            <w:tcW w:w="2268" w:type="dxa"/>
          </w:tcPr>
          <w:p w14:paraId="662817E8" w14:textId="77777777" w:rsidR="0043360A"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bCs/>
                <w:sz w:val="20"/>
                <w:szCs w:val="20"/>
              </w:rPr>
            </w:pPr>
            <w:r w:rsidRPr="00443738">
              <w:rPr>
                <w:rStyle w:val="A5"/>
                <w:rFonts w:asciiTheme="minorHAnsi" w:hAnsiTheme="minorHAnsi" w:cstheme="minorHAnsi"/>
                <w:sz w:val="20"/>
                <w:szCs w:val="20"/>
              </w:rPr>
              <w:t xml:space="preserve">Well </w:t>
            </w:r>
            <w:r w:rsidRPr="00443738">
              <w:rPr>
                <w:rStyle w:val="A5"/>
                <w:rFonts w:asciiTheme="minorHAnsi" w:hAnsiTheme="minorHAnsi" w:cstheme="minorHAnsi"/>
                <w:b/>
                <w:sz w:val="20"/>
                <w:szCs w:val="20"/>
              </w:rPr>
              <w:t>G</w:t>
            </w:r>
            <w:r w:rsidRPr="00443738">
              <w:rPr>
                <w:rStyle w:val="A5"/>
                <w:rFonts w:asciiTheme="minorHAnsi" w:hAnsiTheme="minorHAnsi" w:cstheme="minorHAnsi"/>
                <w:sz w:val="20"/>
                <w:szCs w:val="20"/>
              </w:rPr>
              <w:t>overned</w:t>
            </w:r>
          </w:p>
        </w:tc>
        <w:tc>
          <w:tcPr>
            <w:tcW w:w="2471" w:type="dxa"/>
          </w:tcPr>
          <w:p w14:paraId="2B2A1D9D" w14:textId="77777777" w:rsidR="0043360A"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1F1E8B" w:rsidRPr="00050DBC" w14:paraId="12C88204"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7C979F7" w14:textId="77777777" w:rsidR="001F1E8B" w:rsidRPr="00050DBC" w:rsidRDefault="001F1E8B" w:rsidP="008013B6">
            <w:pPr>
              <w:rPr>
                <w:sz w:val="20"/>
                <w:szCs w:val="20"/>
              </w:rPr>
            </w:pPr>
          </w:p>
        </w:tc>
        <w:tc>
          <w:tcPr>
            <w:tcW w:w="2268" w:type="dxa"/>
          </w:tcPr>
          <w:p w14:paraId="0758E3F5" w14:textId="77777777" w:rsidR="001F1E8B"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sz w:val="20"/>
                <w:szCs w:val="20"/>
              </w:rPr>
              <w:t xml:space="preserve">Single Patient </w:t>
            </w:r>
            <w:r w:rsidRPr="00443738">
              <w:rPr>
                <w:rStyle w:val="A5"/>
                <w:rFonts w:asciiTheme="minorHAnsi" w:hAnsiTheme="minorHAnsi" w:cstheme="minorHAnsi"/>
                <w:b/>
                <w:sz w:val="20"/>
                <w:szCs w:val="20"/>
              </w:rPr>
              <w:t>R</w:t>
            </w:r>
            <w:r w:rsidRPr="00443738">
              <w:rPr>
                <w:rStyle w:val="A5"/>
                <w:rFonts w:asciiTheme="minorHAnsi" w:hAnsiTheme="minorHAnsi" w:cstheme="minorHAnsi"/>
                <w:sz w:val="20"/>
                <w:szCs w:val="20"/>
              </w:rPr>
              <w:t>ecord</w:t>
            </w:r>
          </w:p>
        </w:tc>
        <w:tc>
          <w:tcPr>
            <w:tcW w:w="2471" w:type="dxa"/>
          </w:tcPr>
          <w:p w14:paraId="782DDEC7" w14:textId="77777777" w:rsidR="001F1E8B" w:rsidRPr="00050DBC" w:rsidRDefault="001F1E8B"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1F1E8B" w:rsidRPr="00050DBC" w14:paraId="263D3FA7"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31308189" w14:textId="77777777" w:rsidR="001F1E8B" w:rsidRPr="00050DBC" w:rsidRDefault="001F1E8B" w:rsidP="008013B6">
            <w:pPr>
              <w:rPr>
                <w:sz w:val="20"/>
                <w:szCs w:val="20"/>
              </w:rPr>
            </w:pPr>
          </w:p>
        </w:tc>
        <w:tc>
          <w:tcPr>
            <w:tcW w:w="2268" w:type="dxa"/>
          </w:tcPr>
          <w:p w14:paraId="2CE63372" w14:textId="77777777" w:rsidR="001F1E8B"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E</w:t>
            </w:r>
            <w:r w:rsidRPr="00443738">
              <w:rPr>
                <w:rStyle w:val="A5"/>
                <w:rFonts w:asciiTheme="minorHAnsi" w:hAnsiTheme="minorHAnsi" w:cstheme="minorHAnsi"/>
                <w:sz w:val="20"/>
                <w:szCs w:val="20"/>
              </w:rPr>
              <w:t>quality, Leadership, Culture</w:t>
            </w:r>
          </w:p>
        </w:tc>
        <w:tc>
          <w:tcPr>
            <w:tcW w:w="2471" w:type="dxa"/>
          </w:tcPr>
          <w:p w14:paraId="16506B9E" w14:textId="77777777" w:rsidR="001F1E8B" w:rsidRPr="00050DBC" w:rsidRDefault="001F1E8B" w:rsidP="008013B6">
            <w:pPr>
              <w:cnfStyle w:val="000000000000" w:firstRow="0" w:lastRow="0" w:firstColumn="0" w:lastColumn="0" w:oddVBand="0" w:evenVBand="0" w:oddHBand="0" w:evenHBand="0" w:firstRowFirstColumn="0" w:firstRowLastColumn="0" w:lastRowFirstColumn="0" w:lastRowLastColumn="0"/>
              <w:rPr>
                <w:sz w:val="20"/>
                <w:szCs w:val="20"/>
              </w:rPr>
            </w:pPr>
          </w:p>
        </w:tc>
      </w:tr>
      <w:tr w:rsidR="001F1E8B" w:rsidRPr="00050DBC" w14:paraId="55260E77"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16BFA670" w14:textId="77777777" w:rsidR="001F1E8B" w:rsidRPr="00050DBC" w:rsidRDefault="001F1E8B" w:rsidP="008013B6">
            <w:pPr>
              <w:rPr>
                <w:sz w:val="20"/>
                <w:szCs w:val="20"/>
              </w:rPr>
            </w:pPr>
          </w:p>
        </w:tc>
        <w:tc>
          <w:tcPr>
            <w:tcW w:w="2268" w:type="dxa"/>
          </w:tcPr>
          <w:p w14:paraId="5160D613" w14:textId="77777777" w:rsidR="001F1E8B" w:rsidRPr="00443738" w:rsidRDefault="00443738" w:rsidP="008013B6">
            <w:pPr>
              <w:pStyle w:val="Default"/>
              <w:cnfStyle w:val="000000100000" w:firstRow="0" w:lastRow="0" w:firstColumn="0" w:lastColumn="0" w:oddVBand="0" w:evenVBand="0" w:oddHBand="1"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A</w:t>
            </w:r>
            <w:r w:rsidRPr="00443738">
              <w:rPr>
                <w:rStyle w:val="A5"/>
                <w:rFonts w:asciiTheme="minorHAnsi" w:hAnsiTheme="minorHAnsi" w:cstheme="minorHAnsi"/>
                <w:sz w:val="20"/>
                <w:szCs w:val="20"/>
              </w:rPr>
              <w:t>ccess to Services</w:t>
            </w:r>
          </w:p>
        </w:tc>
        <w:tc>
          <w:tcPr>
            <w:tcW w:w="2471" w:type="dxa"/>
          </w:tcPr>
          <w:p w14:paraId="0B018A5F" w14:textId="77777777" w:rsidR="001F1E8B" w:rsidRPr="00050DBC" w:rsidRDefault="001F1E8B" w:rsidP="008013B6">
            <w:pPr>
              <w:cnfStyle w:val="000000100000" w:firstRow="0" w:lastRow="0" w:firstColumn="0" w:lastColumn="0" w:oddVBand="0" w:evenVBand="0" w:oddHBand="1" w:evenHBand="0" w:firstRowFirstColumn="0" w:firstRowLastColumn="0" w:lastRowFirstColumn="0" w:lastRowLastColumn="0"/>
              <w:rPr>
                <w:sz w:val="20"/>
                <w:szCs w:val="20"/>
              </w:rPr>
            </w:pPr>
          </w:p>
        </w:tc>
      </w:tr>
      <w:tr w:rsidR="00443738" w:rsidRPr="00050DBC" w14:paraId="343E3EE8" w14:textId="77777777" w:rsidTr="00443738">
        <w:tc>
          <w:tcPr>
            <w:cnfStyle w:val="001000000000" w:firstRow="0" w:lastRow="0" w:firstColumn="1" w:lastColumn="0" w:oddVBand="0" w:evenVBand="0" w:oddHBand="0" w:evenHBand="0" w:firstRowFirstColumn="0" w:firstRowLastColumn="0" w:lastRowFirstColumn="0" w:lastRowLastColumn="0"/>
            <w:tcW w:w="4395" w:type="dxa"/>
          </w:tcPr>
          <w:p w14:paraId="3005CEA9" w14:textId="77777777" w:rsidR="00443738" w:rsidRPr="00050DBC" w:rsidRDefault="00443738" w:rsidP="008013B6">
            <w:pPr>
              <w:rPr>
                <w:sz w:val="20"/>
                <w:szCs w:val="20"/>
              </w:rPr>
            </w:pPr>
          </w:p>
        </w:tc>
        <w:tc>
          <w:tcPr>
            <w:tcW w:w="2268" w:type="dxa"/>
          </w:tcPr>
          <w:p w14:paraId="1F0032C3" w14:textId="77777777" w:rsidR="00BD3855"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b/>
                <w:sz w:val="20"/>
                <w:szCs w:val="20"/>
              </w:rPr>
              <w:t>T</w:t>
            </w:r>
            <w:r w:rsidRPr="00443738">
              <w:rPr>
                <w:rStyle w:val="A5"/>
                <w:rFonts w:asciiTheme="minorHAnsi" w:hAnsiTheme="minorHAnsi" w:cstheme="minorHAnsi"/>
                <w:sz w:val="20"/>
                <w:szCs w:val="20"/>
              </w:rPr>
              <w:t>rustwide</w:t>
            </w:r>
          </w:p>
          <w:p w14:paraId="69D604A8" w14:textId="4EF16D70" w:rsidR="00443738" w:rsidRPr="00443738" w:rsidRDefault="00443738" w:rsidP="008013B6">
            <w:pPr>
              <w:pStyle w:val="Default"/>
              <w:cnfStyle w:val="000000000000" w:firstRow="0" w:lastRow="0" w:firstColumn="0" w:lastColumn="0" w:oddVBand="0" w:evenVBand="0" w:oddHBand="0" w:evenHBand="0" w:firstRowFirstColumn="0" w:firstRowLastColumn="0" w:lastRowFirstColumn="0" w:lastRowLastColumn="0"/>
              <w:rPr>
                <w:rStyle w:val="A5"/>
                <w:rFonts w:asciiTheme="minorHAnsi" w:hAnsiTheme="minorHAnsi" w:cstheme="minorHAnsi"/>
                <w:sz w:val="20"/>
                <w:szCs w:val="20"/>
              </w:rPr>
            </w:pPr>
            <w:r w:rsidRPr="00443738">
              <w:rPr>
                <w:rStyle w:val="A5"/>
                <w:rFonts w:asciiTheme="minorHAnsi" w:hAnsiTheme="minorHAnsi" w:cstheme="minorHAnsi"/>
                <w:sz w:val="20"/>
                <w:szCs w:val="20"/>
              </w:rPr>
              <w:t xml:space="preserve"> Quality Improvement</w:t>
            </w:r>
          </w:p>
        </w:tc>
        <w:tc>
          <w:tcPr>
            <w:tcW w:w="2471" w:type="dxa"/>
          </w:tcPr>
          <w:p w14:paraId="527D8403" w14:textId="77777777" w:rsidR="00443738" w:rsidRPr="00050DBC" w:rsidRDefault="00391D55"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43360A" w:rsidRPr="00050DBC" w14:paraId="05105C0B" w14:textId="77777777" w:rsidTr="0044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53001FA0" w14:textId="77777777" w:rsidR="0043360A" w:rsidRPr="00050DBC" w:rsidRDefault="0043360A" w:rsidP="008013B6">
            <w:pPr>
              <w:rPr>
                <w:sz w:val="20"/>
                <w:szCs w:val="20"/>
              </w:rPr>
            </w:pPr>
            <w:r w:rsidRPr="00050DBC">
              <w:rPr>
                <w:sz w:val="20"/>
                <w:szCs w:val="20"/>
              </w:rPr>
              <w:t>Organisational Risk Register considerations:</w:t>
            </w: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6CA12B1"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r w:rsidRPr="00050DBC">
              <w:rPr>
                <w:sz w:val="20"/>
                <w:szCs w:val="20"/>
              </w:rPr>
              <w:t>List risk number and title of risk</w:t>
            </w:r>
          </w:p>
        </w:tc>
        <w:tc>
          <w:tcPr>
            <w:tcW w:w="2471" w:type="dxa"/>
            <w:tcBorders>
              <w:top w:val="single" w:sz="6" w:space="0" w:color="FFFFFF" w:themeColor="background1"/>
              <w:left w:val="single" w:sz="6" w:space="0" w:color="FFFFFF" w:themeColor="background1"/>
              <w:bottom w:val="single" w:sz="6" w:space="0" w:color="FFFFFF" w:themeColor="background1"/>
            </w:tcBorders>
          </w:tcPr>
          <w:p w14:paraId="513BFAC6" w14:textId="77777777" w:rsidR="0043360A" w:rsidRPr="00050DBC" w:rsidRDefault="002475A8"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5E1097" w:rsidRPr="00050DBC" w14:paraId="036DB602" w14:textId="77777777" w:rsidTr="00FF0EF4">
        <w:tc>
          <w:tcPr>
            <w:cnfStyle w:val="001000000000" w:firstRow="0" w:lastRow="0" w:firstColumn="1" w:lastColumn="0" w:oddVBand="0" w:evenVBand="0" w:oddHBand="0" w:evenHBand="0" w:firstRowFirstColumn="0" w:firstRowLastColumn="0" w:lastRowFirstColumn="0" w:lastRowLastColumn="0"/>
            <w:tcW w:w="4395" w:type="dxa"/>
          </w:tcPr>
          <w:p w14:paraId="5FA7CADD" w14:textId="7DD25997" w:rsidR="005E1097" w:rsidRPr="00050DBC" w:rsidRDefault="005E1097" w:rsidP="001F1E8B">
            <w:pPr>
              <w:rPr>
                <w:sz w:val="20"/>
                <w:szCs w:val="20"/>
              </w:rPr>
            </w:pPr>
            <w:r>
              <w:rPr>
                <w:sz w:val="20"/>
                <w:szCs w:val="20"/>
              </w:rPr>
              <w:t xml:space="preserve">Is the decision required consistent with </w:t>
            </w:r>
            <w:r w:rsidR="001F1E8B">
              <w:rPr>
                <w:sz w:val="20"/>
                <w:szCs w:val="20"/>
              </w:rPr>
              <w:t>LPT</w:t>
            </w:r>
            <w:r>
              <w:rPr>
                <w:sz w:val="20"/>
                <w:szCs w:val="20"/>
              </w:rPr>
              <w:t xml:space="preserve">’s risk </w:t>
            </w:r>
            <w:r w:rsidR="00BD5037">
              <w:rPr>
                <w:sz w:val="20"/>
                <w:szCs w:val="20"/>
              </w:rPr>
              <w:t>appetite?</w:t>
            </w:r>
          </w:p>
        </w:tc>
        <w:tc>
          <w:tcPr>
            <w:tcW w:w="4739" w:type="dxa"/>
            <w:gridSpan w:val="2"/>
          </w:tcPr>
          <w:p w14:paraId="431E7B51" w14:textId="77777777" w:rsidR="005E1097" w:rsidRPr="00050DBC" w:rsidRDefault="002475A8"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3360A" w:rsidRPr="00050DBC" w14:paraId="6EB37349"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hideMark/>
          </w:tcPr>
          <w:p w14:paraId="22EC2D91" w14:textId="77777777" w:rsidR="0043360A" w:rsidRPr="00050DBC" w:rsidRDefault="0043360A" w:rsidP="008013B6">
            <w:pPr>
              <w:rPr>
                <w:sz w:val="20"/>
                <w:szCs w:val="20"/>
              </w:rPr>
            </w:pPr>
            <w:r w:rsidRPr="00050DBC">
              <w:rPr>
                <w:sz w:val="20"/>
                <w:szCs w:val="20"/>
              </w:rPr>
              <w:t>False and misleading information (FOMI) considerations:</w:t>
            </w:r>
          </w:p>
        </w:tc>
        <w:tc>
          <w:tcPr>
            <w:tcW w:w="4739" w:type="dxa"/>
            <w:gridSpan w:val="2"/>
          </w:tcPr>
          <w:p w14:paraId="599CC80D" w14:textId="77777777" w:rsidR="0043360A" w:rsidRPr="00050DBC" w:rsidRDefault="002475A8" w:rsidP="008013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8013B6" w:rsidRPr="00050DBC" w14:paraId="4D608EE9" w14:textId="77777777" w:rsidTr="00FF0EF4">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tcPr>
          <w:p w14:paraId="755AAC2E" w14:textId="77777777" w:rsidR="008013B6" w:rsidRPr="00050DBC" w:rsidRDefault="008013B6" w:rsidP="008013B6">
            <w:pPr>
              <w:rPr>
                <w:sz w:val="20"/>
                <w:szCs w:val="20"/>
              </w:rPr>
            </w:pPr>
            <w:r w:rsidRPr="008013B6">
              <w:rPr>
                <w:sz w:val="20"/>
                <w:szCs w:val="20"/>
              </w:rPr>
              <w:t>Positive confirmation that the content does not risk the safety of patients or the public</w:t>
            </w:r>
          </w:p>
        </w:tc>
        <w:tc>
          <w:tcPr>
            <w:tcW w:w="4739" w:type="dxa"/>
            <w:gridSpan w:val="2"/>
            <w:tcBorders>
              <w:top w:val="single" w:sz="6" w:space="0" w:color="FFFFFF" w:themeColor="background1"/>
              <w:left w:val="single" w:sz="6" w:space="0" w:color="FFFFFF" w:themeColor="background1"/>
            </w:tcBorders>
          </w:tcPr>
          <w:p w14:paraId="328C59DF" w14:textId="77777777" w:rsidR="008013B6" w:rsidRPr="00050DBC" w:rsidRDefault="002475A8" w:rsidP="008013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3360A" w:rsidRPr="00050DBC" w14:paraId="766ACF40" w14:textId="77777777" w:rsidTr="00FF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FFFFFF" w:themeColor="background1"/>
            </w:tcBorders>
            <w:hideMark/>
          </w:tcPr>
          <w:p w14:paraId="0C5764C1" w14:textId="77777777" w:rsidR="0043360A" w:rsidRPr="00050DBC" w:rsidRDefault="0043360A" w:rsidP="008013B6">
            <w:pPr>
              <w:rPr>
                <w:sz w:val="20"/>
                <w:szCs w:val="20"/>
              </w:rPr>
            </w:pPr>
            <w:r w:rsidRPr="00050DBC">
              <w:rPr>
                <w:sz w:val="20"/>
                <w:szCs w:val="20"/>
              </w:rPr>
              <w:t>Equality considerations:</w:t>
            </w:r>
          </w:p>
        </w:tc>
        <w:tc>
          <w:tcPr>
            <w:tcW w:w="4739" w:type="dxa"/>
            <w:gridSpan w:val="2"/>
            <w:tcBorders>
              <w:top w:val="single" w:sz="6" w:space="0" w:color="FFFFFF" w:themeColor="background1"/>
              <w:left w:val="single" w:sz="6" w:space="0" w:color="FFFFFF" w:themeColor="background1"/>
            </w:tcBorders>
          </w:tcPr>
          <w:p w14:paraId="0FC0E701" w14:textId="77777777" w:rsidR="0043360A" w:rsidRPr="00050DBC" w:rsidRDefault="0043360A" w:rsidP="008013B6">
            <w:pPr>
              <w:cnfStyle w:val="000000100000" w:firstRow="0" w:lastRow="0" w:firstColumn="0" w:lastColumn="0" w:oddVBand="0" w:evenVBand="0" w:oddHBand="1" w:evenHBand="0" w:firstRowFirstColumn="0" w:firstRowLastColumn="0" w:lastRowFirstColumn="0" w:lastRowLastColumn="0"/>
              <w:rPr>
                <w:sz w:val="20"/>
                <w:szCs w:val="20"/>
              </w:rPr>
            </w:pPr>
          </w:p>
        </w:tc>
      </w:tr>
    </w:tbl>
    <w:p w14:paraId="142A3CA3" w14:textId="1F577D07" w:rsidR="009B6427" w:rsidRPr="00936777" w:rsidRDefault="0043360A" w:rsidP="00936777">
      <w:pPr>
        <w:rPr>
          <w:i/>
        </w:rPr>
      </w:pPr>
      <w:r w:rsidRPr="0053357B">
        <w:rPr>
          <w:i/>
        </w:rPr>
        <w:t xml:space="preserve">Version </w:t>
      </w:r>
      <w:r w:rsidR="001F1E8B">
        <w:rPr>
          <w:i/>
        </w:rPr>
        <w:t>1</w:t>
      </w:r>
      <w:r w:rsidRPr="0053357B">
        <w:rPr>
          <w:i/>
        </w:rPr>
        <w:t>.0</w:t>
      </w:r>
      <w:r w:rsidR="009B6427" w:rsidRPr="009B6427">
        <w:rPr>
          <w:rFonts w:ascii="Calibri" w:eastAsia="Calibri" w:hAnsi="Calibri" w:cs="Times New Roman"/>
          <w:b/>
          <w:bCs/>
          <w:noProof/>
          <w:sz w:val="24"/>
          <w:szCs w:val="24"/>
          <w:lang w:eastAsia="en-GB"/>
        </w:rPr>
        <mc:AlternateContent>
          <mc:Choice Requires="wps">
            <w:drawing>
              <wp:anchor distT="45720" distB="45720" distL="114300" distR="114300" simplePos="0" relativeHeight="251712512" behindDoc="1" locked="0" layoutInCell="1" allowOverlap="1" wp14:anchorId="171FD374" wp14:editId="3AFFC0D0">
                <wp:simplePos x="0" y="0"/>
                <wp:positionH relativeFrom="column">
                  <wp:posOffset>-3175</wp:posOffset>
                </wp:positionH>
                <wp:positionV relativeFrom="paragraph">
                  <wp:posOffset>9525</wp:posOffset>
                </wp:positionV>
                <wp:extent cx="1031240"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76225"/>
                        </a:xfrm>
                        <a:prstGeom prst="rect">
                          <a:avLst/>
                        </a:prstGeom>
                        <a:solidFill>
                          <a:srgbClr val="FFFFFF"/>
                        </a:solidFill>
                        <a:ln w="9525">
                          <a:noFill/>
                          <a:miter lim="800000"/>
                          <a:headEnd/>
                          <a:tailEnd/>
                        </a:ln>
                      </wps:spPr>
                      <wps:txbx>
                        <w:txbxContent>
                          <w:p w14:paraId="4D57F5AC" w14:textId="6CE73E63" w:rsidR="007344B6" w:rsidRPr="009B6427" w:rsidRDefault="007344B6" w:rsidP="009B6427">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D374" id="_x0000_t202" coordsize="21600,21600" o:spt="202" path="m,l,21600r21600,l21600,xe">
                <v:stroke joinstyle="miter"/>
                <v:path gradientshapeok="t" o:connecttype="rect"/>
              </v:shapetype>
              <v:shape id="Text Box 2" o:spid="_x0000_s1026" type="#_x0000_t202" style="position:absolute;margin-left:-.25pt;margin-top:.75pt;width:81.2pt;height:21.7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" stroked="f">
                <v:textbox>
                  <w:txbxContent>
                    <w:p w14:paraId="4D57F5AC" w14:textId="6CE73E63" w:rsidR="007344B6" w:rsidRPr="009B6427" w:rsidRDefault="007344B6" w:rsidP="009B6427">
                      <w:pPr>
                        <w:rPr>
                          <w:rFonts w:ascii="Arial" w:hAnsi="Arial" w:cs="Arial"/>
                          <w:b/>
                          <w:bCs/>
                          <w:sz w:val="24"/>
                          <w:szCs w:val="24"/>
                        </w:rPr>
                      </w:pPr>
                    </w:p>
                  </w:txbxContent>
                </v:textbox>
              </v:shape>
            </w:pict>
          </mc:Fallback>
        </mc:AlternateContent>
      </w:r>
    </w:p>
    <w:sectPr w:rsidR="009B6427" w:rsidRPr="00936777" w:rsidSect="005C3B0F">
      <w:footerReference w:type="default" r:id="rId10"/>
      <w:pgSz w:w="11910" w:h="16840"/>
      <w:pgMar w:top="601" w:right="624" w:bottom="993" w:left="919" w:header="72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7031" w14:textId="77777777" w:rsidR="00651781" w:rsidRDefault="00651781">
      <w:pPr>
        <w:spacing w:after="0" w:line="240" w:lineRule="auto"/>
      </w:pPr>
      <w:r>
        <w:separator/>
      </w:r>
    </w:p>
  </w:endnote>
  <w:endnote w:type="continuationSeparator" w:id="0">
    <w:p w14:paraId="1F63E42D" w14:textId="77777777" w:rsidR="00651781" w:rsidRDefault="0065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3810"/>
      <w:docPartObj>
        <w:docPartGallery w:val="Page Numbers (Bottom of Page)"/>
        <w:docPartUnique/>
      </w:docPartObj>
    </w:sdtPr>
    <w:sdtEndPr>
      <w:rPr>
        <w:noProof/>
      </w:rPr>
    </w:sdtEndPr>
    <w:sdtContent>
      <w:p w14:paraId="37E5B358" w14:textId="77777777" w:rsidR="007344B6" w:rsidRDefault="007344B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021E189B" w14:textId="77777777" w:rsidR="007344B6" w:rsidRDefault="007344B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1612" w14:textId="77777777" w:rsidR="00651781" w:rsidRDefault="00651781">
      <w:pPr>
        <w:spacing w:after="0" w:line="240" w:lineRule="auto"/>
      </w:pPr>
      <w:r>
        <w:separator/>
      </w:r>
    </w:p>
  </w:footnote>
  <w:footnote w:type="continuationSeparator" w:id="0">
    <w:p w14:paraId="47FE0191" w14:textId="77777777" w:rsidR="00651781" w:rsidRDefault="00651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514"/>
    <w:multiLevelType w:val="hybridMultilevel"/>
    <w:tmpl w:val="6E96E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24540F"/>
    <w:multiLevelType w:val="hybridMultilevel"/>
    <w:tmpl w:val="45066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2562F1"/>
    <w:multiLevelType w:val="hybridMultilevel"/>
    <w:tmpl w:val="19D21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FE2600"/>
    <w:multiLevelType w:val="hybridMultilevel"/>
    <w:tmpl w:val="1958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PHE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F17F45"/>
    <w:multiLevelType w:val="multilevel"/>
    <w:tmpl w:val="97FC1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D51862"/>
    <w:multiLevelType w:val="hybridMultilevel"/>
    <w:tmpl w:val="9974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05089"/>
    <w:multiLevelType w:val="hybridMultilevel"/>
    <w:tmpl w:val="CC682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F0648C"/>
    <w:multiLevelType w:val="hybridMultilevel"/>
    <w:tmpl w:val="03EE17B6"/>
    <w:lvl w:ilvl="0" w:tplc="29420C3E">
      <w:start w:val="1"/>
      <w:numFmt w:val="bullet"/>
      <w:pStyle w:val="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E4D16"/>
    <w:multiLevelType w:val="hybridMultilevel"/>
    <w:tmpl w:val="FA88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92B36"/>
    <w:multiLevelType w:val="hybridMultilevel"/>
    <w:tmpl w:val="0F06A3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B810714"/>
    <w:multiLevelType w:val="hybridMultilevel"/>
    <w:tmpl w:val="D834E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932279"/>
    <w:multiLevelType w:val="hybridMultilevel"/>
    <w:tmpl w:val="0638F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A502CAD"/>
    <w:multiLevelType w:val="hybridMultilevel"/>
    <w:tmpl w:val="390C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201728">
    <w:abstractNumId w:val="0"/>
  </w:num>
  <w:num w:numId="2" w16cid:durableId="496847515">
    <w:abstractNumId w:val="2"/>
  </w:num>
  <w:num w:numId="3" w16cid:durableId="1350788443">
    <w:abstractNumId w:val="13"/>
  </w:num>
  <w:num w:numId="4" w16cid:durableId="595401841">
    <w:abstractNumId w:val="11"/>
  </w:num>
  <w:num w:numId="5" w16cid:durableId="395126825">
    <w:abstractNumId w:val="9"/>
  </w:num>
  <w:num w:numId="6" w16cid:durableId="856236406">
    <w:abstractNumId w:val="3"/>
  </w:num>
  <w:num w:numId="7" w16cid:durableId="1720587925">
    <w:abstractNumId w:val="10"/>
  </w:num>
  <w:num w:numId="8" w16cid:durableId="1622684078">
    <w:abstractNumId w:val="1"/>
  </w:num>
  <w:num w:numId="9" w16cid:durableId="1214580997">
    <w:abstractNumId w:val="5"/>
  </w:num>
  <w:num w:numId="10" w16cid:durableId="1618104876">
    <w:abstractNumId w:val="4"/>
  </w:num>
  <w:num w:numId="11" w16cid:durableId="1798404371">
    <w:abstractNumId w:val="8"/>
  </w:num>
  <w:num w:numId="12" w16cid:durableId="571742126">
    <w:abstractNumId w:val="7"/>
  </w:num>
  <w:num w:numId="13" w16cid:durableId="1989744525">
    <w:abstractNumId w:val="12"/>
  </w:num>
  <w:num w:numId="14" w16cid:durableId="14866258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0A"/>
    <w:rsid w:val="0000638B"/>
    <w:rsid w:val="00016DFC"/>
    <w:rsid w:val="000274AC"/>
    <w:rsid w:val="0003576F"/>
    <w:rsid w:val="00044BB8"/>
    <w:rsid w:val="00051639"/>
    <w:rsid w:val="000550D7"/>
    <w:rsid w:val="00055200"/>
    <w:rsid w:val="00067A61"/>
    <w:rsid w:val="0007304B"/>
    <w:rsid w:val="00080C8F"/>
    <w:rsid w:val="0008575C"/>
    <w:rsid w:val="000907FF"/>
    <w:rsid w:val="000915F3"/>
    <w:rsid w:val="000B1D72"/>
    <w:rsid w:val="000C23C9"/>
    <w:rsid w:val="000D14CA"/>
    <w:rsid w:val="000E20E0"/>
    <w:rsid w:val="000E2B82"/>
    <w:rsid w:val="000E2E74"/>
    <w:rsid w:val="000E46B7"/>
    <w:rsid w:val="000E645A"/>
    <w:rsid w:val="00104613"/>
    <w:rsid w:val="001150E1"/>
    <w:rsid w:val="00116D47"/>
    <w:rsid w:val="00123925"/>
    <w:rsid w:val="00124CBA"/>
    <w:rsid w:val="00133294"/>
    <w:rsid w:val="00143B3F"/>
    <w:rsid w:val="00152435"/>
    <w:rsid w:val="001527C1"/>
    <w:rsid w:val="001533B5"/>
    <w:rsid w:val="001634C5"/>
    <w:rsid w:val="0017694F"/>
    <w:rsid w:val="00187229"/>
    <w:rsid w:val="00193A74"/>
    <w:rsid w:val="00195864"/>
    <w:rsid w:val="001A042D"/>
    <w:rsid w:val="001A0F72"/>
    <w:rsid w:val="001A2241"/>
    <w:rsid w:val="001B45A2"/>
    <w:rsid w:val="001B5E38"/>
    <w:rsid w:val="001C475B"/>
    <w:rsid w:val="001D318C"/>
    <w:rsid w:val="001D44A4"/>
    <w:rsid w:val="001D7B29"/>
    <w:rsid w:val="001E2821"/>
    <w:rsid w:val="001F1E8B"/>
    <w:rsid w:val="001F69F3"/>
    <w:rsid w:val="00200E99"/>
    <w:rsid w:val="002038FA"/>
    <w:rsid w:val="00205114"/>
    <w:rsid w:val="00214EED"/>
    <w:rsid w:val="00215B9C"/>
    <w:rsid w:val="00216C26"/>
    <w:rsid w:val="002475A8"/>
    <w:rsid w:val="00257447"/>
    <w:rsid w:val="00271EBD"/>
    <w:rsid w:val="00273B95"/>
    <w:rsid w:val="00285F76"/>
    <w:rsid w:val="00294CF5"/>
    <w:rsid w:val="00297698"/>
    <w:rsid w:val="002A75D3"/>
    <w:rsid w:val="002B52DA"/>
    <w:rsid w:val="002B6695"/>
    <w:rsid w:val="002E4C0A"/>
    <w:rsid w:val="003022E5"/>
    <w:rsid w:val="00302E4A"/>
    <w:rsid w:val="00306DC5"/>
    <w:rsid w:val="003077A3"/>
    <w:rsid w:val="0032340A"/>
    <w:rsid w:val="00352195"/>
    <w:rsid w:val="00364412"/>
    <w:rsid w:val="0036455C"/>
    <w:rsid w:val="003762AB"/>
    <w:rsid w:val="00391D55"/>
    <w:rsid w:val="00393409"/>
    <w:rsid w:val="003A0C7F"/>
    <w:rsid w:val="003A1CEE"/>
    <w:rsid w:val="003A78AD"/>
    <w:rsid w:val="003D345D"/>
    <w:rsid w:val="003D34BA"/>
    <w:rsid w:val="003F1C91"/>
    <w:rsid w:val="00400725"/>
    <w:rsid w:val="00414BBF"/>
    <w:rsid w:val="00415608"/>
    <w:rsid w:val="0042087A"/>
    <w:rsid w:val="004208FD"/>
    <w:rsid w:val="0042313A"/>
    <w:rsid w:val="0043200B"/>
    <w:rsid w:val="0043360A"/>
    <w:rsid w:val="00437F65"/>
    <w:rsid w:val="00443738"/>
    <w:rsid w:val="00447CE9"/>
    <w:rsid w:val="00453DD1"/>
    <w:rsid w:val="0045413C"/>
    <w:rsid w:val="00455018"/>
    <w:rsid w:val="004675EB"/>
    <w:rsid w:val="0046761D"/>
    <w:rsid w:val="00467C9D"/>
    <w:rsid w:val="00471B32"/>
    <w:rsid w:val="004728B9"/>
    <w:rsid w:val="00483787"/>
    <w:rsid w:val="004A1E8F"/>
    <w:rsid w:val="004B21C5"/>
    <w:rsid w:val="004B21EB"/>
    <w:rsid w:val="004B7BC7"/>
    <w:rsid w:val="004D05AA"/>
    <w:rsid w:val="004D2D05"/>
    <w:rsid w:val="004D7014"/>
    <w:rsid w:val="004D7BA1"/>
    <w:rsid w:val="004F0871"/>
    <w:rsid w:val="004F1107"/>
    <w:rsid w:val="00502367"/>
    <w:rsid w:val="00502B09"/>
    <w:rsid w:val="00524753"/>
    <w:rsid w:val="00524AF2"/>
    <w:rsid w:val="00527431"/>
    <w:rsid w:val="00527547"/>
    <w:rsid w:val="005329D9"/>
    <w:rsid w:val="005453CA"/>
    <w:rsid w:val="00551E50"/>
    <w:rsid w:val="005565D5"/>
    <w:rsid w:val="00557593"/>
    <w:rsid w:val="00562479"/>
    <w:rsid w:val="005751B4"/>
    <w:rsid w:val="00577B8D"/>
    <w:rsid w:val="005A0186"/>
    <w:rsid w:val="005A1B35"/>
    <w:rsid w:val="005B3635"/>
    <w:rsid w:val="005C01DB"/>
    <w:rsid w:val="005C2928"/>
    <w:rsid w:val="005C3B0F"/>
    <w:rsid w:val="005D6B60"/>
    <w:rsid w:val="005E1097"/>
    <w:rsid w:val="005E4B08"/>
    <w:rsid w:val="005E5539"/>
    <w:rsid w:val="005F5260"/>
    <w:rsid w:val="00604023"/>
    <w:rsid w:val="00605C2B"/>
    <w:rsid w:val="00613C1E"/>
    <w:rsid w:val="0062214A"/>
    <w:rsid w:val="00635FCB"/>
    <w:rsid w:val="00651781"/>
    <w:rsid w:val="00653CC2"/>
    <w:rsid w:val="00677F05"/>
    <w:rsid w:val="0068460F"/>
    <w:rsid w:val="00687D96"/>
    <w:rsid w:val="0069072C"/>
    <w:rsid w:val="006909AA"/>
    <w:rsid w:val="00694FCA"/>
    <w:rsid w:val="00696716"/>
    <w:rsid w:val="006A1895"/>
    <w:rsid w:val="006B6E62"/>
    <w:rsid w:val="006C1845"/>
    <w:rsid w:val="006C4E13"/>
    <w:rsid w:val="006F00F8"/>
    <w:rsid w:val="006F1426"/>
    <w:rsid w:val="006F2D7A"/>
    <w:rsid w:val="006F62EF"/>
    <w:rsid w:val="006F648D"/>
    <w:rsid w:val="007162B0"/>
    <w:rsid w:val="00727F6C"/>
    <w:rsid w:val="00731133"/>
    <w:rsid w:val="007314B8"/>
    <w:rsid w:val="007344B6"/>
    <w:rsid w:val="00741F6E"/>
    <w:rsid w:val="007435FC"/>
    <w:rsid w:val="00765AC6"/>
    <w:rsid w:val="0077554E"/>
    <w:rsid w:val="007879DB"/>
    <w:rsid w:val="007921D5"/>
    <w:rsid w:val="00797FD2"/>
    <w:rsid w:val="007B4F16"/>
    <w:rsid w:val="007D1846"/>
    <w:rsid w:val="007F0752"/>
    <w:rsid w:val="008013B6"/>
    <w:rsid w:val="00801C95"/>
    <w:rsid w:val="008040E8"/>
    <w:rsid w:val="008119AC"/>
    <w:rsid w:val="00825D9D"/>
    <w:rsid w:val="0083276E"/>
    <w:rsid w:val="00832FED"/>
    <w:rsid w:val="00841E07"/>
    <w:rsid w:val="008511D6"/>
    <w:rsid w:val="008525A9"/>
    <w:rsid w:val="00874E15"/>
    <w:rsid w:val="008833A3"/>
    <w:rsid w:val="00883DA2"/>
    <w:rsid w:val="008A6F39"/>
    <w:rsid w:val="008A7363"/>
    <w:rsid w:val="008C14EC"/>
    <w:rsid w:val="008C49FC"/>
    <w:rsid w:val="008D56DE"/>
    <w:rsid w:val="008E4FD0"/>
    <w:rsid w:val="00902EF8"/>
    <w:rsid w:val="009259BD"/>
    <w:rsid w:val="00936777"/>
    <w:rsid w:val="009654C7"/>
    <w:rsid w:val="00965D2F"/>
    <w:rsid w:val="0096762B"/>
    <w:rsid w:val="009702F1"/>
    <w:rsid w:val="00971B60"/>
    <w:rsid w:val="00973603"/>
    <w:rsid w:val="00981B29"/>
    <w:rsid w:val="00991BD3"/>
    <w:rsid w:val="009A5DD3"/>
    <w:rsid w:val="009B1276"/>
    <w:rsid w:val="009B6427"/>
    <w:rsid w:val="009C255F"/>
    <w:rsid w:val="009C4AFA"/>
    <w:rsid w:val="009F010E"/>
    <w:rsid w:val="00A37EF4"/>
    <w:rsid w:val="00A434A8"/>
    <w:rsid w:val="00A43E1E"/>
    <w:rsid w:val="00A4438A"/>
    <w:rsid w:val="00A477F8"/>
    <w:rsid w:val="00A5009D"/>
    <w:rsid w:val="00A53882"/>
    <w:rsid w:val="00A64FA5"/>
    <w:rsid w:val="00A87965"/>
    <w:rsid w:val="00AA48FE"/>
    <w:rsid w:val="00AB305A"/>
    <w:rsid w:val="00AE31A8"/>
    <w:rsid w:val="00AF0D80"/>
    <w:rsid w:val="00AF63AA"/>
    <w:rsid w:val="00B17ECE"/>
    <w:rsid w:val="00B210E2"/>
    <w:rsid w:val="00B3429D"/>
    <w:rsid w:val="00B410E4"/>
    <w:rsid w:val="00B41677"/>
    <w:rsid w:val="00B61605"/>
    <w:rsid w:val="00B62DE8"/>
    <w:rsid w:val="00B6500F"/>
    <w:rsid w:val="00B74340"/>
    <w:rsid w:val="00B866A1"/>
    <w:rsid w:val="00B876A1"/>
    <w:rsid w:val="00BC3E0B"/>
    <w:rsid w:val="00BD3855"/>
    <w:rsid w:val="00BD5037"/>
    <w:rsid w:val="00BD5AF4"/>
    <w:rsid w:val="00BE19D9"/>
    <w:rsid w:val="00BE4ECB"/>
    <w:rsid w:val="00BE4FD9"/>
    <w:rsid w:val="00C124AD"/>
    <w:rsid w:val="00C21560"/>
    <w:rsid w:val="00C416DB"/>
    <w:rsid w:val="00C4637D"/>
    <w:rsid w:val="00C46818"/>
    <w:rsid w:val="00C55A67"/>
    <w:rsid w:val="00C704C9"/>
    <w:rsid w:val="00C723EB"/>
    <w:rsid w:val="00C75A10"/>
    <w:rsid w:val="00C82066"/>
    <w:rsid w:val="00C846E6"/>
    <w:rsid w:val="00C92A2D"/>
    <w:rsid w:val="00CB081C"/>
    <w:rsid w:val="00CC123C"/>
    <w:rsid w:val="00CC1638"/>
    <w:rsid w:val="00CC3951"/>
    <w:rsid w:val="00CC4B3A"/>
    <w:rsid w:val="00CE2DCF"/>
    <w:rsid w:val="00D05188"/>
    <w:rsid w:val="00D05622"/>
    <w:rsid w:val="00D17744"/>
    <w:rsid w:val="00D241F9"/>
    <w:rsid w:val="00D406B5"/>
    <w:rsid w:val="00D57B6F"/>
    <w:rsid w:val="00D65CE4"/>
    <w:rsid w:val="00D70BD9"/>
    <w:rsid w:val="00D85962"/>
    <w:rsid w:val="00D86CD1"/>
    <w:rsid w:val="00DB4201"/>
    <w:rsid w:val="00DE015A"/>
    <w:rsid w:val="00DE1EE0"/>
    <w:rsid w:val="00DE343D"/>
    <w:rsid w:val="00E008F4"/>
    <w:rsid w:val="00E07733"/>
    <w:rsid w:val="00E07CBE"/>
    <w:rsid w:val="00E23E05"/>
    <w:rsid w:val="00E423B6"/>
    <w:rsid w:val="00E45E2D"/>
    <w:rsid w:val="00E70EDB"/>
    <w:rsid w:val="00E83C33"/>
    <w:rsid w:val="00E93F37"/>
    <w:rsid w:val="00ED0FEE"/>
    <w:rsid w:val="00F04DB1"/>
    <w:rsid w:val="00F11742"/>
    <w:rsid w:val="00F224F7"/>
    <w:rsid w:val="00F3335A"/>
    <w:rsid w:val="00F85C3D"/>
    <w:rsid w:val="00F90BBC"/>
    <w:rsid w:val="00F95702"/>
    <w:rsid w:val="00F96225"/>
    <w:rsid w:val="00F97486"/>
    <w:rsid w:val="00FA60D2"/>
    <w:rsid w:val="00FB017E"/>
    <w:rsid w:val="00FC64AA"/>
    <w:rsid w:val="00FD129F"/>
    <w:rsid w:val="00FE4DF6"/>
    <w:rsid w:val="00FF0EF4"/>
    <w:rsid w:val="00FF2D47"/>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D3A49F"/>
  <w15:docId w15:val="{63942F4D-4D51-4B9D-A984-C842C96A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95"/>
  </w:style>
  <w:style w:type="paragraph" w:styleId="Heading1">
    <w:name w:val="heading 1"/>
    <w:basedOn w:val="Normal"/>
    <w:next w:val="Normal"/>
    <w:link w:val="Heading1Char"/>
    <w:uiPriority w:val="9"/>
    <w:qFormat/>
    <w:rsid w:val="000B1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36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5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3360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360A"/>
    <w:pPr>
      <w:ind w:left="720"/>
      <w:contextualSpacing/>
    </w:pPr>
  </w:style>
  <w:style w:type="table" w:styleId="MediumGrid3-Accent1">
    <w:name w:val="Medium Grid 3 Accent 1"/>
    <w:basedOn w:val="TableNormal"/>
    <w:uiPriority w:val="69"/>
    <w:rsid w:val="00433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43360A"/>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43360A"/>
    <w:rPr>
      <w:rFonts w:ascii="Frutiger LT Std 45 Light" w:hAnsi="Frutiger LT Std 45 Light" w:cs="Frutiger LT Std 45 Light"/>
      <w:color w:val="221E1F"/>
      <w:sz w:val="26"/>
      <w:szCs w:val="26"/>
    </w:rPr>
  </w:style>
  <w:style w:type="paragraph" w:styleId="BalloonText">
    <w:name w:val="Balloon Text"/>
    <w:basedOn w:val="Normal"/>
    <w:link w:val="BalloonTextChar"/>
    <w:uiPriority w:val="99"/>
    <w:semiHidden/>
    <w:unhideWhenUsed/>
    <w:rsid w:val="0043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0A"/>
    <w:rPr>
      <w:rFonts w:ascii="Tahoma" w:hAnsi="Tahoma" w:cs="Tahoma"/>
      <w:sz w:val="16"/>
      <w:szCs w:val="16"/>
    </w:rPr>
  </w:style>
  <w:style w:type="character" w:customStyle="1" w:styleId="Heading1Char">
    <w:name w:val="Heading 1 Char"/>
    <w:basedOn w:val="DefaultParagraphFont"/>
    <w:link w:val="Heading1"/>
    <w:uiPriority w:val="1"/>
    <w:rsid w:val="000B1D7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0B1D72"/>
    <w:pPr>
      <w:widowControl w:val="0"/>
      <w:spacing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0B1D72"/>
    <w:rPr>
      <w:rFonts w:ascii="Calibri" w:eastAsia="Calibri" w:hAnsi="Calibri"/>
      <w:lang w:val="en-US"/>
    </w:rPr>
  </w:style>
  <w:style w:type="table" w:styleId="TableGrid">
    <w:name w:val="Table Grid"/>
    <w:basedOn w:val="TableNormal"/>
    <w:uiPriority w:val="5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527C1"/>
    <w:rPr>
      <w:rFonts w:cs="Times New Roman"/>
      <w:color w:val="0000FF"/>
      <w:u w:val="single"/>
    </w:rPr>
  </w:style>
  <w:style w:type="character" w:styleId="Emphasis">
    <w:name w:val="Emphasis"/>
    <w:basedOn w:val="DefaultParagraphFont"/>
    <w:uiPriority w:val="99"/>
    <w:qFormat/>
    <w:rsid w:val="001527C1"/>
    <w:rPr>
      <w:rFonts w:cs="Times New Roman"/>
      <w:i/>
    </w:rPr>
  </w:style>
  <w:style w:type="table" w:styleId="MediumShading1-Accent1">
    <w:name w:val="Medium Shading 1 Accent 1"/>
    <w:basedOn w:val="TableNormal"/>
    <w:uiPriority w:val="63"/>
    <w:rsid w:val="001527C1"/>
    <w:pPr>
      <w:spacing w:after="0" w:line="240" w:lineRule="auto"/>
    </w:pPr>
    <w:rPr>
      <w:rFonts w:ascii="Arial" w:eastAsia="Calibri" w:hAnsi="Arial"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
    <w:name w:val="Body"/>
    <w:rsid w:val="001527C1"/>
    <w:pPr>
      <w:pBdr>
        <w:top w:val="nil"/>
        <w:left w:val="nil"/>
        <w:bottom w:val="nil"/>
        <w:right w:val="nil"/>
        <w:between w:val="nil"/>
        <w:bar w:val="nil"/>
      </w:pBdr>
    </w:pPr>
    <w:rPr>
      <w:rFonts w:ascii="Arial" w:eastAsia="Arial" w:hAnsi="Arial" w:cs="Arial"/>
      <w:color w:val="000000"/>
      <w:u w:color="000000"/>
      <w:bdr w:val="nil"/>
      <w:lang w:eastAsia="en-GB"/>
    </w:rPr>
  </w:style>
  <w:style w:type="paragraph" w:styleId="NormalWeb">
    <w:name w:val="Normal (Web)"/>
    <w:basedOn w:val="Normal"/>
    <w:uiPriority w:val="99"/>
    <w:unhideWhenUsed/>
    <w:rsid w:val="00152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96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16"/>
  </w:style>
  <w:style w:type="paragraph" w:styleId="Footer">
    <w:name w:val="footer"/>
    <w:basedOn w:val="Normal"/>
    <w:link w:val="FooterChar"/>
    <w:uiPriority w:val="99"/>
    <w:unhideWhenUsed/>
    <w:rsid w:val="00696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16"/>
  </w:style>
  <w:style w:type="character" w:styleId="CommentReference">
    <w:name w:val="annotation reference"/>
    <w:basedOn w:val="DefaultParagraphFont"/>
    <w:uiPriority w:val="99"/>
    <w:semiHidden/>
    <w:unhideWhenUsed/>
    <w:rsid w:val="000915F3"/>
    <w:rPr>
      <w:sz w:val="16"/>
      <w:szCs w:val="16"/>
    </w:rPr>
  </w:style>
  <w:style w:type="paragraph" w:styleId="CommentText">
    <w:name w:val="annotation text"/>
    <w:basedOn w:val="Normal"/>
    <w:link w:val="CommentTextChar"/>
    <w:uiPriority w:val="99"/>
    <w:unhideWhenUsed/>
    <w:rsid w:val="000915F3"/>
    <w:pPr>
      <w:spacing w:line="240" w:lineRule="auto"/>
    </w:pPr>
    <w:rPr>
      <w:sz w:val="20"/>
      <w:szCs w:val="20"/>
    </w:rPr>
  </w:style>
  <w:style w:type="character" w:customStyle="1" w:styleId="CommentTextChar">
    <w:name w:val="Comment Text Char"/>
    <w:basedOn w:val="DefaultParagraphFont"/>
    <w:link w:val="CommentText"/>
    <w:uiPriority w:val="99"/>
    <w:rsid w:val="000915F3"/>
    <w:rPr>
      <w:sz w:val="20"/>
      <w:szCs w:val="20"/>
    </w:rPr>
  </w:style>
  <w:style w:type="paragraph" w:styleId="CommentSubject">
    <w:name w:val="annotation subject"/>
    <w:basedOn w:val="CommentText"/>
    <w:next w:val="CommentText"/>
    <w:link w:val="CommentSubjectChar"/>
    <w:uiPriority w:val="99"/>
    <w:semiHidden/>
    <w:unhideWhenUsed/>
    <w:rsid w:val="000915F3"/>
    <w:rPr>
      <w:b/>
      <w:bCs/>
    </w:rPr>
  </w:style>
  <w:style w:type="character" w:customStyle="1" w:styleId="CommentSubjectChar">
    <w:name w:val="Comment Subject Char"/>
    <w:basedOn w:val="CommentTextChar"/>
    <w:link w:val="CommentSubject"/>
    <w:uiPriority w:val="99"/>
    <w:semiHidden/>
    <w:rsid w:val="000915F3"/>
    <w:rPr>
      <w:b/>
      <w:bCs/>
      <w:sz w:val="20"/>
      <w:szCs w:val="20"/>
    </w:rPr>
  </w:style>
  <w:style w:type="character" w:customStyle="1" w:styleId="Heading3Char">
    <w:name w:val="Heading 3 Char"/>
    <w:basedOn w:val="DefaultParagraphFont"/>
    <w:link w:val="Heading3"/>
    <w:uiPriority w:val="1"/>
    <w:rsid w:val="00D57B6F"/>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D57B6F"/>
    <w:pPr>
      <w:widowControl w:val="0"/>
      <w:autoSpaceDE w:val="0"/>
      <w:autoSpaceDN w:val="0"/>
      <w:spacing w:after="0" w:line="240" w:lineRule="auto"/>
    </w:pPr>
    <w:rPr>
      <w:rFonts w:ascii="Arial" w:eastAsia="Arial" w:hAnsi="Arial" w:cs="Arial"/>
    </w:rPr>
  </w:style>
  <w:style w:type="character" w:customStyle="1" w:styleId="UnresolvedMention1">
    <w:name w:val="Unresolved Mention1"/>
    <w:basedOn w:val="DefaultParagraphFont"/>
    <w:uiPriority w:val="99"/>
    <w:semiHidden/>
    <w:unhideWhenUsed/>
    <w:rsid w:val="009B6427"/>
    <w:rPr>
      <w:color w:val="605E5C"/>
      <w:shd w:val="clear" w:color="auto" w:fill="E1DFDD"/>
    </w:rPr>
  </w:style>
  <w:style w:type="numbering" w:customStyle="1" w:styleId="NoList1">
    <w:name w:val="No List1"/>
    <w:next w:val="NoList"/>
    <w:uiPriority w:val="99"/>
    <w:semiHidden/>
    <w:unhideWhenUsed/>
    <w:rsid w:val="009B6427"/>
  </w:style>
  <w:style w:type="table" w:customStyle="1" w:styleId="MediumGrid3-Accent11">
    <w:name w:val="Medium Grid 3 - Accent 11"/>
    <w:basedOn w:val="TableNormal"/>
    <w:next w:val="MediumGrid3-Accent1"/>
    <w:uiPriority w:val="69"/>
    <w:rsid w:val="009B642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2">
    <w:name w:val="No List2"/>
    <w:next w:val="NoList"/>
    <w:uiPriority w:val="99"/>
    <w:semiHidden/>
    <w:unhideWhenUsed/>
    <w:rsid w:val="009B6427"/>
  </w:style>
  <w:style w:type="table" w:customStyle="1" w:styleId="TableGrid1">
    <w:name w:val="Table Grid1"/>
    <w:basedOn w:val="TableNormal"/>
    <w:next w:val="TableGrid"/>
    <w:uiPriority w:val="39"/>
    <w:rsid w:val="009B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93A7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3A74"/>
    <w:rPr>
      <w:rFonts w:ascii="Calibri" w:hAnsi="Calibri"/>
      <w:szCs w:val="21"/>
    </w:rPr>
  </w:style>
  <w:style w:type="paragraph" w:styleId="Revision">
    <w:name w:val="Revision"/>
    <w:hidden/>
    <w:uiPriority w:val="99"/>
    <w:semiHidden/>
    <w:rsid w:val="00CC1638"/>
    <w:pPr>
      <w:spacing w:after="0" w:line="240" w:lineRule="auto"/>
    </w:pPr>
  </w:style>
  <w:style w:type="character" w:customStyle="1" w:styleId="markedcontent">
    <w:name w:val="markedcontent"/>
    <w:basedOn w:val="DefaultParagraphFont"/>
    <w:rsid w:val="001150E1"/>
  </w:style>
  <w:style w:type="paragraph" w:customStyle="1" w:styleId="PHENumberedbodytext">
    <w:name w:val="PHE Numbered body text"/>
    <w:basedOn w:val="Normal"/>
    <w:rsid w:val="00C46818"/>
    <w:pPr>
      <w:numPr>
        <w:ilvl w:val="1"/>
        <w:numId w:val="10"/>
      </w:numPr>
      <w:spacing w:after="0" w:line="320" w:lineRule="atLeast"/>
      <w:ind w:left="567" w:right="794" w:hanging="567"/>
    </w:pPr>
    <w:rPr>
      <w:rFonts w:ascii="Arial" w:eastAsia="Times New Roman" w:hAnsi="Arial" w:cs="Times New Roman"/>
      <w:sz w:val="24"/>
      <w:szCs w:val="20"/>
      <w:lang w:eastAsia="en-GB"/>
    </w:rPr>
  </w:style>
  <w:style w:type="paragraph" w:customStyle="1" w:styleId="aabullet">
    <w:name w:val="aa bullet"/>
    <w:basedOn w:val="ListParagraph"/>
    <w:link w:val="aabulletChar"/>
    <w:qFormat/>
    <w:rsid w:val="00C46818"/>
    <w:pPr>
      <w:framePr w:hSpace="180" w:wrap="around" w:vAnchor="text" w:hAnchor="margin" w:x="-431" w:y="96"/>
      <w:widowControl w:val="0"/>
      <w:numPr>
        <w:numId w:val="11"/>
      </w:numPr>
      <w:spacing w:after="0" w:line="240" w:lineRule="auto"/>
      <w:ind w:left="460"/>
      <w:contextualSpacing w:val="0"/>
    </w:pPr>
    <w:rPr>
      <w:rFonts w:ascii="Arial" w:hAnsi="Arial" w:cs="Arial"/>
      <w:lang w:val="en-US"/>
    </w:rPr>
  </w:style>
  <w:style w:type="character" w:customStyle="1" w:styleId="aabulletChar">
    <w:name w:val="aa bullet Char"/>
    <w:basedOn w:val="DefaultParagraphFont"/>
    <w:link w:val="aabullet"/>
    <w:rsid w:val="00C46818"/>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062">
      <w:bodyDiv w:val="1"/>
      <w:marLeft w:val="0"/>
      <w:marRight w:val="0"/>
      <w:marTop w:val="0"/>
      <w:marBottom w:val="0"/>
      <w:divBdr>
        <w:top w:val="none" w:sz="0" w:space="0" w:color="auto"/>
        <w:left w:val="none" w:sz="0" w:space="0" w:color="auto"/>
        <w:bottom w:val="none" w:sz="0" w:space="0" w:color="auto"/>
        <w:right w:val="none" w:sz="0" w:space="0" w:color="auto"/>
      </w:divBdr>
    </w:div>
    <w:div w:id="90661340">
      <w:bodyDiv w:val="1"/>
      <w:marLeft w:val="0"/>
      <w:marRight w:val="0"/>
      <w:marTop w:val="0"/>
      <w:marBottom w:val="0"/>
      <w:divBdr>
        <w:top w:val="none" w:sz="0" w:space="0" w:color="auto"/>
        <w:left w:val="none" w:sz="0" w:space="0" w:color="auto"/>
        <w:bottom w:val="none" w:sz="0" w:space="0" w:color="auto"/>
        <w:right w:val="none" w:sz="0" w:space="0" w:color="auto"/>
      </w:divBdr>
    </w:div>
    <w:div w:id="119614321">
      <w:bodyDiv w:val="1"/>
      <w:marLeft w:val="0"/>
      <w:marRight w:val="0"/>
      <w:marTop w:val="0"/>
      <w:marBottom w:val="0"/>
      <w:divBdr>
        <w:top w:val="none" w:sz="0" w:space="0" w:color="auto"/>
        <w:left w:val="none" w:sz="0" w:space="0" w:color="auto"/>
        <w:bottom w:val="none" w:sz="0" w:space="0" w:color="auto"/>
        <w:right w:val="none" w:sz="0" w:space="0" w:color="auto"/>
      </w:divBdr>
    </w:div>
    <w:div w:id="146213671">
      <w:bodyDiv w:val="1"/>
      <w:marLeft w:val="0"/>
      <w:marRight w:val="0"/>
      <w:marTop w:val="0"/>
      <w:marBottom w:val="0"/>
      <w:divBdr>
        <w:top w:val="none" w:sz="0" w:space="0" w:color="auto"/>
        <w:left w:val="none" w:sz="0" w:space="0" w:color="auto"/>
        <w:bottom w:val="none" w:sz="0" w:space="0" w:color="auto"/>
        <w:right w:val="none" w:sz="0" w:space="0" w:color="auto"/>
      </w:divBdr>
    </w:div>
    <w:div w:id="152726769">
      <w:bodyDiv w:val="1"/>
      <w:marLeft w:val="0"/>
      <w:marRight w:val="0"/>
      <w:marTop w:val="0"/>
      <w:marBottom w:val="0"/>
      <w:divBdr>
        <w:top w:val="none" w:sz="0" w:space="0" w:color="auto"/>
        <w:left w:val="none" w:sz="0" w:space="0" w:color="auto"/>
        <w:bottom w:val="none" w:sz="0" w:space="0" w:color="auto"/>
        <w:right w:val="none" w:sz="0" w:space="0" w:color="auto"/>
      </w:divBdr>
      <w:divsChild>
        <w:div w:id="328102236">
          <w:marLeft w:val="0"/>
          <w:marRight w:val="0"/>
          <w:marTop w:val="0"/>
          <w:marBottom w:val="0"/>
          <w:divBdr>
            <w:top w:val="none" w:sz="0" w:space="0" w:color="auto"/>
            <w:left w:val="none" w:sz="0" w:space="0" w:color="auto"/>
            <w:bottom w:val="none" w:sz="0" w:space="0" w:color="auto"/>
            <w:right w:val="none" w:sz="0" w:space="0" w:color="auto"/>
          </w:divBdr>
          <w:divsChild>
            <w:div w:id="5948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3860">
      <w:bodyDiv w:val="1"/>
      <w:marLeft w:val="0"/>
      <w:marRight w:val="0"/>
      <w:marTop w:val="0"/>
      <w:marBottom w:val="0"/>
      <w:divBdr>
        <w:top w:val="none" w:sz="0" w:space="0" w:color="auto"/>
        <w:left w:val="none" w:sz="0" w:space="0" w:color="auto"/>
        <w:bottom w:val="none" w:sz="0" w:space="0" w:color="auto"/>
        <w:right w:val="none" w:sz="0" w:space="0" w:color="auto"/>
      </w:divBdr>
    </w:div>
    <w:div w:id="273446094">
      <w:bodyDiv w:val="1"/>
      <w:marLeft w:val="0"/>
      <w:marRight w:val="0"/>
      <w:marTop w:val="0"/>
      <w:marBottom w:val="0"/>
      <w:divBdr>
        <w:top w:val="none" w:sz="0" w:space="0" w:color="auto"/>
        <w:left w:val="none" w:sz="0" w:space="0" w:color="auto"/>
        <w:bottom w:val="none" w:sz="0" w:space="0" w:color="auto"/>
        <w:right w:val="none" w:sz="0" w:space="0" w:color="auto"/>
      </w:divBdr>
    </w:div>
    <w:div w:id="367686910">
      <w:bodyDiv w:val="1"/>
      <w:marLeft w:val="0"/>
      <w:marRight w:val="0"/>
      <w:marTop w:val="0"/>
      <w:marBottom w:val="0"/>
      <w:divBdr>
        <w:top w:val="none" w:sz="0" w:space="0" w:color="auto"/>
        <w:left w:val="none" w:sz="0" w:space="0" w:color="auto"/>
        <w:bottom w:val="none" w:sz="0" w:space="0" w:color="auto"/>
        <w:right w:val="none" w:sz="0" w:space="0" w:color="auto"/>
      </w:divBdr>
    </w:div>
    <w:div w:id="425004375">
      <w:bodyDiv w:val="1"/>
      <w:marLeft w:val="0"/>
      <w:marRight w:val="0"/>
      <w:marTop w:val="0"/>
      <w:marBottom w:val="0"/>
      <w:divBdr>
        <w:top w:val="none" w:sz="0" w:space="0" w:color="auto"/>
        <w:left w:val="none" w:sz="0" w:space="0" w:color="auto"/>
        <w:bottom w:val="none" w:sz="0" w:space="0" w:color="auto"/>
        <w:right w:val="none" w:sz="0" w:space="0" w:color="auto"/>
      </w:divBdr>
    </w:div>
    <w:div w:id="458033995">
      <w:bodyDiv w:val="1"/>
      <w:marLeft w:val="0"/>
      <w:marRight w:val="0"/>
      <w:marTop w:val="0"/>
      <w:marBottom w:val="0"/>
      <w:divBdr>
        <w:top w:val="none" w:sz="0" w:space="0" w:color="auto"/>
        <w:left w:val="none" w:sz="0" w:space="0" w:color="auto"/>
        <w:bottom w:val="none" w:sz="0" w:space="0" w:color="auto"/>
        <w:right w:val="none" w:sz="0" w:space="0" w:color="auto"/>
      </w:divBdr>
    </w:div>
    <w:div w:id="524904725">
      <w:bodyDiv w:val="1"/>
      <w:marLeft w:val="0"/>
      <w:marRight w:val="0"/>
      <w:marTop w:val="0"/>
      <w:marBottom w:val="0"/>
      <w:divBdr>
        <w:top w:val="none" w:sz="0" w:space="0" w:color="auto"/>
        <w:left w:val="none" w:sz="0" w:space="0" w:color="auto"/>
        <w:bottom w:val="none" w:sz="0" w:space="0" w:color="auto"/>
        <w:right w:val="none" w:sz="0" w:space="0" w:color="auto"/>
      </w:divBdr>
    </w:div>
    <w:div w:id="807666064">
      <w:bodyDiv w:val="1"/>
      <w:marLeft w:val="0"/>
      <w:marRight w:val="0"/>
      <w:marTop w:val="0"/>
      <w:marBottom w:val="0"/>
      <w:divBdr>
        <w:top w:val="none" w:sz="0" w:space="0" w:color="auto"/>
        <w:left w:val="none" w:sz="0" w:space="0" w:color="auto"/>
        <w:bottom w:val="none" w:sz="0" w:space="0" w:color="auto"/>
        <w:right w:val="none" w:sz="0" w:space="0" w:color="auto"/>
      </w:divBdr>
    </w:div>
    <w:div w:id="839656451">
      <w:bodyDiv w:val="1"/>
      <w:marLeft w:val="0"/>
      <w:marRight w:val="0"/>
      <w:marTop w:val="0"/>
      <w:marBottom w:val="0"/>
      <w:divBdr>
        <w:top w:val="none" w:sz="0" w:space="0" w:color="auto"/>
        <w:left w:val="none" w:sz="0" w:space="0" w:color="auto"/>
        <w:bottom w:val="none" w:sz="0" w:space="0" w:color="auto"/>
        <w:right w:val="none" w:sz="0" w:space="0" w:color="auto"/>
      </w:divBdr>
    </w:div>
    <w:div w:id="916868149">
      <w:bodyDiv w:val="1"/>
      <w:marLeft w:val="0"/>
      <w:marRight w:val="0"/>
      <w:marTop w:val="0"/>
      <w:marBottom w:val="0"/>
      <w:divBdr>
        <w:top w:val="none" w:sz="0" w:space="0" w:color="auto"/>
        <w:left w:val="none" w:sz="0" w:space="0" w:color="auto"/>
        <w:bottom w:val="none" w:sz="0" w:space="0" w:color="auto"/>
        <w:right w:val="none" w:sz="0" w:space="0" w:color="auto"/>
      </w:divBdr>
    </w:div>
    <w:div w:id="1150755690">
      <w:bodyDiv w:val="1"/>
      <w:marLeft w:val="0"/>
      <w:marRight w:val="0"/>
      <w:marTop w:val="0"/>
      <w:marBottom w:val="0"/>
      <w:divBdr>
        <w:top w:val="none" w:sz="0" w:space="0" w:color="auto"/>
        <w:left w:val="none" w:sz="0" w:space="0" w:color="auto"/>
        <w:bottom w:val="none" w:sz="0" w:space="0" w:color="auto"/>
        <w:right w:val="none" w:sz="0" w:space="0" w:color="auto"/>
      </w:divBdr>
    </w:div>
    <w:div w:id="1273052448">
      <w:bodyDiv w:val="1"/>
      <w:marLeft w:val="0"/>
      <w:marRight w:val="0"/>
      <w:marTop w:val="0"/>
      <w:marBottom w:val="0"/>
      <w:divBdr>
        <w:top w:val="none" w:sz="0" w:space="0" w:color="auto"/>
        <w:left w:val="none" w:sz="0" w:space="0" w:color="auto"/>
        <w:bottom w:val="none" w:sz="0" w:space="0" w:color="auto"/>
        <w:right w:val="none" w:sz="0" w:space="0" w:color="auto"/>
      </w:divBdr>
    </w:div>
    <w:div w:id="1297836696">
      <w:bodyDiv w:val="1"/>
      <w:marLeft w:val="0"/>
      <w:marRight w:val="0"/>
      <w:marTop w:val="0"/>
      <w:marBottom w:val="0"/>
      <w:divBdr>
        <w:top w:val="none" w:sz="0" w:space="0" w:color="auto"/>
        <w:left w:val="none" w:sz="0" w:space="0" w:color="auto"/>
        <w:bottom w:val="none" w:sz="0" w:space="0" w:color="auto"/>
        <w:right w:val="none" w:sz="0" w:space="0" w:color="auto"/>
      </w:divBdr>
    </w:div>
    <w:div w:id="1395853250">
      <w:bodyDiv w:val="1"/>
      <w:marLeft w:val="0"/>
      <w:marRight w:val="0"/>
      <w:marTop w:val="0"/>
      <w:marBottom w:val="0"/>
      <w:divBdr>
        <w:top w:val="none" w:sz="0" w:space="0" w:color="auto"/>
        <w:left w:val="none" w:sz="0" w:space="0" w:color="auto"/>
        <w:bottom w:val="none" w:sz="0" w:space="0" w:color="auto"/>
        <w:right w:val="none" w:sz="0" w:space="0" w:color="auto"/>
      </w:divBdr>
    </w:div>
    <w:div w:id="1523205925">
      <w:bodyDiv w:val="1"/>
      <w:marLeft w:val="0"/>
      <w:marRight w:val="0"/>
      <w:marTop w:val="0"/>
      <w:marBottom w:val="0"/>
      <w:divBdr>
        <w:top w:val="none" w:sz="0" w:space="0" w:color="auto"/>
        <w:left w:val="none" w:sz="0" w:space="0" w:color="auto"/>
        <w:bottom w:val="none" w:sz="0" w:space="0" w:color="auto"/>
        <w:right w:val="none" w:sz="0" w:space="0" w:color="auto"/>
      </w:divBdr>
    </w:div>
    <w:div w:id="1594776438">
      <w:bodyDiv w:val="1"/>
      <w:marLeft w:val="0"/>
      <w:marRight w:val="0"/>
      <w:marTop w:val="0"/>
      <w:marBottom w:val="0"/>
      <w:divBdr>
        <w:top w:val="none" w:sz="0" w:space="0" w:color="auto"/>
        <w:left w:val="none" w:sz="0" w:space="0" w:color="auto"/>
        <w:bottom w:val="none" w:sz="0" w:space="0" w:color="auto"/>
        <w:right w:val="none" w:sz="0" w:space="0" w:color="auto"/>
      </w:divBdr>
    </w:div>
    <w:div w:id="1631352567">
      <w:bodyDiv w:val="1"/>
      <w:marLeft w:val="0"/>
      <w:marRight w:val="0"/>
      <w:marTop w:val="0"/>
      <w:marBottom w:val="0"/>
      <w:divBdr>
        <w:top w:val="none" w:sz="0" w:space="0" w:color="auto"/>
        <w:left w:val="none" w:sz="0" w:space="0" w:color="auto"/>
        <w:bottom w:val="none" w:sz="0" w:space="0" w:color="auto"/>
        <w:right w:val="none" w:sz="0" w:space="0" w:color="auto"/>
      </w:divBdr>
    </w:div>
    <w:div w:id="1671908030">
      <w:bodyDiv w:val="1"/>
      <w:marLeft w:val="0"/>
      <w:marRight w:val="0"/>
      <w:marTop w:val="0"/>
      <w:marBottom w:val="0"/>
      <w:divBdr>
        <w:top w:val="none" w:sz="0" w:space="0" w:color="auto"/>
        <w:left w:val="none" w:sz="0" w:space="0" w:color="auto"/>
        <w:bottom w:val="none" w:sz="0" w:space="0" w:color="auto"/>
        <w:right w:val="none" w:sz="0" w:space="0" w:color="auto"/>
      </w:divBdr>
    </w:div>
    <w:div w:id="1704553962">
      <w:bodyDiv w:val="1"/>
      <w:marLeft w:val="0"/>
      <w:marRight w:val="0"/>
      <w:marTop w:val="0"/>
      <w:marBottom w:val="0"/>
      <w:divBdr>
        <w:top w:val="none" w:sz="0" w:space="0" w:color="auto"/>
        <w:left w:val="none" w:sz="0" w:space="0" w:color="auto"/>
        <w:bottom w:val="none" w:sz="0" w:space="0" w:color="auto"/>
        <w:right w:val="none" w:sz="0" w:space="0" w:color="auto"/>
      </w:divBdr>
    </w:div>
    <w:div w:id="1758600437">
      <w:bodyDiv w:val="1"/>
      <w:marLeft w:val="0"/>
      <w:marRight w:val="0"/>
      <w:marTop w:val="0"/>
      <w:marBottom w:val="0"/>
      <w:divBdr>
        <w:top w:val="none" w:sz="0" w:space="0" w:color="auto"/>
        <w:left w:val="none" w:sz="0" w:space="0" w:color="auto"/>
        <w:bottom w:val="none" w:sz="0" w:space="0" w:color="auto"/>
        <w:right w:val="none" w:sz="0" w:space="0" w:color="auto"/>
      </w:divBdr>
    </w:div>
    <w:div w:id="1882355293">
      <w:bodyDiv w:val="1"/>
      <w:marLeft w:val="0"/>
      <w:marRight w:val="0"/>
      <w:marTop w:val="0"/>
      <w:marBottom w:val="0"/>
      <w:divBdr>
        <w:top w:val="none" w:sz="0" w:space="0" w:color="auto"/>
        <w:left w:val="none" w:sz="0" w:space="0" w:color="auto"/>
        <w:bottom w:val="none" w:sz="0" w:space="0" w:color="auto"/>
        <w:right w:val="none" w:sz="0" w:space="0" w:color="auto"/>
      </w:divBdr>
    </w:div>
    <w:div w:id="1938441418">
      <w:bodyDiv w:val="1"/>
      <w:marLeft w:val="0"/>
      <w:marRight w:val="0"/>
      <w:marTop w:val="0"/>
      <w:marBottom w:val="0"/>
      <w:divBdr>
        <w:top w:val="none" w:sz="0" w:space="0" w:color="auto"/>
        <w:left w:val="none" w:sz="0" w:space="0" w:color="auto"/>
        <w:bottom w:val="none" w:sz="0" w:space="0" w:color="auto"/>
        <w:right w:val="none" w:sz="0" w:space="0" w:color="auto"/>
      </w:divBdr>
    </w:div>
    <w:div w:id="1947544868">
      <w:bodyDiv w:val="1"/>
      <w:marLeft w:val="0"/>
      <w:marRight w:val="0"/>
      <w:marTop w:val="0"/>
      <w:marBottom w:val="0"/>
      <w:divBdr>
        <w:top w:val="none" w:sz="0" w:space="0" w:color="auto"/>
        <w:left w:val="none" w:sz="0" w:space="0" w:color="auto"/>
        <w:bottom w:val="none" w:sz="0" w:space="0" w:color="auto"/>
        <w:right w:val="none" w:sz="0" w:space="0" w:color="auto"/>
      </w:divBdr>
    </w:div>
    <w:div w:id="1955600526">
      <w:bodyDiv w:val="1"/>
      <w:marLeft w:val="0"/>
      <w:marRight w:val="0"/>
      <w:marTop w:val="0"/>
      <w:marBottom w:val="0"/>
      <w:divBdr>
        <w:top w:val="none" w:sz="0" w:space="0" w:color="auto"/>
        <w:left w:val="none" w:sz="0" w:space="0" w:color="auto"/>
        <w:bottom w:val="none" w:sz="0" w:space="0" w:color="auto"/>
        <w:right w:val="none" w:sz="0" w:space="0" w:color="auto"/>
      </w:divBdr>
    </w:div>
    <w:div w:id="2038770839">
      <w:bodyDiv w:val="1"/>
      <w:marLeft w:val="0"/>
      <w:marRight w:val="0"/>
      <w:marTop w:val="0"/>
      <w:marBottom w:val="0"/>
      <w:divBdr>
        <w:top w:val="none" w:sz="0" w:space="0" w:color="auto"/>
        <w:left w:val="none" w:sz="0" w:space="0" w:color="auto"/>
        <w:bottom w:val="none" w:sz="0" w:space="0" w:color="auto"/>
        <w:right w:val="none" w:sz="0" w:space="0" w:color="auto"/>
      </w:divBdr>
    </w:div>
    <w:div w:id="2070691835">
      <w:bodyDiv w:val="1"/>
      <w:marLeft w:val="0"/>
      <w:marRight w:val="0"/>
      <w:marTop w:val="0"/>
      <w:marBottom w:val="0"/>
      <w:divBdr>
        <w:top w:val="none" w:sz="0" w:space="0" w:color="auto"/>
        <w:left w:val="none" w:sz="0" w:space="0" w:color="auto"/>
        <w:bottom w:val="none" w:sz="0" w:space="0" w:color="auto"/>
        <w:right w:val="none" w:sz="0" w:space="0" w:color="auto"/>
      </w:divBdr>
    </w:div>
    <w:div w:id="2077119804">
      <w:bodyDiv w:val="1"/>
      <w:marLeft w:val="0"/>
      <w:marRight w:val="0"/>
      <w:marTop w:val="0"/>
      <w:marBottom w:val="0"/>
      <w:divBdr>
        <w:top w:val="none" w:sz="0" w:space="0" w:color="auto"/>
        <w:left w:val="none" w:sz="0" w:space="0" w:color="auto"/>
        <w:bottom w:val="none" w:sz="0" w:space="0" w:color="auto"/>
        <w:right w:val="none" w:sz="0" w:space="0" w:color="auto"/>
      </w:divBdr>
    </w:div>
    <w:div w:id="2114131289">
      <w:bodyDiv w:val="1"/>
      <w:marLeft w:val="0"/>
      <w:marRight w:val="0"/>
      <w:marTop w:val="0"/>
      <w:marBottom w:val="0"/>
      <w:divBdr>
        <w:top w:val="none" w:sz="0" w:space="0" w:color="auto"/>
        <w:left w:val="none" w:sz="0" w:space="0" w:color="auto"/>
        <w:bottom w:val="none" w:sz="0" w:space="0" w:color="auto"/>
        <w:right w:val="none" w:sz="0" w:space="0" w:color="auto"/>
      </w:divBdr>
    </w:div>
    <w:div w:id="213051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lhcbpp1.lhcdom1.lrh-tr.nhs.uk\Community_Health_Services\Infection%20Prevention%20and%20Control\Hand%20Hygiene%20Audits\07.11.2022%20full.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Number of hand hygiene audits submitted per month between April - September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75152626469637"/>
          <c:y val="0.25083333333333335"/>
          <c:w val="0.60760651493905737"/>
          <c:h val="0.54359580052493439"/>
        </c:manualLayout>
      </c:layout>
      <c:lineChart>
        <c:grouping val="standard"/>
        <c:varyColors val="0"/>
        <c:ser>
          <c:idx val="0"/>
          <c:order val="0"/>
          <c:tx>
            <c:v>Audits submitted in LPT</c:v>
          </c:tx>
          <c:spPr>
            <a:ln w="28575" cap="rnd">
              <a:solidFill>
                <a:schemeClr val="accent1"/>
              </a:solidFill>
              <a:round/>
            </a:ln>
            <a:effectLst/>
          </c:spPr>
          <c:marker>
            <c:symbol val="none"/>
          </c:marker>
          <c:cat>
            <c:strRef>
              <c:f>Sheet1!$B$8:$G$8</c:f>
              <c:strCache>
                <c:ptCount val="6"/>
                <c:pt idx="0">
                  <c:v>April</c:v>
                </c:pt>
                <c:pt idx="1">
                  <c:v>May</c:v>
                </c:pt>
                <c:pt idx="2">
                  <c:v>June</c:v>
                </c:pt>
                <c:pt idx="3">
                  <c:v>July </c:v>
                </c:pt>
                <c:pt idx="4">
                  <c:v>Aug</c:v>
                </c:pt>
                <c:pt idx="5">
                  <c:v>Sept</c:v>
                </c:pt>
              </c:strCache>
            </c:strRef>
          </c:cat>
          <c:val>
            <c:numRef>
              <c:f>Sheet1!$B$9:$G$9</c:f>
              <c:numCache>
                <c:formatCode>General</c:formatCode>
                <c:ptCount val="6"/>
                <c:pt idx="0">
                  <c:v>798</c:v>
                </c:pt>
                <c:pt idx="1">
                  <c:v>1036</c:v>
                </c:pt>
                <c:pt idx="2">
                  <c:v>773</c:v>
                </c:pt>
                <c:pt idx="3">
                  <c:v>824</c:v>
                </c:pt>
                <c:pt idx="4">
                  <c:v>813</c:v>
                </c:pt>
                <c:pt idx="5">
                  <c:v>754</c:v>
                </c:pt>
              </c:numCache>
            </c:numRef>
          </c:val>
          <c:smooth val="0"/>
          <c:extLst>
            <c:ext xmlns:c16="http://schemas.microsoft.com/office/drawing/2014/chart" uri="{C3380CC4-5D6E-409C-BE32-E72D297353CC}">
              <c16:uniqueId val="{00000000-AD84-4414-B704-D2E1D10C7CFB}"/>
            </c:ext>
          </c:extLst>
        </c:ser>
        <c:ser>
          <c:idx val="1"/>
          <c:order val="1"/>
          <c:tx>
            <c:v>Target number of audits</c:v>
          </c:tx>
          <c:spPr>
            <a:ln w="28575" cap="rnd">
              <a:solidFill>
                <a:schemeClr val="accent2"/>
              </a:solidFill>
              <a:round/>
            </a:ln>
            <a:effectLst/>
          </c:spPr>
          <c:marker>
            <c:symbol val="none"/>
          </c:marker>
          <c:cat>
            <c:strRef>
              <c:f>Sheet1!$B$8:$G$8</c:f>
              <c:strCache>
                <c:ptCount val="6"/>
                <c:pt idx="0">
                  <c:v>April</c:v>
                </c:pt>
                <c:pt idx="1">
                  <c:v>May</c:v>
                </c:pt>
                <c:pt idx="2">
                  <c:v>June</c:v>
                </c:pt>
                <c:pt idx="3">
                  <c:v>July </c:v>
                </c:pt>
                <c:pt idx="4">
                  <c:v>Aug</c:v>
                </c:pt>
                <c:pt idx="5">
                  <c:v>Sept</c:v>
                </c:pt>
              </c:strCache>
            </c:strRef>
          </c:cat>
          <c:val>
            <c:numRef>
              <c:f>Sheet1!$B$10:$G$10</c:f>
              <c:numCache>
                <c:formatCode>General</c:formatCode>
                <c:ptCount val="6"/>
                <c:pt idx="0">
                  <c:v>990</c:v>
                </c:pt>
                <c:pt idx="1">
                  <c:v>990</c:v>
                </c:pt>
                <c:pt idx="2">
                  <c:v>990</c:v>
                </c:pt>
                <c:pt idx="3">
                  <c:v>990</c:v>
                </c:pt>
                <c:pt idx="4">
                  <c:v>990</c:v>
                </c:pt>
                <c:pt idx="5">
                  <c:v>990</c:v>
                </c:pt>
              </c:numCache>
            </c:numRef>
          </c:val>
          <c:smooth val="0"/>
          <c:extLst>
            <c:ext xmlns:c16="http://schemas.microsoft.com/office/drawing/2014/chart" uri="{C3380CC4-5D6E-409C-BE32-E72D297353CC}">
              <c16:uniqueId val="{00000001-AD84-4414-B704-D2E1D10C7CFB}"/>
            </c:ext>
          </c:extLst>
        </c:ser>
        <c:dLbls>
          <c:showLegendKey val="0"/>
          <c:showVal val="0"/>
          <c:showCatName val="0"/>
          <c:showSerName val="0"/>
          <c:showPercent val="0"/>
          <c:showBubbleSize val="0"/>
        </c:dLbls>
        <c:smooth val="0"/>
        <c:axId val="1555213552"/>
        <c:axId val="1555218960"/>
      </c:lineChart>
      <c:catAx>
        <c:axId val="155521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Month</a:t>
                </a:r>
              </a:p>
            </c:rich>
          </c:tx>
          <c:layout>
            <c:manualLayout>
              <c:xMode val="edge"/>
              <c:yMode val="edge"/>
              <c:x val="0.35178302712160975"/>
              <c:y val="0.901828521434820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5218960"/>
        <c:crosses val="autoZero"/>
        <c:auto val="1"/>
        <c:lblAlgn val="ctr"/>
        <c:lblOffset val="100"/>
        <c:noMultiLvlLbl val="0"/>
      </c:catAx>
      <c:valAx>
        <c:axId val="1555218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Number of hand hygiene </a:t>
                </a:r>
              </a:p>
              <a:p>
                <a:pPr>
                  <a:defRPr/>
                </a:pPr>
                <a:r>
                  <a:rPr lang="en-GB" b="1"/>
                  <a:t>audits</a:t>
                </a:r>
                <a:r>
                  <a:rPr lang="en-GB" b="1" baseline="0"/>
                  <a:t> submitted</a:t>
                </a:r>
                <a:endParaRPr lang="en-GB" b="1"/>
              </a:p>
            </c:rich>
          </c:tx>
          <c:layout>
            <c:manualLayout>
              <c:xMode val="edge"/>
              <c:yMode val="edge"/>
              <c:x val="1.5342465753424657E-2"/>
              <c:y val="0.255462962962962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5213552"/>
        <c:crosses val="autoZero"/>
        <c:crossBetween val="between"/>
      </c:valAx>
      <c:spPr>
        <a:noFill/>
        <a:ln>
          <a:noFill/>
        </a:ln>
        <a:effectLst/>
      </c:spPr>
    </c:plotArea>
    <c:legend>
      <c:legendPos val="r"/>
      <c:layout>
        <c:manualLayout>
          <c:xMode val="edge"/>
          <c:yMode val="edge"/>
          <c:x val="0.77746763024484966"/>
          <c:y val="0.23942074948964709"/>
          <c:w val="0.20061456153597237"/>
          <c:h val="0.239584426946631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1F0E-C4ED-4537-AA74-9E410305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4813</Words>
  <Characters>27437</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NHFT</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dc:creator>
  <cp:keywords/>
  <dc:description/>
  <cp:lastModifiedBy>HEMSLEY, Amanda (LEICESTERSHIRE PARTNERSHIP NHS TRUST)</cp:lastModifiedBy>
  <cp:revision>2</cp:revision>
  <dcterms:created xsi:type="dcterms:W3CDTF">2023-01-16T12:21:00Z</dcterms:created>
  <dcterms:modified xsi:type="dcterms:W3CDTF">2023-01-16T12:21:00Z</dcterms:modified>
</cp:coreProperties>
</file>