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262EC" w14:textId="77777777" w:rsidR="001D7B29" w:rsidRDefault="00016DFC" w:rsidP="008013B6">
      <w:pPr>
        <w:rPr>
          <w:b/>
          <w:color w:val="4F81BD" w:themeColor="accent1"/>
          <w:sz w:val="30"/>
        </w:rPr>
      </w:pPr>
      <w:r w:rsidRPr="00153EAD">
        <w:rPr>
          <w:rFonts w:ascii="Arial" w:hAnsi="Arial" w:cs="Arial"/>
          <w:noProof/>
          <w:szCs w:val="24"/>
          <w:lang w:eastAsia="en-GB"/>
        </w:rPr>
        <w:drawing>
          <wp:anchor distT="0" distB="0" distL="114300" distR="114300" simplePos="0" relativeHeight="251461632" behindDoc="0" locked="0" layoutInCell="1" allowOverlap="1" wp14:anchorId="3DFF126F" wp14:editId="7D73057C">
            <wp:simplePos x="0" y="0"/>
            <wp:positionH relativeFrom="column">
              <wp:posOffset>4269740</wp:posOffset>
            </wp:positionH>
            <wp:positionV relativeFrom="paragraph">
              <wp:posOffset>-187960</wp:posOffset>
            </wp:positionV>
            <wp:extent cx="2409190" cy="7150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7265" t="17215" r="8093" b="33543"/>
                    <a:stretch>
                      <a:fillRect/>
                    </a:stretch>
                  </pic:blipFill>
                  <pic:spPr bwMode="auto">
                    <a:xfrm>
                      <a:off x="0" y="0"/>
                      <a:ext cx="240919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39EAAE" w14:textId="77777777" w:rsidR="001D7B29" w:rsidRDefault="001D7B29" w:rsidP="008013B6">
      <w:pPr>
        <w:rPr>
          <w:b/>
          <w:color w:val="4F81BD" w:themeColor="accent1"/>
          <w:sz w:val="30"/>
        </w:rPr>
      </w:pPr>
    </w:p>
    <w:p w14:paraId="45ECD1D4" w14:textId="32CCB2E6" w:rsidR="0043360A" w:rsidRPr="00127224" w:rsidRDefault="00414BBF" w:rsidP="005F5260">
      <w:pPr>
        <w:ind w:right="687"/>
        <w:rPr>
          <w:b/>
          <w:color w:val="4F81BD" w:themeColor="accent1"/>
          <w:sz w:val="30"/>
        </w:rPr>
      </w:pPr>
      <w:r>
        <w:rPr>
          <w:b/>
          <w:color w:val="4F81BD" w:themeColor="accent1"/>
          <w:sz w:val="30"/>
        </w:rPr>
        <w:t xml:space="preserve">Public </w:t>
      </w:r>
      <w:r w:rsidR="001D7B29">
        <w:rPr>
          <w:b/>
          <w:color w:val="4F81BD" w:themeColor="accent1"/>
          <w:sz w:val="30"/>
        </w:rPr>
        <w:t>Trust Board</w:t>
      </w:r>
      <w:r w:rsidR="0043360A" w:rsidRPr="00127224">
        <w:rPr>
          <w:b/>
          <w:color w:val="4F81BD" w:themeColor="accent1"/>
          <w:sz w:val="30"/>
        </w:rPr>
        <w:t xml:space="preserve"> </w:t>
      </w:r>
      <w:r w:rsidR="005C2928" w:rsidRPr="00127224">
        <w:rPr>
          <w:b/>
          <w:color w:val="4F81BD" w:themeColor="accent1"/>
          <w:sz w:val="30"/>
        </w:rPr>
        <w:t xml:space="preserve">– </w:t>
      </w:r>
      <w:r w:rsidR="001A0F72">
        <w:rPr>
          <w:b/>
          <w:color w:val="4F81BD" w:themeColor="accent1"/>
          <w:sz w:val="30"/>
        </w:rPr>
        <w:t xml:space="preserve">26 </w:t>
      </w:r>
      <w:r w:rsidR="004A1E8F">
        <w:rPr>
          <w:b/>
          <w:color w:val="4F81BD" w:themeColor="accent1"/>
          <w:sz w:val="30"/>
        </w:rPr>
        <w:t>Ju</w:t>
      </w:r>
      <w:r w:rsidR="001A0F72">
        <w:rPr>
          <w:b/>
          <w:color w:val="4F81BD" w:themeColor="accent1"/>
          <w:sz w:val="30"/>
        </w:rPr>
        <w:t>ly</w:t>
      </w:r>
      <w:r w:rsidR="004A1E8F">
        <w:rPr>
          <w:b/>
          <w:color w:val="4F81BD" w:themeColor="accent1"/>
          <w:sz w:val="30"/>
        </w:rPr>
        <w:t xml:space="preserve"> 2022</w:t>
      </w:r>
    </w:p>
    <w:p w14:paraId="293A89D5" w14:textId="77777777" w:rsidR="0043360A" w:rsidRDefault="003762AB" w:rsidP="005F5260">
      <w:pPr>
        <w:ind w:right="687"/>
        <w:rPr>
          <w:b/>
          <w:color w:val="4F81BD" w:themeColor="accent1"/>
          <w:sz w:val="30"/>
        </w:rPr>
      </w:pPr>
      <w:r>
        <w:rPr>
          <w:b/>
          <w:color w:val="4F81BD" w:themeColor="accent1"/>
          <w:sz w:val="30"/>
        </w:rPr>
        <w:t xml:space="preserve">Infection Prevention and Control </w:t>
      </w:r>
      <w:r w:rsidR="000915F3">
        <w:rPr>
          <w:b/>
          <w:color w:val="4F81BD" w:themeColor="accent1"/>
          <w:sz w:val="30"/>
        </w:rPr>
        <w:t>Six</w:t>
      </w:r>
      <w:r>
        <w:rPr>
          <w:b/>
          <w:color w:val="4F81BD" w:themeColor="accent1"/>
          <w:sz w:val="30"/>
        </w:rPr>
        <w:t xml:space="preserve">-Monthly </w:t>
      </w:r>
      <w:r w:rsidR="0043360A" w:rsidRPr="00127224">
        <w:rPr>
          <w:b/>
          <w:color w:val="4F81BD" w:themeColor="accent1"/>
          <w:sz w:val="30"/>
        </w:rPr>
        <w:t xml:space="preserve">Report </w:t>
      </w:r>
      <w:r>
        <w:rPr>
          <w:b/>
          <w:color w:val="4F81BD" w:themeColor="accent1"/>
          <w:sz w:val="30"/>
        </w:rPr>
        <w:t>to Trust Board</w:t>
      </w:r>
    </w:p>
    <w:p w14:paraId="45C685B9" w14:textId="77777777" w:rsidR="008511D6" w:rsidRPr="000E645A" w:rsidRDefault="008511D6" w:rsidP="005F5260">
      <w:pPr>
        <w:ind w:right="687"/>
        <w:rPr>
          <w:b/>
          <w:color w:val="4F81BD" w:themeColor="accent1"/>
          <w:sz w:val="28"/>
          <w:szCs w:val="28"/>
        </w:rPr>
      </w:pPr>
      <w:r w:rsidRPr="000E645A">
        <w:rPr>
          <w:b/>
          <w:color w:val="4F81BD" w:themeColor="accent1"/>
          <w:sz w:val="28"/>
          <w:szCs w:val="28"/>
        </w:rPr>
        <w:t>Introduction</w:t>
      </w:r>
    </w:p>
    <w:p w14:paraId="6C04DFC6" w14:textId="18AEAB6C" w:rsidR="003762AB" w:rsidRDefault="003762AB" w:rsidP="007B4F16">
      <w:pPr>
        <w:spacing w:after="120"/>
        <w:ind w:right="686"/>
        <w:rPr>
          <w:noProof/>
          <w:color w:val="000000"/>
          <w:sz w:val="24"/>
          <w:szCs w:val="24"/>
        </w:rPr>
      </w:pPr>
      <w:r w:rsidRPr="006B6E62">
        <w:rPr>
          <w:noProof/>
          <w:color w:val="000000"/>
          <w:sz w:val="24"/>
          <w:szCs w:val="24"/>
        </w:rPr>
        <w:t xml:space="preserve">This six monthly report provides assurance from the Director of Infection Prevention and Control (DIPaC) that the trust has a robust, effective and proactive </w:t>
      </w:r>
      <w:r w:rsidR="000915F3" w:rsidRPr="006B6E62">
        <w:rPr>
          <w:noProof/>
          <w:color w:val="000000"/>
          <w:sz w:val="24"/>
          <w:szCs w:val="24"/>
        </w:rPr>
        <w:t>I</w:t>
      </w:r>
      <w:r w:rsidRPr="006B6E62">
        <w:rPr>
          <w:noProof/>
          <w:color w:val="000000"/>
          <w:sz w:val="24"/>
          <w:szCs w:val="24"/>
        </w:rPr>
        <w:t xml:space="preserve">nfection </w:t>
      </w:r>
      <w:r w:rsidR="000915F3" w:rsidRPr="006B6E62">
        <w:rPr>
          <w:noProof/>
          <w:color w:val="000000"/>
          <w:sz w:val="24"/>
          <w:szCs w:val="24"/>
        </w:rPr>
        <w:t>P</w:t>
      </w:r>
      <w:r w:rsidRPr="006B6E62">
        <w:rPr>
          <w:noProof/>
          <w:color w:val="000000"/>
          <w:sz w:val="24"/>
          <w:szCs w:val="24"/>
        </w:rPr>
        <w:t xml:space="preserve">revention and </w:t>
      </w:r>
      <w:r w:rsidR="000915F3" w:rsidRPr="006B6E62">
        <w:rPr>
          <w:noProof/>
          <w:color w:val="000000"/>
          <w:sz w:val="24"/>
          <w:szCs w:val="24"/>
        </w:rPr>
        <w:t>C</w:t>
      </w:r>
      <w:r w:rsidRPr="006B6E62">
        <w:rPr>
          <w:noProof/>
          <w:color w:val="000000"/>
          <w:sz w:val="24"/>
          <w:szCs w:val="24"/>
        </w:rPr>
        <w:t xml:space="preserve">ontrol </w:t>
      </w:r>
      <w:r w:rsidR="000915F3" w:rsidRPr="006B6E62">
        <w:rPr>
          <w:noProof/>
          <w:color w:val="000000"/>
          <w:sz w:val="24"/>
          <w:szCs w:val="24"/>
        </w:rPr>
        <w:t xml:space="preserve">(IPC) </w:t>
      </w:r>
      <w:r w:rsidRPr="006B6E62">
        <w:rPr>
          <w:noProof/>
          <w:color w:val="000000"/>
          <w:sz w:val="24"/>
          <w:szCs w:val="24"/>
        </w:rPr>
        <w:t xml:space="preserve">strategy and work programme in place, that demonstrates compliance with the Health and Social Care Act 2008 (updated July 2015) also referred to as the Hygiene Code. </w:t>
      </w:r>
    </w:p>
    <w:p w14:paraId="77959729" w14:textId="77777777" w:rsidR="00152435" w:rsidRDefault="00152435" w:rsidP="005C2928">
      <w:pPr>
        <w:ind w:right="687"/>
        <w:rPr>
          <w:b/>
          <w:color w:val="4F81BD" w:themeColor="accent1"/>
          <w:sz w:val="28"/>
          <w:szCs w:val="28"/>
        </w:rPr>
      </w:pPr>
    </w:p>
    <w:p w14:paraId="19EB6488" w14:textId="6F0A4212" w:rsidR="005C2928" w:rsidRPr="005C2928" w:rsidRDefault="005C2928" w:rsidP="005C2928">
      <w:pPr>
        <w:ind w:right="687"/>
        <w:rPr>
          <w:b/>
          <w:color w:val="4F81BD" w:themeColor="accent1"/>
          <w:sz w:val="28"/>
          <w:szCs w:val="28"/>
        </w:rPr>
      </w:pPr>
      <w:r>
        <w:rPr>
          <w:b/>
          <w:color w:val="4F81BD" w:themeColor="accent1"/>
          <w:sz w:val="28"/>
          <w:szCs w:val="28"/>
        </w:rPr>
        <w:t>Background</w:t>
      </w:r>
    </w:p>
    <w:p w14:paraId="12099968" w14:textId="28C773B5" w:rsidR="00FF6B00" w:rsidRDefault="003762AB" w:rsidP="008511D6">
      <w:pPr>
        <w:spacing w:after="120"/>
        <w:ind w:right="687"/>
        <w:rPr>
          <w:noProof/>
          <w:color w:val="000000"/>
          <w:sz w:val="24"/>
          <w:szCs w:val="24"/>
        </w:rPr>
      </w:pPr>
      <w:r w:rsidRPr="006B6E62">
        <w:rPr>
          <w:noProof/>
          <w:color w:val="000000"/>
          <w:sz w:val="24"/>
          <w:szCs w:val="24"/>
        </w:rPr>
        <w:t>The Infection Prevention and Control (IP</w:t>
      </w:r>
      <w:r w:rsidR="001F69F3" w:rsidRPr="006B6E62">
        <w:rPr>
          <w:noProof/>
          <w:color w:val="000000"/>
          <w:sz w:val="24"/>
          <w:szCs w:val="24"/>
        </w:rPr>
        <w:t xml:space="preserve">C) team currently </w:t>
      </w:r>
      <w:r w:rsidR="007344B6">
        <w:rPr>
          <w:noProof/>
          <w:color w:val="000000"/>
          <w:sz w:val="24"/>
          <w:szCs w:val="24"/>
        </w:rPr>
        <w:t>has</w:t>
      </w:r>
      <w:r w:rsidR="001F69F3" w:rsidRPr="006B6E62">
        <w:rPr>
          <w:noProof/>
          <w:color w:val="000000"/>
          <w:sz w:val="24"/>
          <w:szCs w:val="24"/>
        </w:rPr>
        <w:t xml:space="preserve"> </w:t>
      </w:r>
      <w:r w:rsidR="004A1E8F">
        <w:rPr>
          <w:noProof/>
          <w:color w:val="000000"/>
          <w:sz w:val="24"/>
          <w:szCs w:val="24"/>
        </w:rPr>
        <w:t>3.7</w:t>
      </w:r>
      <w:r w:rsidRPr="006B6E62">
        <w:rPr>
          <w:noProof/>
          <w:color w:val="000000"/>
          <w:sz w:val="24"/>
          <w:szCs w:val="24"/>
        </w:rPr>
        <w:t xml:space="preserve"> W</w:t>
      </w:r>
      <w:r w:rsidR="007344B6">
        <w:rPr>
          <w:noProof/>
          <w:color w:val="000000"/>
          <w:sz w:val="24"/>
          <w:szCs w:val="24"/>
        </w:rPr>
        <w:t xml:space="preserve">hole </w:t>
      </w:r>
      <w:r w:rsidRPr="006B6E62">
        <w:rPr>
          <w:noProof/>
          <w:color w:val="000000"/>
          <w:sz w:val="24"/>
          <w:szCs w:val="24"/>
        </w:rPr>
        <w:t>T</w:t>
      </w:r>
      <w:r w:rsidR="007344B6">
        <w:rPr>
          <w:noProof/>
          <w:color w:val="000000"/>
          <w:sz w:val="24"/>
          <w:szCs w:val="24"/>
        </w:rPr>
        <w:t xml:space="preserve">ime </w:t>
      </w:r>
      <w:r w:rsidRPr="006B6E62">
        <w:rPr>
          <w:noProof/>
          <w:color w:val="000000"/>
          <w:sz w:val="24"/>
          <w:szCs w:val="24"/>
        </w:rPr>
        <w:t>E</w:t>
      </w:r>
      <w:r w:rsidR="007344B6">
        <w:rPr>
          <w:noProof/>
          <w:color w:val="000000"/>
          <w:sz w:val="24"/>
          <w:szCs w:val="24"/>
        </w:rPr>
        <w:t>quivalent (WTE)</w:t>
      </w:r>
      <w:r w:rsidRPr="006B6E62">
        <w:rPr>
          <w:noProof/>
          <w:color w:val="000000"/>
          <w:sz w:val="24"/>
          <w:szCs w:val="24"/>
        </w:rPr>
        <w:t xml:space="preserve"> Infection Prevention and Control Nurses</w:t>
      </w:r>
      <w:r w:rsidR="004A1E8F">
        <w:rPr>
          <w:noProof/>
          <w:color w:val="000000"/>
          <w:sz w:val="24"/>
          <w:szCs w:val="24"/>
        </w:rPr>
        <w:t xml:space="preserve"> and 1 WTE IPC administrator.  The team is </w:t>
      </w:r>
      <w:r w:rsidRPr="006B6E62">
        <w:rPr>
          <w:noProof/>
          <w:color w:val="000000"/>
          <w:sz w:val="24"/>
          <w:szCs w:val="24"/>
        </w:rPr>
        <w:t xml:space="preserve">supported and managed by the </w:t>
      </w:r>
      <w:r w:rsidR="00A477F8">
        <w:rPr>
          <w:noProof/>
          <w:color w:val="000000"/>
          <w:sz w:val="24"/>
          <w:szCs w:val="24"/>
        </w:rPr>
        <w:t>Interim Deputy</w:t>
      </w:r>
      <w:r w:rsidRPr="006B6E62">
        <w:rPr>
          <w:noProof/>
          <w:color w:val="000000"/>
          <w:sz w:val="24"/>
          <w:szCs w:val="24"/>
        </w:rPr>
        <w:t xml:space="preserve"> Director of Nursing and </w:t>
      </w:r>
      <w:r w:rsidR="007344B6">
        <w:rPr>
          <w:noProof/>
          <w:color w:val="000000"/>
          <w:sz w:val="24"/>
          <w:szCs w:val="24"/>
        </w:rPr>
        <w:t>Quality</w:t>
      </w:r>
      <w:r w:rsidR="008511D6" w:rsidRPr="006B6E62">
        <w:rPr>
          <w:noProof/>
          <w:color w:val="000000"/>
          <w:sz w:val="24"/>
          <w:szCs w:val="24"/>
        </w:rPr>
        <w:t>/Deputy Director of Infection Prevention and Control (DDIPaC)</w:t>
      </w:r>
      <w:r w:rsidRPr="006B6E62">
        <w:rPr>
          <w:noProof/>
          <w:color w:val="000000"/>
          <w:sz w:val="24"/>
          <w:szCs w:val="24"/>
        </w:rPr>
        <w:t>. Recruitment into the IPC team</w:t>
      </w:r>
      <w:r w:rsidR="00A477F8">
        <w:rPr>
          <w:noProof/>
          <w:color w:val="000000"/>
          <w:sz w:val="24"/>
          <w:szCs w:val="24"/>
        </w:rPr>
        <w:t xml:space="preserve"> for vacancies due to retirement has proved challenging due to the specialist skills and knowledge required and national recruitment to enha</w:t>
      </w:r>
      <w:r w:rsidR="003A78AD">
        <w:rPr>
          <w:noProof/>
          <w:color w:val="000000"/>
          <w:sz w:val="24"/>
          <w:szCs w:val="24"/>
        </w:rPr>
        <w:t>n</w:t>
      </w:r>
      <w:r w:rsidR="00A477F8">
        <w:rPr>
          <w:noProof/>
          <w:color w:val="000000"/>
          <w:sz w:val="24"/>
          <w:szCs w:val="24"/>
        </w:rPr>
        <w:t xml:space="preserve">ce IPC teams throughout the pandemic. The team are looking at new ways to attract and </w:t>
      </w:r>
      <w:r w:rsidRPr="006B6E62">
        <w:rPr>
          <w:noProof/>
          <w:color w:val="000000"/>
          <w:sz w:val="24"/>
          <w:szCs w:val="24"/>
        </w:rPr>
        <w:t xml:space="preserve"> </w:t>
      </w:r>
      <w:r w:rsidR="004A1E8F">
        <w:rPr>
          <w:noProof/>
          <w:color w:val="000000"/>
          <w:sz w:val="24"/>
          <w:szCs w:val="24"/>
        </w:rPr>
        <w:t xml:space="preserve"> development and second</w:t>
      </w:r>
      <w:r w:rsidR="00A477F8">
        <w:rPr>
          <w:noProof/>
          <w:color w:val="000000"/>
          <w:sz w:val="24"/>
          <w:szCs w:val="24"/>
        </w:rPr>
        <w:t xml:space="preserve">ment </w:t>
      </w:r>
      <w:r w:rsidR="004A1E8F">
        <w:rPr>
          <w:noProof/>
          <w:color w:val="000000"/>
          <w:sz w:val="24"/>
          <w:szCs w:val="24"/>
        </w:rPr>
        <w:t xml:space="preserve"> opportunities to</w:t>
      </w:r>
      <w:r w:rsidR="00A477F8">
        <w:rPr>
          <w:noProof/>
          <w:color w:val="000000"/>
          <w:sz w:val="24"/>
          <w:szCs w:val="24"/>
        </w:rPr>
        <w:t xml:space="preserve"> support succession planning and sustainability.</w:t>
      </w:r>
      <w:r w:rsidR="004A1E8F">
        <w:rPr>
          <w:noProof/>
          <w:color w:val="000000"/>
          <w:sz w:val="24"/>
          <w:szCs w:val="24"/>
        </w:rPr>
        <w:t>.</w:t>
      </w:r>
    </w:p>
    <w:p w14:paraId="1DCB0496" w14:textId="77E7362D" w:rsidR="00605C2B" w:rsidRDefault="00605C2B" w:rsidP="008511D6">
      <w:pPr>
        <w:spacing w:after="120"/>
        <w:ind w:right="687"/>
        <w:rPr>
          <w:noProof/>
          <w:color w:val="000000"/>
          <w:sz w:val="24"/>
          <w:szCs w:val="24"/>
        </w:rPr>
      </w:pPr>
      <w:r w:rsidRPr="000915F3">
        <w:rPr>
          <w:sz w:val="24"/>
          <w:szCs w:val="24"/>
        </w:rPr>
        <w:t xml:space="preserve">The Infection Prevention and Control Board Assurance Framework (BAF) </w:t>
      </w:r>
      <w:r w:rsidR="004A1E8F">
        <w:rPr>
          <w:sz w:val="24"/>
          <w:szCs w:val="24"/>
        </w:rPr>
        <w:t>has been updated</w:t>
      </w:r>
      <w:r w:rsidR="00271EBD">
        <w:rPr>
          <w:sz w:val="24"/>
          <w:szCs w:val="24"/>
        </w:rPr>
        <w:t xml:space="preserve"> twice since December 2021, with a further </w:t>
      </w:r>
      <w:r w:rsidR="00B17ECE">
        <w:rPr>
          <w:sz w:val="24"/>
          <w:szCs w:val="24"/>
        </w:rPr>
        <w:t>22</w:t>
      </w:r>
      <w:r w:rsidRPr="000915F3">
        <w:rPr>
          <w:sz w:val="24"/>
          <w:szCs w:val="24"/>
        </w:rPr>
        <w:t xml:space="preserve"> Key Lines of Enquiry (KL</w:t>
      </w:r>
      <w:r>
        <w:rPr>
          <w:sz w:val="24"/>
          <w:szCs w:val="24"/>
        </w:rPr>
        <w:t>o</w:t>
      </w:r>
      <w:r w:rsidRPr="000915F3">
        <w:rPr>
          <w:sz w:val="24"/>
          <w:szCs w:val="24"/>
        </w:rPr>
        <w:t xml:space="preserve">Es).   The BAF </w:t>
      </w:r>
      <w:r w:rsidR="00271EBD">
        <w:rPr>
          <w:sz w:val="24"/>
          <w:szCs w:val="24"/>
        </w:rPr>
        <w:t xml:space="preserve">has been </w:t>
      </w:r>
      <w:r w:rsidR="00055200" w:rsidRPr="000915F3">
        <w:rPr>
          <w:sz w:val="24"/>
          <w:szCs w:val="24"/>
        </w:rPr>
        <w:t>reviewed,</w:t>
      </w:r>
      <w:r w:rsidRPr="000915F3">
        <w:rPr>
          <w:sz w:val="24"/>
          <w:szCs w:val="24"/>
        </w:rPr>
        <w:t xml:space="preserve"> and information and reports embedded within the </w:t>
      </w:r>
      <w:r>
        <w:rPr>
          <w:sz w:val="24"/>
          <w:szCs w:val="24"/>
        </w:rPr>
        <w:t>self-</w:t>
      </w:r>
      <w:r w:rsidR="00E70EDB">
        <w:rPr>
          <w:sz w:val="24"/>
          <w:szCs w:val="24"/>
        </w:rPr>
        <w:t>assessment.</w:t>
      </w:r>
      <w:r w:rsidRPr="000915F3">
        <w:rPr>
          <w:sz w:val="24"/>
          <w:szCs w:val="24"/>
        </w:rPr>
        <w:t xml:space="preserve">  </w:t>
      </w:r>
      <w:r>
        <w:rPr>
          <w:sz w:val="24"/>
          <w:szCs w:val="24"/>
        </w:rPr>
        <w:t xml:space="preserve">The BAF self-assessments and subsequent updates have been shared with </w:t>
      </w:r>
      <w:r w:rsidR="007344B6">
        <w:rPr>
          <w:sz w:val="24"/>
          <w:szCs w:val="24"/>
        </w:rPr>
        <w:t xml:space="preserve">Trust and </w:t>
      </w:r>
      <w:r>
        <w:rPr>
          <w:sz w:val="24"/>
          <w:szCs w:val="24"/>
        </w:rPr>
        <w:t xml:space="preserve">both </w:t>
      </w:r>
      <w:r w:rsidRPr="000915F3">
        <w:rPr>
          <w:sz w:val="24"/>
          <w:szCs w:val="24"/>
        </w:rPr>
        <w:t>NHS</w:t>
      </w:r>
      <w:r w:rsidR="007344B6">
        <w:rPr>
          <w:sz w:val="24"/>
          <w:szCs w:val="24"/>
        </w:rPr>
        <w:t xml:space="preserve"> </w:t>
      </w:r>
      <w:r w:rsidRPr="000915F3">
        <w:rPr>
          <w:sz w:val="24"/>
          <w:szCs w:val="24"/>
        </w:rPr>
        <w:t>E</w:t>
      </w:r>
      <w:r w:rsidR="007344B6">
        <w:rPr>
          <w:sz w:val="24"/>
          <w:szCs w:val="24"/>
        </w:rPr>
        <w:t xml:space="preserve">ngland </w:t>
      </w:r>
      <w:r w:rsidRPr="000915F3">
        <w:rPr>
          <w:sz w:val="24"/>
          <w:szCs w:val="24"/>
        </w:rPr>
        <w:t>&amp;</w:t>
      </w:r>
      <w:r w:rsidR="007344B6">
        <w:rPr>
          <w:sz w:val="24"/>
          <w:szCs w:val="24"/>
        </w:rPr>
        <w:t xml:space="preserve"> </w:t>
      </w:r>
      <w:r w:rsidRPr="000915F3">
        <w:rPr>
          <w:sz w:val="24"/>
          <w:szCs w:val="24"/>
        </w:rPr>
        <w:t>I</w:t>
      </w:r>
      <w:r w:rsidR="007344B6">
        <w:rPr>
          <w:sz w:val="24"/>
          <w:szCs w:val="24"/>
        </w:rPr>
        <w:t>mprovement (NHSE &amp; I)</w:t>
      </w:r>
      <w:r w:rsidRPr="000915F3">
        <w:rPr>
          <w:sz w:val="24"/>
          <w:szCs w:val="24"/>
        </w:rPr>
        <w:t xml:space="preserve"> IPC </w:t>
      </w:r>
      <w:r w:rsidR="00D406B5" w:rsidRPr="000915F3">
        <w:rPr>
          <w:sz w:val="24"/>
          <w:szCs w:val="24"/>
        </w:rPr>
        <w:t>lead</w:t>
      </w:r>
      <w:r w:rsidR="00D406B5">
        <w:rPr>
          <w:sz w:val="24"/>
          <w:szCs w:val="24"/>
        </w:rPr>
        <w:t>s,</w:t>
      </w:r>
      <w:r>
        <w:rPr>
          <w:sz w:val="24"/>
          <w:szCs w:val="24"/>
        </w:rPr>
        <w:t xml:space="preserve"> and Care Quality Commission (CQC) as detailed in previous Trust board 6-month IPC report</w:t>
      </w:r>
      <w:r w:rsidR="007344B6">
        <w:rPr>
          <w:sz w:val="24"/>
          <w:szCs w:val="24"/>
        </w:rPr>
        <w:t xml:space="preserve">s, </w:t>
      </w:r>
      <w:r>
        <w:rPr>
          <w:sz w:val="24"/>
          <w:szCs w:val="24"/>
        </w:rPr>
        <w:t xml:space="preserve">all </w:t>
      </w:r>
      <w:r w:rsidR="007344B6">
        <w:rPr>
          <w:sz w:val="24"/>
          <w:szCs w:val="24"/>
        </w:rPr>
        <w:t xml:space="preserve">BAF </w:t>
      </w:r>
      <w:r>
        <w:rPr>
          <w:sz w:val="24"/>
          <w:szCs w:val="24"/>
        </w:rPr>
        <w:t>actions</w:t>
      </w:r>
      <w:r w:rsidR="007344B6">
        <w:rPr>
          <w:sz w:val="24"/>
          <w:szCs w:val="24"/>
        </w:rPr>
        <w:t xml:space="preserve"> </w:t>
      </w:r>
      <w:r w:rsidR="00A477F8">
        <w:rPr>
          <w:sz w:val="24"/>
          <w:szCs w:val="24"/>
        </w:rPr>
        <w:t xml:space="preserve">are now </w:t>
      </w:r>
      <w:r>
        <w:rPr>
          <w:sz w:val="24"/>
          <w:szCs w:val="24"/>
        </w:rPr>
        <w:t>completed</w:t>
      </w:r>
      <w:r w:rsidR="00B17ECE">
        <w:rPr>
          <w:sz w:val="24"/>
          <w:szCs w:val="24"/>
        </w:rPr>
        <w:t xml:space="preserve"> </w:t>
      </w:r>
      <w:r w:rsidR="00BD5037">
        <w:rPr>
          <w:sz w:val="24"/>
          <w:szCs w:val="24"/>
        </w:rPr>
        <w:t>and closed</w:t>
      </w:r>
      <w:r w:rsidR="00271EBD">
        <w:rPr>
          <w:sz w:val="24"/>
          <w:szCs w:val="24"/>
        </w:rPr>
        <w:t xml:space="preserve">.   </w:t>
      </w:r>
    </w:p>
    <w:p w14:paraId="154EE29B" w14:textId="77777777" w:rsidR="0043360A" w:rsidRPr="00B971F3" w:rsidRDefault="0043360A" w:rsidP="008511D6">
      <w:pPr>
        <w:spacing w:after="120"/>
        <w:ind w:right="687"/>
        <w:rPr>
          <w:b/>
          <w:color w:val="4F81BD" w:themeColor="accent1"/>
          <w:sz w:val="16"/>
          <w:szCs w:val="16"/>
        </w:rPr>
      </w:pPr>
    </w:p>
    <w:p w14:paraId="0E581427" w14:textId="77777777" w:rsidR="0043360A" w:rsidRDefault="0043360A" w:rsidP="008511D6">
      <w:pPr>
        <w:spacing w:after="120"/>
        <w:ind w:right="687"/>
        <w:rPr>
          <w:b/>
          <w:color w:val="4F81BD" w:themeColor="accent1"/>
          <w:sz w:val="28"/>
        </w:rPr>
      </w:pPr>
      <w:r w:rsidRPr="00E2366B">
        <w:rPr>
          <w:b/>
          <w:color w:val="4F81BD" w:themeColor="accent1"/>
          <w:sz w:val="28"/>
        </w:rPr>
        <w:t>Purpose of the report</w:t>
      </w:r>
    </w:p>
    <w:p w14:paraId="6409C65A" w14:textId="77777777" w:rsidR="003762AB" w:rsidRDefault="003762AB" w:rsidP="008511D6">
      <w:pPr>
        <w:spacing w:after="120"/>
        <w:ind w:right="687"/>
        <w:rPr>
          <w:rFonts w:eastAsia="Arial"/>
          <w:bCs/>
          <w:sz w:val="24"/>
          <w:szCs w:val="24"/>
        </w:rPr>
      </w:pPr>
      <w:r w:rsidRPr="006B6E62">
        <w:rPr>
          <w:sz w:val="24"/>
          <w:szCs w:val="24"/>
        </w:rPr>
        <w:t>The aim of this report is to provide the Trust Board with assurance there is</w:t>
      </w:r>
      <w:r w:rsidRPr="006B6E62">
        <w:rPr>
          <w:noProof/>
          <w:color w:val="000000"/>
          <w:sz w:val="24"/>
          <w:szCs w:val="24"/>
        </w:rPr>
        <w:t xml:space="preserve"> a robust, effective and proactive infection prevention and control programme in place, that demonstrates compliance with</w:t>
      </w:r>
      <w:r w:rsidRPr="000915F3">
        <w:rPr>
          <w:noProof/>
          <w:color w:val="000000"/>
          <w:sz w:val="24"/>
          <w:szCs w:val="24"/>
        </w:rPr>
        <w:t xml:space="preserve"> the Health and Social Care Act 2008 (updated July 2015) and to assure the board</w:t>
      </w:r>
      <w:r w:rsidRPr="000915F3">
        <w:rPr>
          <w:rFonts w:eastAsia="Arial"/>
          <w:bCs/>
          <w:sz w:val="24"/>
          <w:szCs w:val="24"/>
        </w:rPr>
        <w:t xml:space="preserve"> that all IPC measures taken are in line with government COVID-19 IPC guidance.</w:t>
      </w:r>
    </w:p>
    <w:p w14:paraId="660B4EA6" w14:textId="0D14B51F" w:rsidR="005A0186" w:rsidRDefault="00605C2B" w:rsidP="005A0186">
      <w:pPr>
        <w:spacing w:after="120"/>
        <w:ind w:right="687"/>
        <w:rPr>
          <w:noProof/>
          <w:color w:val="000000"/>
          <w:sz w:val="24"/>
          <w:szCs w:val="24"/>
        </w:rPr>
      </w:pPr>
      <w:r>
        <w:rPr>
          <w:noProof/>
          <w:color w:val="000000"/>
          <w:sz w:val="24"/>
          <w:szCs w:val="24"/>
        </w:rPr>
        <w:t>In addition t</w:t>
      </w:r>
      <w:r w:rsidR="005A0186" w:rsidRPr="006B6E62">
        <w:rPr>
          <w:noProof/>
          <w:color w:val="000000"/>
          <w:sz w:val="24"/>
          <w:szCs w:val="24"/>
        </w:rPr>
        <w:t>he report provides update</w:t>
      </w:r>
      <w:r>
        <w:rPr>
          <w:noProof/>
          <w:color w:val="000000"/>
          <w:sz w:val="24"/>
          <w:szCs w:val="24"/>
        </w:rPr>
        <w:t>s</w:t>
      </w:r>
      <w:r w:rsidR="005A0186" w:rsidRPr="006B6E62">
        <w:rPr>
          <w:noProof/>
          <w:color w:val="000000"/>
          <w:sz w:val="24"/>
          <w:szCs w:val="24"/>
        </w:rPr>
        <w:t xml:space="preserve"> on</w:t>
      </w:r>
      <w:r w:rsidR="005A0186">
        <w:rPr>
          <w:noProof/>
          <w:color w:val="000000"/>
          <w:sz w:val="24"/>
          <w:szCs w:val="24"/>
        </w:rPr>
        <w:t>;</w:t>
      </w:r>
    </w:p>
    <w:p w14:paraId="5AD51BFB" w14:textId="32D71C07" w:rsidR="005A0186" w:rsidRPr="005A0186" w:rsidRDefault="00605C2B" w:rsidP="005A0186">
      <w:pPr>
        <w:pStyle w:val="ListParagraph"/>
        <w:numPr>
          <w:ilvl w:val="0"/>
          <w:numId w:val="22"/>
        </w:numPr>
        <w:spacing w:after="120"/>
        <w:ind w:right="687"/>
        <w:rPr>
          <w:noProof/>
          <w:color w:val="000000"/>
          <w:sz w:val="24"/>
          <w:szCs w:val="24"/>
        </w:rPr>
      </w:pPr>
      <w:r>
        <w:rPr>
          <w:noProof/>
          <w:color w:val="000000"/>
          <w:sz w:val="24"/>
          <w:szCs w:val="24"/>
        </w:rPr>
        <w:t>I</w:t>
      </w:r>
      <w:r w:rsidR="005A0186" w:rsidRPr="005A0186">
        <w:rPr>
          <w:noProof/>
          <w:color w:val="000000"/>
          <w:sz w:val="24"/>
          <w:szCs w:val="24"/>
        </w:rPr>
        <w:t>nformation, quality improvement learning and actions for compliance in regard to Covid-19 outbreaks and  nosocomial Covid-19</w:t>
      </w:r>
      <w:r>
        <w:rPr>
          <w:noProof/>
          <w:color w:val="000000"/>
          <w:sz w:val="24"/>
          <w:szCs w:val="24"/>
        </w:rPr>
        <w:t>.</w:t>
      </w:r>
      <w:r w:rsidR="005A0186" w:rsidRPr="005A0186">
        <w:rPr>
          <w:noProof/>
          <w:color w:val="000000"/>
          <w:sz w:val="24"/>
          <w:szCs w:val="24"/>
        </w:rPr>
        <w:t xml:space="preserve"> </w:t>
      </w:r>
    </w:p>
    <w:p w14:paraId="75AC2EAA" w14:textId="548881CB" w:rsidR="00605C2B" w:rsidRDefault="004B21EB" w:rsidP="005A0186">
      <w:pPr>
        <w:pStyle w:val="ListParagraph"/>
        <w:numPr>
          <w:ilvl w:val="0"/>
          <w:numId w:val="22"/>
        </w:numPr>
        <w:spacing w:after="120"/>
        <w:ind w:right="687"/>
        <w:rPr>
          <w:noProof/>
          <w:color w:val="000000"/>
          <w:sz w:val="24"/>
          <w:szCs w:val="24"/>
        </w:rPr>
      </w:pPr>
      <w:r>
        <w:rPr>
          <w:noProof/>
          <w:color w:val="000000"/>
          <w:sz w:val="24"/>
          <w:szCs w:val="24"/>
        </w:rPr>
        <w:t>Podiatry decontamination update</w:t>
      </w:r>
    </w:p>
    <w:p w14:paraId="13E81B65" w14:textId="640DE7D1" w:rsidR="00271EBD" w:rsidRPr="005A0186" w:rsidRDefault="00271EBD" w:rsidP="005A0186">
      <w:pPr>
        <w:pStyle w:val="ListParagraph"/>
        <w:numPr>
          <w:ilvl w:val="0"/>
          <w:numId w:val="22"/>
        </w:numPr>
        <w:spacing w:after="120"/>
        <w:ind w:right="687"/>
        <w:rPr>
          <w:noProof/>
          <w:color w:val="000000"/>
          <w:sz w:val="24"/>
          <w:szCs w:val="24"/>
        </w:rPr>
      </w:pPr>
      <w:r>
        <w:rPr>
          <w:noProof/>
          <w:color w:val="000000"/>
          <w:sz w:val="24"/>
          <w:szCs w:val="24"/>
        </w:rPr>
        <w:t>Monkeypox infection</w:t>
      </w:r>
    </w:p>
    <w:p w14:paraId="282A4C35" w14:textId="77777777" w:rsidR="008511D6" w:rsidRPr="000915F3" w:rsidRDefault="008511D6" w:rsidP="00453DD1">
      <w:pPr>
        <w:spacing w:after="120"/>
        <w:rPr>
          <w:rFonts w:eastAsia="Arial"/>
          <w:bCs/>
          <w:sz w:val="24"/>
          <w:szCs w:val="24"/>
        </w:rPr>
      </w:pPr>
      <w:r w:rsidRPr="000E645A">
        <w:rPr>
          <w:b/>
          <w:color w:val="4F81BD" w:themeColor="accent1"/>
          <w:sz w:val="28"/>
          <w:szCs w:val="28"/>
        </w:rPr>
        <w:lastRenderedPageBreak/>
        <w:t>Analysis of the issue</w:t>
      </w:r>
    </w:p>
    <w:p w14:paraId="2BDE9385" w14:textId="7751F47C" w:rsidR="00677F05" w:rsidRPr="002038FA" w:rsidRDefault="008511D6" w:rsidP="004D2D05">
      <w:pPr>
        <w:spacing w:after="120"/>
        <w:ind w:right="687"/>
        <w:rPr>
          <w:b/>
          <w:sz w:val="24"/>
          <w:szCs w:val="24"/>
        </w:rPr>
      </w:pPr>
      <w:r>
        <w:rPr>
          <w:b/>
          <w:sz w:val="24"/>
          <w:szCs w:val="24"/>
        </w:rPr>
        <w:t>1</w:t>
      </w:r>
      <w:r w:rsidR="000E2B82" w:rsidRPr="000915F3">
        <w:rPr>
          <w:b/>
          <w:sz w:val="24"/>
          <w:szCs w:val="24"/>
        </w:rPr>
        <w:t>.</w:t>
      </w:r>
      <w:r w:rsidR="000E2B82" w:rsidRPr="000915F3">
        <w:rPr>
          <w:b/>
          <w:sz w:val="24"/>
          <w:szCs w:val="24"/>
        </w:rPr>
        <w:tab/>
      </w:r>
      <w:r w:rsidR="001527C1" w:rsidRPr="000915F3">
        <w:rPr>
          <w:b/>
          <w:sz w:val="24"/>
          <w:szCs w:val="24"/>
        </w:rPr>
        <w:t>COVID-19 pandemic</w:t>
      </w:r>
    </w:p>
    <w:p w14:paraId="14CE20C6" w14:textId="0361F7DA" w:rsidR="00677F05" w:rsidRPr="000915F3" w:rsidRDefault="003F1C91" w:rsidP="002038FA">
      <w:pPr>
        <w:spacing w:after="120"/>
        <w:ind w:left="720" w:hanging="720"/>
        <w:rPr>
          <w:sz w:val="24"/>
          <w:szCs w:val="24"/>
        </w:rPr>
      </w:pPr>
      <w:r>
        <w:rPr>
          <w:sz w:val="24"/>
          <w:szCs w:val="24"/>
        </w:rPr>
        <w:t>1</w:t>
      </w:r>
      <w:r w:rsidR="001527C1" w:rsidRPr="000915F3">
        <w:rPr>
          <w:sz w:val="24"/>
          <w:szCs w:val="24"/>
        </w:rPr>
        <w:t>.1</w:t>
      </w:r>
      <w:r w:rsidR="001527C1" w:rsidRPr="000915F3">
        <w:rPr>
          <w:sz w:val="24"/>
          <w:szCs w:val="24"/>
        </w:rPr>
        <w:tab/>
      </w:r>
      <w:r w:rsidR="00677F05" w:rsidRPr="000915F3">
        <w:rPr>
          <w:sz w:val="24"/>
          <w:szCs w:val="24"/>
        </w:rPr>
        <w:t>The Covid</w:t>
      </w:r>
      <w:r w:rsidR="00502B09">
        <w:rPr>
          <w:sz w:val="24"/>
          <w:szCs w:val="24"/>
        </w:rPr>
        <w:t>-19</w:t>
      </w:r>
      <w:r w:rsidR="00677F05" w:rsidRPr="000915F3">
        <w:rPr>
          <w:sz w:val="24"/>
          <w:szCs w:val="24"/>
        </w:rPr>
        <w:t xml:space="preserve"> pandemic </w:t>
      </w:r>
      <w:r w:rsidR="00B17ECE">
        <w:rPr>
          <w:sz w:val="24"/>
          <w:szCs w:val="24"/>
        </w:rPr>
        <w:t>has been downgraded from level 4 to level 3. Management of patients with suspected or known Covid-19 continues both nationally and locally.</w:t>
      </w:r>
    </w:p>
    <w:p w14:paraId="17C74074" w14:textId="6D1BA43B" w:rsidR="00677F05" w:rsidRDefault="003F1C91" w:rsidP="00B17ECE">
      <w:pPr>
        <w:spacing w:after="120"/>
        <w:ind w:left="720" w:hanging="720"/>
        <w:rPr>
          <w:rFonts w:cs="Arial"/>
          <w:sz w:val="24"/>
          <w:szCs w:val="24"/>
        </w:rPr>
      </w:pPr>
      <w:r>
        <w:rPr>
          <w:sz w:val="24"/>
          <w:szCs w:val="24"/>
        </w:rPr>
        <w:t>1</w:t>
      </w:r>
      <w:r w:rsidR="00677F05" w:rsidRPr="000915F3">
        <w:rPr>
          <w:sz w:val="24"/>
          <w:szCs w:val="24"/>
        </w:rPr>
        <w:t>.2</w:t>
      </w:r>
      <w:r w:rsidR="00677F05" w:rsidRPr="000915F3">
        <w:rPr>
          <w:sz w:val="24"/>
          <w:szCs w:val="24"/>
        </w:rPr>
        <w:tab/>
      </w:r>
      <w:r w:rsidR="00502B09" w:rsidRPr="00B17ECE">
        <w:rPr>
          <w:rFonts w:cs="Arial"/>
          <w:sz w:val="24"/>
          <w:szCs w:val="24"/>
        </w:rPr>
        <w:t>National g</w:t>
      </w:r>
      <w:r w:rsidR="001527C1" w:rsidRPr="00B17ECE">
        <w:rPr>
          <w:rFonts w:cs="Arial"/>
          <w:sz w:val="24"/>
          <w:szCs w:val="24"/>
        </w:rPr>
        <w:t xml:space="preserve">uidelines and </w:t>
      </w:r>
      <w:r w:rsidR="004B21EB" w:rsidRPr="00B17ECE">
        <w:rPr>
          <w:rFonts w:cs="Arial"/>
          <w:sz w:val="24"/>
          <w:szCs w:val="24"/>
        </w:rPr>
        <w:t>communications issued</w:t>
      </w:r>
      <w:r w:rsidR="00677F05" w:rsidRPr="00B17ECE">
        <w:rPr>
          <w:rFonts w:cs="Arial"/>
          <w:sz w:val="24"/>
          <w:szCs w:val="24"/>
        </w:rPr>
        <w:t xml:space="preserve"> continue </w:t>
      </w:r>
      <w:r w:rsidR="00CE2DCF">
        <w:rPr>
          <w:rFonts w:cs="Arial"/>
          <w:sz w:val="24"/>
          <w:szCs w:val="24"/>
        </w:rPr>
        <w:t xml:space="preserve">to </w:t>
      </w:r>
      <w:r w:rsidR="00677F05" w:rsidRPr="00B17ECE">
        <w:rPr>
          <w:rFonts w:cs="Arial"/>
          <w:sz w:val="24"/>
          <w:szCs w:val="24"/>
        </w:rPr>
        <w:t>be</w:t>
      </w:r>
      <w:r w:rsidR="001527C1" w:rsidRPr="00B17ECE">
        <w:rPr>
          <w:rFonts w:cs="Arial"/>
          <w:sz w:val="24"/>
          <w:szCs w:val="24"/>
        </w:rPr>
        <w:t xml:space="preserve"> logged through the Trust Incident Control Centre</w:t>
      </w:r>
      <w:r w:rsidR="004B21EB" w:rsidRPr="00B17ECE">
        <w:rPr>
          <w:rFonts w:cs="Arial"/>
          <w:sz w:val="24"/>
          <w:szCs w:val="24"/>
        </w:rPr>
        <w:t xml:space="preserve"> and or Clinical Reference Group</w:t>
      </w:r>
      <w:r w:rsidR="001527C1" w:rsidRPr="00B17ECE">
        <w:rPr>
          <w:rFonts w:cs="Arial"/>
          <w:sz w:val="24"/>
          <w:szCs w:val="24"/>
        </w:rPr>
        <w:t xml:space="preserve"> and action cards for staff </w:t>
      </w:r>
      <w:r w:rsidR="004B21EB" w:rsidRPr="00B17ECE">
        <w:rPr>
          <w:rFonts w:cs="Arial"/>
          <w:sz w:val="24"/>
          <w:szCs w:val="24"/>
        </w:rPr>
        <w:t>guidance</w:t>
      </w:r>
      <w:r w:rsidR="00677F05" w:rsidRPr="00B17ECE">
        <w:rPr>
          <w:rFonts w:cs="Arial"/>
          <w:sz w:val="24"/>
          <w:szCs w:val="24"/>
        </w:rPr>
        <w:t xml:space="preserve"> are updated </w:t>
      </w:r>
      <w:r w:rsidR="001527C1" w:rsidRPr="00B17ECE">
        <w:rPr>
          <w:rFonts w:cs="Arial"/>
          <w:sz w:val="24"/>
          <w:szCs w:val="24"/>
        </w:rPr>
        <w:t xml:space="preserve">to </w:t>
      </w:r>
      <w:r w:rsidR="0045413C" w:rsidRPr="00B17ECE">
        <w:rPr>
          <w:rFonts w:cs="Arial"/>
          <w:sz w:val="24"/>
          <w:szCs w:val="24"/>
        </w:rPr>
        <w:t>ensure as</w:t>
      </w:r>
      <w:r w:rsidR="001527C1" w:rsidRPr="00B17ECE">
        <w:rPr>
          <w:rFonts w:cs="Arial"/>
          <w:sz w:val="24"/>
          <w:szCs w:val="24"/>
        </w:rPr>
        <w:t xml:space="preserve"> a Trust we have responded in an evidence-based way to maintain the safety of patients, staff, volunteers and contractors.</w:t>
      </w:r>
      <w:r w:rsidR="00677F05" w:rsidRPr="00B17ECE">
        <w:rPr>
          <w:rFonts w:cs="Arial"/>
          <w:sz w:val="24"/>
          <w:szCs w:val="24"/>
        </w:rPr>
        <w:t xml:space="preserve"> </w:t>
      </w:r>
    </w:p>
    <w:p w14:paraId="5D8D42F8" w14:textId="3489F164" w:rsidR="00CE2DCF" w:rsidRDefault="00CE2DCF" w:rsidP="00B17ECE">
      <w:pPr>
        <w:spacing w:after="120"/>
        <w:ind w:left="720" w:hanging="720"/>
        <w:rPr>
          <w:rFonts w:cs="Arial"/>
          <w:sz w:val="24"/>
          <w:szCs w:val="24"/>
        </w:rPr>
      </w:pPr>
      <w:r>
        <w:rPr>
          <w:rFonts w:cs="Arial"/>
          <w:sz w:val="24"/>
          <w:szCs w:val="24"/>
        </w:rPr>
        <w:t>1.3</w:t>
      </w:r>
      <w:r>
        <w:rPr>
          <w:rFonts w:cs="Arial"/>
          <w:sz w:val="24"/>
          <w:szCs w:val="24"/>
        </w:rPr>
        <w:tab/>
        <w:t xml:space="preserve">The UK Health Security Agency (UKHSA) updated its UK IPC guidance in May 2022 with new Covid-19 pathogen specific advice for health and care professionals to be read alongside the National Infection Prevention and Control Manual (NIPCM) for England and applies to all NHS settings or settings where NHS services are delivered. </w:t>
      </w:r>
      <w:r w:rsidR="008A7363">
        <w:rPr>
          <w:rFonts w:cs="Arial"/>
          <w:sz w:val="24"/>
          <w:szCs w:val="24"/>
        </w:rPr>
        <w:t>It is acknowledged that organisations will require a period of transition to make changes and adapt operating procedures given local variation in infection levels and risk assessment of settings including ventilation, spacing and mask wearing.</w:t>
      </w:r>
    </w:p>
    <w:p w14:paraId="18A26264" w14:textId="7E377E01" w:rsidR="00CE2DCF" w:rsidRDefault="008A7363" w:rsidP="00CE2DCF">
      <w:pPr>
        <w:spacing w:after="120"/>
        <w:ind w:left="720" w:hanging="720"/>
        <w:rPr>
          <w:rFonts w:ascii="Arial" w:hAnsi="Arial" w:cs="Arial"/>
          <w:color w:val="000000"/>
          <w:sz w:val="23"/>
          <w:szCs w:val="23"/>
        </w:rPr>
      </w:pPr>
      <w:r>
        <w:rPr>
          <w:rFonts w:cs="Arial"/>
          <w:sz w:val="24"/>
          <w:szCs w:val="24"/>
        </w:rPr>
        <w:t>1.4</w:t>
      </w:r>
      <w:r>
        <w:rPr>
          <w:rFonts w:cs="Arial"/>
          <w:sz w:val="24"/>
          <w:szCs w:val="24"/>
        </w:rPr>
        <w:tab/>
        <w:t xml:space="preserve">To support this transition a ‘living with Covid-19’ risk assessment tool was adapted as the organisations local risk assessment to support local </w:t>
      </w:r>
      <w:r w:rsidR="00BD5037">
        <w:rPr>
          <w:rFonts w:cs="Arial"/>
          <w:sz w:val="24"/>
          <w:szCs w:val="24"/>
        </w:rPr>
        <w:t>decision-making</w:t>
      </w:r>
      <w:r>
        <w:rPr>
          <w:rFonts w:cs="Arial"/>
          <w:sz w:val="24"/>
          <w:szCs w:val="24"/>
        </w:rPr>
        <w:t xml:space="preserve"> regarding mask use and spacing as part of the rest and rebuild programme. Transitioned back to pre-pandemic visiting and introduced a safe visiting guide. Introduced a new triage and screening template on systmOne and have moved from three (low, medium, high) Covid-19 patient pathways to respiratory and non-respiratory pathways to guide patient placement, </w:t>
      </w:r>
      <w:r w:rsidR="00F224F7">
        <w:rPr>
          <w:rFonts w:cs="Arial"/>
          <w:sz w:val="24"/>
          <w:szCs w:val="24"/>
        </w:rPr>
        <w:t>IPC precautions and Personal Protective Equipment (PPE) for contact</w:t>
      </w:r>
      <w:r>
        <w:rPr>
          <w:rFonts w:cs="Arial"/>
          <w:sz w:val="24"/>
          <w:szCs w:val="24"/>
        </w:rPr>
        <w:t xml:space="preserve"> </w:t>
      </w:r>
    </w:p>
    <w:p w14:paraId="7F46C276" w14:textId="64D1ADF2" w:rsidR="00E07CBE" w:rsidRDefault="003F1C91" w:rsidP="00E07CBE">
      <w:pPr>
        <w:pStyle w:val="NormalWeb"/>
        <w:spacing w:before="0" w:beforeAutospacing="0" w:after="120" w:afterAutospacing="0" w:line="276" w:lineRule="auto"/>
        <w:ind w:left="720" w:hanging="720"/>
        <w:rPr>
          <w:rFonts w:asciiTheme="minorHAnsi" w:hAnsiTheme="minorHAnsi" w:cs="Arial"/>
        </w:rPr>
      </w:pPr>
      <w:r>
        <w:rPr>
          <w:rFonts w:asciiTheme="minorHAnsi" w:hAnsiTheme="minorHAnsi" w:cs="Arial"/>
        </w:rPr>
        <w:t>1</w:t>
      </w:r>
      <w:r w:rsidR="00527547" w:rsidRPr="000915F3">
        <w:rPr>
          <w:rFonts w:asciiTheme="minorHAnsi" w:hAnsiTheme="minorHAnsi" w:cs="Arial"/>
        </w:rPr>
        <w:t>.</w:t>
      </w:r>
      <w:r w:rsidR="00F224F7">
        <w:rPr>
          <w:rFonts w:asciiTheme="minorHAnsi" w:hAnsiTheme="minorHAnsi" w:cs="Arial"/>
        </w:rPr>
        <w:t>5</w:t>
      </w:r>
      <w:r w:rsidR="00527547" w:rsidRPr="000915F3">
        <w:rPr>
          <w:rFonts w:asciiTheme="minorHAnsi" w:hAnsiTheme="minorHAnsi" w:cs="Arial"/>
        </w:rPr>
        <w:tab/>
      </w:r>
      <w:r w:rsidR="00437F65" w:rsidRPr="000915F3">
        <w:rPr>
          <w:rFonts w:asciiTheme="minorHAnsi" w:hAnsiTheme="minorHAnsi" w:cs="Arial"/>
        </w:rPr>
        <w:t>L</w:t>
      </w:r>
      <w:r w:rsidR="00677F05" w:rsidRPr="000915F3">
        <w:rPr>
          <w:rFonts w:asciiTheme="minorHAnsi" w:hAnsiTheme="minorHAnsi" w:cs="Arial"/>
        </w:rPr>
        <w:t xml:space="preserve">ateral flow testing for all staff within LPT </w:t>
      </w:r>
      <w:r w:rsidR="00437F65" w:rsidRPr="000915F3">
        <w:rPr>
          <w:rFonts w:asciiTheme="minorHAnsi" w:hAnsiTheme="minorHAnsi" w:cs="Arial"/>
        </w:rPr>
        <w:t>continues to be supported and has been successful in identifying a number of staff who had a positive result despite being asymptomatic</w:t>
      </w:r>
      <w:r w:rsidR="00677F05" w:rsidRPr="000915F3">
        <w:rPr>
          <w:rFonts w:asciiTheme="minorHAnsi" w:hAnsiTheme="minorHAnsi" w:cs="Arial"/>
        </w:rPr>
        <w:t xml:space="preserve">. </w:t>
      </w:r>
      <w:bookmarkStart w:id="0" w:name="_Hlk89436979"/>
    </w:p>
    <w:p w14:paraId="6C73DF3D" w14:textId="655AF32B" w:rsidR="003F1C91" w:rsidRDefault="003F1C91" w:rsidP="00E07CBE">
      <w:pPr>
        <w:pStyle w:val="NormalWeb"/>
        <w:spacing w:before="0" w:beforeAutospacing="0" w:after="120" w:afterAutospacing="0" w:line="276" w:lineRule="auto"/>
        <w:ind w:left="720" w:hanging="720"/>
        <w:rPr>
          <w:rFonts w:asciiTheme="minorHAnsi" w:hAnsiTheme="minorHAnsi" w:cs="Arial"/>
        </w:rPr>
      </w:pPr>
      <w:r>
        <w:rPr>
          <w:rFonts w:asciiTheme="minorHAnsi" w:hAnsiTheme="minorHAnsi" w:cs="Arial"/>
        </w:rPr>
        <w:t>1.</w:t>
      </w:r>
      <w:r w:rsidR="00F224F7">
        <w:rPr>
          <w:rFonts w:asciiTheme="minorHAnsi" w:hAnsiTheme="minorHAnsi" w:cs="Arial"/>
        </w:rPr>
        <w:t>6</w:t>
      </w:r>
      <w:r>
        <w:rPr>
          <w:rFonts w:asciiTheme="minorHAnsi" w:hAnsiTheme="minorHAnsi" w:cs="Arial"/>
        </w:rPr>
        <w:tab/>
        <w:t>A task and finish group with a pilot test has been set up to run for two weeks in June 2022</w:t>
      </w:r>
      <w:r w:rsidR="00B6500F">
        <w:rPr>
          <w:rFonts w:asciiTheme="minorHAnsi" w:hAnsiTheme="minorHAnsi" w:cs="Arial"/>
        </w:rPr>
        <w:t>, to introduce Lateral Flow Device (LFD) for patient testing in place of PCR testing. This is supported in the national guidance.  As an LFD is considered a medical device, a point of care testing policy and competencies for staff has been developed to support the process and governance requirements.</w:t>
      </w:r>
    </w:p>
    <w:p w14:paraId="392532DB" w14:textId="16186134" w:rsidR="00E07CBE" w:rsidRPr="00E07CBE" w:rsidRDefault="00B6500F" w:rsidP="00E07CBE">
      <w:pPr>
        <w:pStyle w:val="NormalWeb"/>
        <w:spacing w:before="0" w:beforeAutospacing="0" w:after="120" w:afterAutospacing="0" w:line="276" w:lineRule="auto"/>
        <w:ind w:left="720" w:hanging="720"/>
        <w:rPr>
          <w:rFonts w:asciiTheme="minorHAnsi" w:hAnsiTheme="minorHAnsi" w:cstheme="minorHAnsi"/>
        </w:rPr>
      </w:pPr>
      <w:r>
        <w:rPr>
          <w:rFonts w:asciiTheme="minorHAnsi" w:hAnsiTheme="minorHAnsi" w:cstheme="minorHAnsi"/>
        </w:rPr>
        <w:t>1.</w:t>
      </w:r>
      <w:r w:rsidR="00F224F7">
        <w:rPr>
          <w:rFonts w:asciiTheme="minorHAnsi" w:hAnsiTheme="minorHAnsi" w:cstheme="minorHAnsi"/>
        </w:rPr>
        <w:t>7</w:t>
      </w:r>
      <w:r w:rsidR="00E07CBE" w:rsidRPr="00E07CBE">
        <w:rPr>
          <w:rFonts w:asciiTheme="minorHAnsi" w:hAnsiTheme="minorHAnsi" w:cstheme="minorHAnsi"/>
        </w:rPr>
        <w:tab/>
        <w:t>Between 1</w:t>
      </w:r>
      <w:r w:rsidR="00E07CBE" w:rsidRPr="00E07CBE">
        <w:rPr>
          <w:rFonts w:asciiTheme="minorHAnsi" w:hAnsiTheme="minorHAnsi" w:cstheme="minorHAnsi"/>
          <w:vertAlign w:val="superscript"/>
        </w:rPr>
        <w:t>st</w:t>
      </w:r>
      <w:r w:rsidR="00E07CBE" w:rsidRPr="00E07CBE">
        <w:rPr>
          <w:rFonts w:asciiTheme="minorHAnsi" w:hAnsiTheme="minorHAnsi" w:cstheme="minorHAnsi"/>
        </w:rPr>
        <w:t xml:space="preserve"> April 2021 and 31</w:t>
      </w:r>
      <w:r w:rsidR="00E07CBE" w:rsidRPr="00E07CBE">
        <w:rPr>
          <w:rFonts w:asciiTheme="minorHAnsi" w:hAnsiTheme="minorHAnsi" w:cstheme="minorHAnsi"/>
          <w:vertAlign w:val="superscript"/>
        </w:rPr>
        <w:t>st</w:t>
      </w:r>
      <w:r w:rsidR="00E07CBE" w:rsidRPr="00E07CBE">
        <w:rPr>
          <w:rFonts w:asciiTheme="minorHAnsi" w:hAnsiTheme="minorHAnsi" w:cstheme="minorHAnsi"/>
        </w:rPr>
        <w:t xml:space="preserve"> January 2022, LPT recorded 18 COVID -19 outbreaks, including incidents that occurred in non-</w:t>
      </w:r>
      <w:r w:rsidR="00E07CBE" w:rsidRPr="00E07CBE">
        <w:rPr>
          <w:rFonts w:asciiTheme="minorHAnsi" w:hAnsiTheme="minorHAnsi" w:cstheme="minorHAnsi"/>
          <w:spacing w:val="1"/>
        </w:rPr>
        <w:t xml:space="preserve"> </w:t>
      </w:r>
      <w:r w:rsidR="00E07CBE" w:rsidRPr="00E07CBE">
        <w:rPr>
          <w:rFonts w:asciiTheme="minorHAnsi" w:hAnsiTheme="minorHAnsi" w:cstheme="minorHAnsi"/>
        </w:rPr>
        <w:t xml:space="preserve">clinical areas affecting staff only. 8 of the outbreaks occurred in Community Health Services and 10 occurred in  </w:t>
      </w:r>
      <w:r w:rsidR="00A477F8">
        <w:rPr>
          <w:rFonts w:asciiTheme="minorHAnsi" w:hAnsiTheme="minorHAnsi" w:cstheme="minorHAnsi"/>
        </w:rPr>
        <w:t xml:space="preserve"> Directorates of </w:t>
      </w:r>
      <w:r w:rsidR="00E07CBE" w:rsidRPr="00E07CBE">
        <w:rPr>
          <w:rFonts w:asciiTheme="minorHAnsi" w:hAnsiTheme="minorHAnsi" w:cstheme="minorHAnsi"/>
        </w:rPr>
        <w:t>Mental Health</w:t>
      </w:r>
      <w:r w:rsidR="00A477F8">
        <w:rPr>
          <w:rFonts w:asciiTheme="minorHAnsi" w:hAnsiTheme="minorHAnsi" w:cstheme="minorHAnsi"/>
        </w:rPr>
        <w:t>, Families and Young People and Learning Disabilities</w:t>
      </w:r>
      <w:r w:rsidR="00E07CBE" w:rsidRPr="00E07CBE">
        <w:rPr>
          <w:rFonts w:asciiTheme="minorHAnsi" w:hAnsiTheme="minorHAnsi" w:cstheme="minorHAnsi"/>
        </w:rPr>
        <w:t xml:space="preserve"> Services.</w:t>
      </w:r>
    </w:p>
    <w:p w14:paraId="64C61521" w14:textId="50CF31A1" w:rsidR="00E07CBE" w:rsidRPr="00FB3A9F" w:rsidRDefault="00B6500F" w:rsidP="00E07CBE">
      <w:pPr>
        <w:pStyle w:val="BodyText"/>
        <w:ind w:right="393"/>
        <w:jc w:val="both"/>
        <w:rPr>
          <w:sz w:val="24"/>
          <w:szCs w:val="24"/>
          <w:u w:val="single"/>
        </w:rPr>
      </w:pPr>
      <w:r>
        <w:rPr>
          <w:sz w:val="24"/>
          <w:szCs w:val="24"/>
        </w:rPr>
        <w:t>1.</w:t>
      </w:r>
      <w:r w:rsidR="00F224F7">
        <w:rPr>
          <w:sz w:val="24"/>
          <w:szCs w:val="24"/>
        </w:rPr>
        <w:t>8</w:t>
      </w:r>
      <w:r w:rsidR="00E07CBE">
        <w:rPr>
          <w:sz w:val="24"/>
          <w:szCs w:val="24"/>
        </w:rPr>
        <w:tab/>
      </w:r>
      <w:r w:rsidR="00E07CBE" w:rsidRPr="00FB3A9F">
        <w:rPr>
          <w:sz w:val="24"/>
          <w:szCs w:val="24"/>
          <w:u w:val="single"/>
        </w:rPr>
        <w:t>COVID-19 figures from 1</w:t>
      </w:r>
      <w:r w:rsidR="00E07CBE" w:rsidRPr="00FB3A9F">
        <w:rPr>
          <w:sz w:val="24"/>
          <w:szCs w:val="24"/>
          <w:u w:val="single"/>
          <w:vertAlign w:val="superscript"/>
        </w:rPr>
        <w:t>st</w:t>
      </w:r>
      <w:r w:rsidR="00E07CBE" w:rsidRPr="00FB3A9F">
        <w:rPr>
          <w:sz w:val="24"/>
          <w:szCs w:val="24"/>
          <w:u w:val="single"/>
        </w:rPr>
        <w:t xml:space="preserve"> April 2021 – 31</w:t>
      </w:r>
      <w:r w:rsidR="00E07CBE" w:rsidRPr="00FB3A9F">
        <w:rPr>
          <w:sz w:val="24"/>
          <w:szCs w:val="24"/>
          <w:u w:val="single"/>
          <w:vertAlign w:val="superscript"/>
        </w:rPr>
        <w:t>st</w:t>
      </w:r>
      <w:r w:rsidR="00E07CBE" w:rsidRPr="00FB3A9F">
        <w:rPr>
          <w:sz w:val="24"/>
          <w:szCs w:val="24"/>
          <w:u w:val="single"/>
        </w:rPr>
        <w:t xml:space="preserve"> January 2022:</w:t>
      </w:r>
    </w:p>
    <w:p w14:paraId="1E258063" w14:textId="77777777" w:rsidR="00E07CBE" w:rsidRPr="00FB3A9F" w:rsidRDefault="00E07CBE" w:rsidP="00E07CBE">
      <w:pPr>
        <w:pStyle w:val="BodyText"/>
        <w:tabs>
          <w:tab w:val="left" w:pos="9781"/>
        </w:tabs>
        <w:ind w:right="393"/>
        <w:rPr>
          <w:sz w:val="24"/>
          <w:szCs w:val="24"/>
          <w:u w:val="single"/>
        </w:rPr>
      </w:pPr>
    </w:p>
    <w:p w14:paraId="1FBB10F0" w14:textId="12DA6E32" w:rsidR="00E07CBE" w:rsidRPr="00FB3A9F" w:rsidRDefault="00E07CBE" w:rsidP="00E07CBE">
      <w:pPr>
        <w:pStyle w:val="BodyText"/>
        <w:ind w:right="393"/>
        <w:rPr>
          <w:sz w:val="24"/>
          <w:szCs w:val="24"/>
        </w:rPr>
      </w:pPr>
      <w:r>
        <w:rPr>
          <w:sz w:val="24"/>
          <w:szCs w:val="24"/>
        </w:rPr>
        <w:tab/>
      </w:r>
      <w:r w:rsidRPr="00FB3A9F">
        <w:rPr>
          <w:sz w:val="24"/>
          <w:szCs w:val="24"/>
        </w:rPr>
        <w:t>Total number of COVID-19 patient cases = 148</w:t>
      </w:r>
    </w:p>
    <w:p w14:paraId="668578CA" w14:textId="77777777" w:rsidR="00E07CBE" w:rsidRPr="00FB3A9F" w:rsidRDefault="00E07CBE" w:rsidP="00E07CBE">
      <w:pPr>
        <w:pStyle w:val="BodyText"/>
        <w:numPr>
          <w:ilvl w:val="0"/>
          <w:numId w:val="34"/>
        </w:numPr>
        <w:tabs>
          <w:tab w:val="left" w:pos="9781"/>
        </w:tabs>
        <w:autoSpaceDE w:val="0"/>
        <w:autoSpaceDN w:val="0"/>
        <w:ind w:right="393"/>
        <w:rPr>
          <w:sz w:val="24"/>
          <w:szCs w:val="24"/>
        </w:rPr>
      </w:pPr>
      <w:r w:rsidRPr="00FB3A9F">
        <w:rPr>
          <w:sz w:val="24"/>
          <w:szCs w:val="24"/>
        </w:rPr>
        <w:t>Total number of COVID-19 cases 0-2 days = 13</w:t>
      </w:r>
    </w:p>
    <w:p w14:paraId="2977C0AA" w14:textId="77777777" w:rsidR="00E07CBE" w:rsidRPr="00FB3A9F" w:rsidRDefault="00E07CBE" w:rsidP="00E07CBE">
      <w:pPr>
        <w:pStyle w:val="BodyText"/>
        <w:numPr>
          <w:ilvl w:val="0"/>
          <w:numId w:val="34"/>
        </w:numPr>
        <w:tabs>
          <w:tab w:val="left" w:pos="9781"/>
        </w:tabs>
        <w:autoSpaceDE w:val="0"/>
        <w:autoSpaceDN w:val="0"/>
        <w:ind w:right="393"/>
        <w:rPr>
          <w:sz w:val="24"/>
          <w:szCs w:val="24"/>
        </w:rPr>
      </w:pPr>
      <w:r w:rsidRPr="00FB3A9F">
        <w:rPr>
          <w:sz w:val="24"/>
          <w:szCs w:val="24"/>
        </w:rPr>
        <w:t>Total number of COVID-19 cases 3-7 days = 20</w:t>
      </w:r>
    </w:p>
    <w:p w14:paraId="72270715" w14:textId="77777777" w:rsidR="00E07CBE" w:rsidRPr="00FB3A9F" w:rsidRDefault="00E07CBE" w:rsidP="00E07CBE">
      <w:pPr>
        <w:pStyle w:val="BodyText"/>
        <w:numPr>
          <w:ilvl w:val="0"/>
          <w:numId w:val="34"/>
        </w:numPr>
        <w:tabs>
          <w:tab w:val="left" w:pos="9781"/>
        </w:tabs>
        <w:autoSpaceDE w:val="0"/>
        <w:autoSpaceDN w:val="0"/>
        <w:ind w:right="393"/>
        <w:rPr>
          <w:sz w:val="24"/>
          <w:szCs w:val="24"/>
        </w:rPr>
      </w:pPr>
      <w:r w:rsidRPr="00FB3A9F">
        <w:rPr>
          <w:sz w:val="24"/>
          <w:szCs w:val="24"/>
        </w:rPr>
        <w:t>Total number of COVID-19 probable nosocomial cases = 18</w:t>
      </w:r>
    </w:p>
    <w:p w14:paraId="5E479BDA" w14:textId="77777777" w:rsidR="00E07CBE" w:rsidRPr="00FB3A9F" w:rsidRDefault="00E07CBE" w:rsidP="00E07CBE">
      <w:pPr>
        <w:pStyle w:val="BodyText"/>
        <w:numPr>
          <w:ilvl w:val="0"/>
          <w:numId w:val="34"/>
        </w:numPr>
        <w:tabs>
          <w:tab w:val="left" w:pos="9781"/>
        </w:tabs>
        <w:autoSpaceDE w:val="0"/>
        <w:autoSpaceDN w:val="0"/>
        <w:ind w:right="393"/>
        <w:rPr>
          <w:sz w:val="24"/>
          <w:szCs w:val="24"/>
        </w:rPr>
      </w:pPr>
      <w:r w:rsidRPr="00FB3A9F">
        <w:rPr>
          <w:sz w:val="24"/>
          <w:szCs w:val="24"/>
        </w:rPr>
        <w:t xml:space="preserve">Total number of COVID-19 definite nosocomial cases = 97 </w:t>
      </w:r>
    </w:p>
    <w:p w14:paraId="7C32D155" w14:textId="77777777" w:rsidR="00E07CBE" w:rsidRPr="00FB3A9F" w:rsidRDefault="00E07CBE" w:rsidP="00E07CBE">
      <w:pPr>
        <w:pStyle w:val="BodyText"/>
        <w:tabs>
          <w:tab w:val="left" w:pos="9781"/>
        </w:tabs>
        <w:ind w:right="393"/>
        <w:rPr>
          <w:sz w:val="24"/>
          <w:szCs w:val="24"/>
        </w:rPr>
      </w:pPr>
    </w:p>
    <w:p w14:paraId="4495B399" w14:textId="4A182D4D" w:rsidR="00E07CBE" w:rsidRPr="00FB3A9F" w:rsidRDefault="00B6500F" w:rsidP="00E07CBE">
      <w:pPr>
        <w:pStyle w:val="BodyText"/>
        <w:ind w:left="720" w:right="393" w:hanging="620"/>
        <w:rPr>
          <w:sz w:val="24"/>
          <w:szCs w:val="24"/>
        </w:rPr>
      </w:pPr>
      <w:r>
        <w:rPr>
          <w:sz w:val="24"/>
          <w:szCs w:val="24"/>
        </w:rPr>
        <w:t>1.</w:t>
      </w:r>
      <w:r w:rsidR="00F224F7">
        <w:rPr>
          <w:sz w:val="24"/>
          <w:szCs w:val="24"/>
        </w:rPr>
        <w:t>9</w:t>
      </w:r>
      <w:r w:rsidR="00E07CBE">
        <w:rPr>
          <w:sz w:val="24"/>
          <w:szCs w:val="24"/>
        </w:rPr>
        <w:tab/>
      </w:r>
      <w:r w:rsidR="00E07CBE" w:rsidRPr="00FB3A9F">
        <w:rPr>
          <w:sz w:val="24"/>
          <w:szCs w:val="24"/>
        </w:rPr>
        <w:t xml:space="preserve">33 of the COVID-19 cases were attributed to community onset, picked up by screening. The remaining 115 cases are nosocomial. </w:t>
      </w:r>
    </w:p>
    <w:p w14:paraId="3E17C907" w14:textId="77777777" w:rsidR="00E07CBE" w:rsidRPr="00FB3A9F" w:rsidRDefault="00E07CBE" w:rsidP="00E07CBE">
      <w:pPr>
        <w:pStyle w:val="BodyText"/>
        <w:tabs>
          <w:tab w:val="left" w:pos="9781"/>
        </w:tabs>
        <w:ind w:right="393"/>
        <w:rPr>
          <w:sz w:val="24"/>
          <w:szCs w:val="24"/>
        </w:rPr>
      </w:pPr>
      <w:r w:rsidRPr="00FB3A9F">
        <w:rPr>
          <w:sz w:val="24"/>
          <w:szCs w:val="24"/>
        </w:rPr>
        <w:t xml:space="preserve"> </w:t>
      </w:r>
    </w:p>
    <w:p w14:paraId="6B76151C" w14:textId="5255D6DF" w:rsidR="00E07CBE" w:rsidRPr="00FB3A9F" w:rsidRDefault="00B6500F" w:rsidP="00E07CBE">
      <w:pPr>
        <w:pStyle w:val="BodyText"/>
        <w:ind w:left="720" w:right="393" w:hanging="620"/>
        <w:rPr>
          <w:sz w:val="24"/>
          <w:szCs w:val="24"/>
        </w:rPr>
      </w:pPr>
      <w:r>
        <w:rPr>
          <w:sz w:val="24"/>
          <w:szCs w:val="24"/>
        </w:rPr>
        <w:lastRenderedPageBreak/>
        <w:t>1.</w:t>
      </w:r>
      <w:r w:rsidR="00F224F7">
        <w:rPr>
          <w:sz w:val="24"/>
          <w:szCs w:val="24"/>
        </w:rPr>
        <w:t>10</w:t>
      </w:r>
      <w:r w:rsidR="00E07CBE">
        <w:rPr>
          <w:sz w:val="24"/>
          <w:szCs w:val="24"/>
        </w:rPr>
        <w:tab/>
      </w:r>
      <w:r w:rsidR="00E07CBE" w:rsidRPr="00FB3A9F">
        <w:rPr>
          <w:sz w:val="24"/>
          <w:szCs w:val="24"/>
        </w:rPr>
        <w:t>Total number of COVID-19 staff cases = 996</w:t>
      </w:r>
      <w:r w:rsidR="00E07CBE">
        <w:rPr>
          <w:sz w:val="24"/>
          <w:szCs w:val="24"/>
        </w:rPr>
        <w:t xml:space="preserve">. </w:t>
      </w:r>
      <w:r w:rsidR="00E07CBE" w:rsidRPr="00FB3A9F">
        <w:rPr>
          <w:sz w:val="24"/>
          <w:szCs w:val="24"/>
        </w:rPr>
        <w:t>Not all staff cases have been associated with outbreaks within the inpatient or community services. However, the impact on the workforce and the management of patients is reflected in these figures.</w:t>
      </w:r>
    </w:p>
    <w:p w14:paraId="2C14B64E" w14:textId="77777777" w:rsidR="00E07CBE" w:rsidRPr="00FB3A9F" w:rsidRDefault="00E07CBE" w:rsidP="00E07CBE">
      <w:pPr>
        <w:pStyle w:val="BodyText"/>
        <w:tabs>
          <w:tab w:val="left" w:pos="9781"/>
        </w:tabs>
        <w:ind w:right="393"/>
        <w:rPr>
          <w:sz w:val="24"/>
          <w:szCs w:val="24"/>
        </w:rPr>
      </w:pPr>
    </w:p>
    <w:p w14:paraId="44C481C8" w14:textId="400B69CB" w:rsidR="00551E50" w:rsidRPr="00055200" w:rsidRDefault="00B6500F" w:rsidP="00B6500F">
      <w:pPr>
        <w:ind w:left="720" w:hanging="720"/>
        <w:rPr>
          <w:rFonts w:cstheme="minorHAnsi"/>
          <w:sz w:val="24"/>
          <w:szCs w:val="24"/>
        </w:rPr>
      </w:pPr>
      <w:r>
        <w:rPr>
          <w:rFonts w:cstheme="minorHAnsi"/>
          <w:sz w:val="24"/>
          <w:szCs w:val="24"/>
        </w:rPr>
        <w:t xml:space="preserve">  1.</w:t>
      </w:r>
      <w:r w:rsidR="00F224F7">
        <w:rPr>
          <w:rFonts w:cstheme="minorHAnsi"/>
          <w:sz w:val="24"/>
          <w:szCs w:val="24"/>
        </w:rPr>
        <w:t>11</w:t>
      </w:r>
      <w:r>
        <w:rPr>
          <w:rFonts w:cstheme="minorHAnsi"/>
          <w:sz w:val="24"/>
          <w:szCs w:val="24"/>
        </w:rPr>
        <w:tab/>
      </w:r>
      <w:r w:rsidR="00551E50" w:rsidRPr="00055200">
        <w:rPr>
          <w:rFonts w:cstheme="minorHAnsi"/>
          <w:sz w:val="24"/>
          <w:szCs w:val="24"/>
        </w:rPr>
        <w:t>Learning identified as part of the outbreak reviews (</w:t>
      </w:r>
      <w:r w:rsidR="00E07CBE">
        <w:rPr>
          <w:rFonts w:cstheme="minorHAnsi"/>
          <w:sz w:val="24"/>
          <w:szCs w:val="24"/>
        </w:rPr>
        <w:t xml:space="preserve">included in the second </w:t>
      </w:r>
      <w:r w:rsidR="00B62DE8">
        <w:rPr>
          <w:rFonts w:cstheme="minorHAnsi"/>
          <w:sz w:val="24"/>
          <w:szCs w:val="24"/>
        </w:rPr>
        <w:t>aggregated review)</w:t>
      </w:r>
      <w:r w:rsidR="00551E50" w:rsidRPr="00055200">
        <w:rPr>
          <w:rFonts w:cstheme="minorHAnsi"/>
          <w:sz w:val="24"/>
          <w:szCs w:val="24"/>
        </w:rPr>
        <w:t xml:space="preserve"> a further learning board</w:t>
      </w:r>
      <w:r w:rsidR="00055200">
        <w:rPr>
          <w:rFonts w:cstheme="minorHAnsi"/>
          <w:sz w:val="24"/>
          <w:szCs w:val="24"/>
        </w:rPr>
        <w:t xml:space="preserve"> included:</w:t>
      </w:r>
    </w:p>
    <w:p w14:paraId="0E440B0D" w14:textId="77777777" w:rsidR="00B62DE8" w:rsidRPr="00FB3A9F" w:rsidRDefault="00B62DE8" w:rsidP="00B62DE8">
      <w:pPr>
        <w:pStyle w:val="ListParagraph"/>
        <w:widowControl w:val="0"/>
        <w:numPr>
          <w:ilvl w:val="0"/>
          <w:numId w:val="35"/>
        </w:numPr>
        <w:autoSpaceDE w:val="0"/>
        <w:autoSpaceDN w:val="0"/>
        <w:spacing w:after="0" w:line="240" w:lineRule="auto"/>
        <w:ind w:left="1418"/>
        <w:contextualSpacing w:val="0"/>
        <w:rPr>
          <w:sz w:val="24"/>
          <w:szCs w:val="24"/>
        </w:rPr>
      </w:pPr>
      <w:r w:rsidRPr="00FB3A9F">
        <w:rPr>
          <w:sz w:val="24"/>
          <w:szCs w:val="24"/>
        </w:rPr>
        <w:t xml:space="preserve">Mask wearing by patients not documented, compliance or offer </w:t>
      </w:r>
    </w:p>
    <w:p w14:paraId="6368B037" w14:textId="77777777" w:rsidR="00B62DE8" w:rsidRPr="00FB3A9F" w:rsidRDefault="00B62DE8" w:rsidP="00B62DE8">
      <w:pPr>
        <w:pStyle w:val="ListParagraph"/>
        <w:widowControl w:val="0"/>
        <w:numPr>
          <w:ilvl w:val="0"/>
          <w:numId w:val="35"/>
        </w:numPr>
        <w:autoSpaceDE w:val="0"/>
        <w:autoSpaceDN w:val="0"/>
        <w:spacing w:after="0" w:line="240" w:lineRule="auto"/>
        <w:ind w:left="1418"/>
        <w:contextualSpacing w:val="0"/>
        <w:rPr>
          <w:sz w:val="24"/>
          <w:szCs w:val="24"/>
        </w:rPr>
      </w:pPr>
      <w:r w:rsidRPr="00FB3A9F">
        <w:rPr>
          <w:sz w:val="24"/>
          <w:szCs w:val="24"/>
        </w:rPr>
        <w:t xml:space="preserve">Testing of symptomatic patients delayed </w:t>
      </w:r>
    </w:p>
    <w:p w14:paraId="423D0B31" w14:textId="77777777" w:rsidR="00B62DE8" w:rsidRPr="00FB3A9F" w:rsidRDefault="00B62DE8" w:rsidP="00B62DE8">
      <w:pPr>
        <w:pStyle w:val="ListParagraph"/>
        <w:widowControl w:val="0"/>
        <w:numPr>
          <w:ilvl w:val="0"/>
          <w:numId w:val="35"/>
        </w:numPr>
        <w:autoSpaceDE w:val="0"/>
        <w:autoSpaceDN w:val="0"/>
        <w:spacing w:after="0" w:line="240" w:lineRule="auto"/>
        <w:ind w:left="1418"/>
        <w:contextualSpacing w:val="0"/>
        <w:rPr>
          <w:sz w:val="24"/>
          <w:szCs w:val="24"/>
        </w:rPr>
      </w:pPr>
      <w:r w:rsidRPr="00FB3A9F">
        <w:rPr>
          <w:sz w:val="24"/>
          <w:szCs w:val="24"/>
        </w:rPr>
        <w:t>Extremely hard for some client groups to comply to isolation i.e., dementia patients documented evidence of this very good</w:t>
      </w:r>
    </w:p>
    <w:p w14:paraId="3AE32F24" w14:textId="77777777" w:rsidR="00B62DE8" w:rsidRPr="00FB3A9F" w:rsidRDefault="00B62DE8" w:rsidP="00B62DE8">
      <w:pPr>
        <w:pStyle w:val="ListParagraph"/>
        <w:widowControl w:val="0"/>
        <w:numPr>
          <w:ilvl w:val="0"/>
          <w:numId w:val="35"/>
        </w:numPr>
        <w:autoSpaceDE w:val="0"/>
        <w:autoSpaceDN w:val="0"/>
        <w:spacing w:after="0" w:line="240" w:lineRule="auto"/>
        <w:ind w:left="1418"/>
        <w:contextualSpacing w:val="0"/>
        <w:rPr>
          <w:sz w:val="24"/>
          <w:szCs w:val="24"/>
        </w:rPr>
      </w:pPr>
      <w:r w:rsidRPr="00FB3A9F">
        <w:rPr>
          <w:sz w:val="24"/>
          <w:szCs w:val="24"/>
        </w:rPr>
        <w:t>Social distancing between patients often difficult to achieve but staff have tried and documented this</w:t>
      </w:r>
    </w:p>
    <w:p w14:paraId="389457D6" w14:textId="77777777" w:rsidR="00B62DE8" w:rsidRPr="00FB3A9F" w:rsidRDefault="00B62DE8" w:rsidP="00B62DE8">
      <w:pPr>
        <w:pStyle w:val="ListParagraph"/>
        <w:widowControl w:val="0"/>
        <w:numPr>
          <w:ilvl w:val="0"/>
          <w:numId w:val="35"/>
        </w:numPr>
        <w:autoSpaceDE w:val="0"/>
        <w:autoSpaceDN w:val="0"/>
        <w:spacing w:after="0" w:line="240" w:lineRule="auto"/>
        <w:ind w:left="1418"/>
        <w:contextualSpacing w:val="0"/>
        <w:rPr>
          <w:sz w:val="24"/>
          <w:szCs w:val="24"/>
        </w:rPr>
      </w:pPr>
      <w:r w:rsidRPr="00FB3A9F">
        <w:rPr>
          <w:sz w:val="24"/>
          <w:szCs w:val="24"/>
        </w:rPr>
        <w:t>Equipment has not been dedicated to positive patients only when could have been</w:t>
      </w:r>
    </w:p>
    <w:p w14:paraId="2DFA8BD4" w14:textId="77777777" w:rsidR="00B62DE8" w:rsidRPr="00FB3A9F" w:rsidRDefault="00B62DE8" w:rsidP="00B62DE8">
      <w:pPr>
        <w:pStyle w:val="ListParagraph"/>
        <w:widowControl w:val="0"/>
        <w:numPr>
          <w:ilvl w:val="0"/>
          <w:numId w:val="35"/>
        </w:numPr>
        <w:autoSpaceDE w:val="0"/>
        <w:autoSpaceDN w:val="0"/>
        <w:spacing w:after="0" w:line="240" w:lineRule="auto"/>
        <w:ind w:left="1418"/>
        <w:contextualSpacing w:val="0"/>
        <w:rPr>
          <w:sz w:val="24"/>
          <w:szCs w:val="24"/>
        </w:rPr>
      </w:pPr>
      <w:r w:rsidRPr="00FB3A9F">
        <w:rPr>
          <w:sz w:val="24"/>
          <w:szCs w:val="24"/>
        </w:rPr>
        <w:t>Storage in ward areas often limited meaning some cross contamination may have occurred</w:t>
      </w:r>
    </w:p>
    <w:p w14:paraId="7FD30ABF" w14:textId="77777777" w:rsidR="00B62DE8" w:rsidRPr="00FB3A9F" w:rsidRDefault="00B62DE8" w:rsidP="00B62DE8">
      <w:pPr>
        <w:pStyle w:val="ListParagraph"/>
        <w:widowControl w:val="0"/>
        <w:numPr>
          <w:ilvl w:val="0"/>
          <w:numId w:val="35"/>
        </w:numPr>
        <w:autoSpaceDE w:val="0"/>
        <w:autoSpaceDN w:val="0"/>
        <w:spacing w:after="0" w:line="240" w:lineRule="auto"/>
        <w:ind w:left="1418"/>
        <w:contextualSpacing w:val="0"/>
        <w:rPr>
          <w:sz w:val="24"/>
          <w:szCs w:val="24"/>
        </w:rPr>
      </w:pPr>
      <w:r w:rsidRPr="00FB3A9F">
        <w:rPr>
          <w:sz w:val="24"/>
          <w:szCs w:val="24"/>
        </w:rPr>
        <w:t>BBE breaches continue despite large amount of education around topic – further training to be ongoing Hand Hygiene audits continue</w:t>
      </w:r>
    </w:p>
    <w:p w14:paraId="5E502D35" w14:textId="77777777" w:rsidR="00B62DE8" w:rsidRPr="00FB3A9F" w:rsidRDefault="00B62DE8" w:rsidP="00B62DE8">
      <w:pPr>
        <w:pStyle w:val="ListParagraph"/>
        <w:widowControl w:val="0"/>
        <w:numPr>
          <w:ilvl w:val="0"/>
          <w:numId w:val="35"/>
        </w:numPr>
        <w:autoSpaceDE w:val="0"/>
        <w:autoSpaceDN w:val="0"/>
        <w:spacing w:after="0" w:line="240" w:lineRule="auto"/>
        <w:ind w:left="1418"/>
        <w:contextualSpacing w:val="0"/>
        <w:rPr>
          <w:sz w:val="24"/>
          <w:szCs w:val="24"/>
        </w:rPr>
      </w:pPr>
      <w:r w:rsidRPr="00FB3A9F">
        <w:rPr>
          <w:sz w:val="24"/>
          <w:szCs w:val="24"/>
        </w:rPr>
        <w:t>Outbreaks have sometimes identified broken equipment e.g., dish washer, macerator that have been reported but long waits for repairs or replacement.</w:t>
      </w:r>
    </w:p>
    <w:p w14:paraId="44E332C7" w14:textId="77777777" w:rsidR="00B62DE8" w:rsidRPr="00FB3A9F" w:rsidRDefault="00B62DE8" w:rsidP="00B62DE8">
      <w:pPr>
        <w:pStyle w:val="ListParagraph"/>
        <w:widowControl w:val="0"/>
        <w:numPr>
          <w:ilvl w:val="0"/>
          <w:numId w:val="35"/>
        </w:numPr>
        <w:autoSpaceDE w:val="0"/>
        <w:autoSpaceDN w:val="0"/>
        <w:spacing w:after="0" w:line="240" w:lineRule="auto"/>
        <w:ind w:left="1418"/>
        <w:contextualSpacing w:val="0"/>
        <w:rPr>
          <w:sz w:val="24"/>
          <w:szCs w:val="24"/>
        </w:rPr>
      </w:pPr>
      <w:r w:rsidRPr="00FB3A9F">
        <w:rPr>
          <w:sz w:val="24"/>
          <w:szCs w:val="24"/>
        </w:rPr>
        <w:t xml:space="preserve">Patient swabbing generally good but often delays in receiving or reporting results </w:t>
      </w:r>
    </w:p>
    <w:p w14:paraId="5B1FE50B" w14:textId="77777777" w:rsidR="00B62DE8" w:rsidRPr="00FB3A9F" w:rsidRDefault="00B62DE8" w:rsidP="00B62DE8">
      <w:pPr>
        <w:pStyle w:val="ListParagraph"/>
        <w:widowControl w:val="0"/>
        <w:numPr>
          <w:ilvl w:val="0"/>
          <w:numId w:val="35"/>
        </w:numPr>
        <w:autoSpaceDE w:val="0"/>
        <w:autoSpaceDN w:val="0"/>
        <w:spacing w:after="0" w:line="240" w:lineRule="auto"/>
        <w:ind w:left="1418"/>
        <w:contextualSpacing w:val="0"/>
        <w:rPr>
          <w:sz w:val="24"/>
          <w:szCs w:val="24"/>
        </w:rPr>
      </w:pPr>
      <w:r w:rsidRPr="00FB3A9F">
        <w:rPr>
          <w:sz w:val="24"/>
          <w:szCs w:val="24"/>
        </w:rPr>
        <w:t>Access to lab results is a common delay</w:t>
      </w:r>
    </w:p>
    <w:p w14:paraId="71A2AE49" w14:textId="77777777" w:rsidR="00B62DE8" w:rsidRPr="00FB3A9F" w:rsidRDefault="00B62DE8" w:rsidP="00B62DE8">
      <w:pPr>
        <w:pStyle w:val="ListParagraph"/>
        <w:widowControl w:val="0"/>
        <w:numPr>
          <w:ilvl w:val="0"/>
          <w:numId w:val="35"/>
        </w:numPr>
        <w:autoSpaceDE w:val="0"/>
        <w:autoSpaceDN w:val="0"/>
        <w:spacing w:after="0" w:line="240" w:lineRule="auto"/>
        <w:ind w:left="1418"/>
        <w:contextualSpacing w:val="0"/>
        <w:rPr>
          <w:sz w:val="24"/>
          <w:szCs w:val="24"/>
        </w:rPr>
      </w:pPr>
      <w:r w:rsidRPr="00FB3A9F">
        <w:rPr>
          <w:sz w:val="24"/>
          <w:szCs w:val="24"/>
        </w:rPr>
        <w:t>Large amounts of asymptomatic cases.</w:t>
      </w:r>
    </w:p>
    <w:p w14:paraId="090517D1" w14:textId="77777777" w:rsidR="00B62DE8" w:rsidRPr="00FB3A9F" w:rsidRDefault="00B62DE8" w:rsidP="00B62DE8">
      <w:pPr>
        <w:pStyle w:val="ListParagraph"/>
        <w:widowControl w:val="0"/>
        <w:numPr>
          <w:ilvl w:val="0"/>
          <w:numId w:val="35"/>
        </w:numPr>
        <w:autoSpaceDE w:val="0"/>
        <w:autoSpaceDN w:val="0"/>
        <w:spacing w:after="0" w:line="240" w:lineRule="auto"/>
        <w:ind w:left="1418"/>
        <w:contextualSpacing w:val="0"/>
        <w:rPr>
          <w:sz w:val="24"/>
          <w:szCs w:val="24"/>
        </w:rPr>
      </w:pPr>
      <w:r w:rsidRPr="00FB3A9F">
        <w:rPr>
          <w:sz w:val="24"/>
          <w:szCs w:val="24"/>
        </w:rPr>
        <w:t xml:space="preserve">Facilities and domestics have responded quickly when asked for deep cleans and enhanced cleaning to outbreak area </w:t>
      </w:r>
    </w:p>
    <w:p w14:paraId="236F529E" w14:textId="77777777" w:rsidR="00B62DE8" w:rsidRPr="00FB3A9F" w:rsidRDefault="00B62DE8" w:rsidP="00B62DE8">
      <w:pPr>
        <w:pStyle w:val="ListParagraph"/>
        <w:widowControl w:val="0"/>
        <w:numPr>
          <w:ilvl w:val="0"/>
          <w:numId w:val="35"/>
        </w:numPr>
        <w:autoSpaceDE w:val="0"/>
        <w:autoSpaceDN w:val="0"/>
        <w:spacing w:after="0" w:line="240" w:lineRule="auto"/>
        <w:ind w:left="1418"/>
        <w:contextualSpacing w:val="0"/>
        <w:rPr>
          <w:sz w:val="24"/>
          <w:szCs w:val="24"/>
        </w:rPr>
      </w:pPr>
      <w:r w:rsidRPr="00FB3A9F">
        <w:rPr>
          <w:sz w:val="24"/>
          <w:szCs w:val="24"/>
        </w:rPr>
        <w:t>Therapy attendance at outbreak meetings has been low</w:t>
      </w:r>
    </w:p>
    <w:p w14:paraId="00C138E4" w14:textId="77777777" w:rsidR="00B62DE8" w:rsidRPr="00FB3A9F" w:rsidRDefault="00B62DE8" w:rsidP="00B62DE8">
      <w:pPr>
        <w:pStyle w:val="ListParagraph"/>
        <w:widowControl w:val="0"/>
        <w:numPr>
          <w:ilvl w:val="0"/>
          <w:numId w:val="35"/>
        </w:numPr>
        <w:autoSpaceDE w:val="0"/>
        <w:autoSpaceDN w:val="0"/>
        <w:spacing w:after="0" w:line="240" w:lineRule="auto"/>
        <w:ind w:left="1418"/>
        <w:contextualSpacing w:val="0"/>
        <w:rPr>
          <w:sz w:val="24"/>
          <w:szCs w:val="24"/>
        </w:rPr>
      </w:pPr>
      <w:r w:rsidRPr="00FB3A9F">
        <w:rPr>
          <w:sz w:val="24"/>
          <w:szCs w:val="24"/>
        </w:rPr>
        <w:t xml:space="preserve">Staff break areas are often shared between areas which can lead to cross contamination </w:t>
      </w:r>
    </w:p>
    <w:p w14:paraId="0FB02CDE" w14:textId="77777777" w:rsidR="00B62DE8" w:rsidRPr="00FB3A9F" w:rsidRDefault="00B62DE8" w:rsidP="00B62DE8">
      <w:pPr>
        <w:pStyle w:val="ListParagraph"/>
        <w:widowControl w:val="0"/>
        <w:numPr>
          <w:ilvl w:val="0"/>
          <w:numId w:val="35"/>
        </w:numPr>
        <w:autoSpaceDE w:val="0"/>
        <w:autoSpaceDN w:val="0"/>
        <w:spacing w:after="0" w:line="240" w:lineRule="auto"/>
        <w:ind w:left="1418"/>
        <w:contextualSpacing w:val="0"/>
        <w:rPr>
          <w:sz w:val="24"/>
          <w:szCs w:val="24"/>
        </w:rPr>
      </w:pPr>
      <w:r w:rsidRPr="00FB3A9F">
        <w:rPr>
          <w:sz w:val="24"/>
          <w:szCs w:val="24"/>
        </w:rPr>
        <w:t>LPT has a large number of old buildings not ideal for up-to-date IPC recommendations.</w:t>
      </w:r>
    </w:p>
    <w:p w14:paraId="74B5F04D" w14:textId="77777777" w:rsidR="00B62DE8" w:rsidRPr="00FB3A9F" w:rsidRDefault="00B62DE8" w:rsidP="00B62DE8">
      <w:pPr>
        <w:pStyle w:val="ListParagraph"/>
        <w:widowControl w:val="0"/>
        <w:numPr>
          <w:ilvl w:val="0"/>
          <w:numId w:val="35"/>
        </w:numPr>
        <w:autoSpaceDE w:val="0"/>
        <w:autoSpaceDN w:val="0"/>
        <w:spacing w:after="0" w:line="240" w:lineRule="auto"/>
        <w:ind w:left="1418"/>
        <w:contextualSpacing w:val="0"/>
        <w:rPr>
          <w:sz w:val="24"/>
          <w:szCs w:val="24"/>
        </w:rPr>
      </w:pPr>
      <w:r w:rsidRPr="00FB3A9F">
        <w:rPr>
          <w:sz w:val="24"/>
          <w:szCs w:val="24"/>
        </w:rPr>
        <w:t>A lot of therapy equipment is often around the ward leading to cross contamination. This includes activity IPC continue to work with therapist to help minimise risk.</w:t>
      </w:r>
    </w:p>
    <w:p w14:paraId="02D0B366" w14:textId="77777777" w:rsidR="00B62DE8" w:rsidRPr="00FB3A9F" w:rsidRDefault="00B62DE8" w:rsidP="00B62DE8">
      <w:pPr>
        <w:pStyle w:val="ListParagraph"/>
        <w:widowControl w:val="0"/>
        <w:numPr>
          <w:ilvl w:val="0"/>
          <w:numId w:val="35"/>
        </w:numPr>
        <w:autoSpaceDE w:val="0"/>
        <w:autoSpaceDN w:val="0"/>
        <w:spacing w:after="0" w:line="240" w:lineRule="auto"/>
        <w:ind w:left="1418"/>
        <w:contextualSpacing w:val="0"/>
        <w:rPr>
          <w:sz w:val="24"/>
          <w:szCs w:val="24"/>
        </w:rPr>
      </w:pPr>
      <w:r w:rsidRPr="00FB3A9F">
        <w:rPr>
          <w:sz w:val="24"/>
          <w:szCs w:val="24"/>
        </w:rPr>
        <w:t>Care plan usage for positive patients very poorly used.</w:t>
      </w:r>
    </w:p>
    <w:p w14:paraId="7ACC3BCB" w14:textId="7A2AB7B7" w:rsidR="00A477F8" w:rsidRDefault="00B62DE8" w:rsidP="00F224F7">
      <w:pPr>
        <w:pStyle w:val="ListParagraph"/>
        <w:widowControl w:val="0"/>
        <w:autoSpaceDE w:val="0"/>
        <w:autoSpaceDN w:val="0"/>
        <w:spacing w:after="0" w:line="240" w:lineRule="auto"/>
        <w:ind w:left="1418"/>
        <w:contextualSpacing w:val="0"/>
        <w:rPr>
          <w:sz w:val="24"/>
          <w:szCs w:val="24"/>
        </w:rPr>
      </w:pPr>
      <w:r w:rsidRPr="00FB3A9F">
        <w:rPr>
          <w:sz w:val="24"/>
          <w:szCs w:val="24"/>
        </w:rPr>
        <w:t>Outbreak meetings have been very positively received and help to manage the areas through this stressful time, they have often sped up repairs and given the ward areas an area to ask for help.</w:t>
      </w:r>
    </w:p>
    <w:p w14:paraId="53D6D939" w14:textId="77777777" w:rsidR="00613C1E" w:rsidRPr="00F224F7" w:rsidRDefault="00613C1E" w:rsidP="00F224F7">
      <w:pPr>
        <w:pStyle w:val="ListParagraph"/>
        <w:widowControl w:val="0"/>
        <w:autoSpaceDE w:val="0"/>
        <w:autoSpaceDN w:val="0"/>
        <w:spacing w:after="0" w:line="240" w:lineRule="auto"/>
        <w:ind w:left="1418"/>
        <w:contextualSpacing w:val="0"/>
        <w:rPr>
          <w:sz w:val="24"/>
          <w:szCs w:val="24"/>
        </w:rPr>
      </w:pPr>
    </w:p>
    <w:bookmarkEnd w:id="0"/>
    <w:p w14:paraId="2CE44DC5" w14:textId="73597EA5" w:rsidR="00B6500F" w:rsidRDefault="00B6500F" w:rsidP="00B6500F">
      <w:pPr>
        <w:pStyle w:val="Default"/>
        <w:spacing w:after="120" w:line="276" w:lineRule="auto"/>
        <w:ind w:left="720" w:hanging="720"/>
        <w:rPr>
          <w:rFonts w:asciiTheme="minorHAnsi" w:hAnsiTheme="minorHAnsi"/>
          <w:b/>
          <w:color w:val="auto"/>
        </w:rPr>
      </w:pPr>
      <w:r>
        <w:rPr>
          <w:rFonts w:asciiTheme="minorHAnsi" w:hAnsiTheme="minorHAnsi"/>
          <w:b/>
          <w:color w:val="auto"/>
        </w:rPr>
        <w:t>2</w:t>
      </w:r>
      <w:r w:rsidRPr="00524AF2">
        <w:rPr>
          <w:rFonts w:asciiTheme="minorHAnsi" w:hAnsiTheme="minorHAnsi"/>
          <w:b/>
          <w:color w:val="auto"/>
        </w:rPr>
        <w:t>.</w:t>
      </w:r>
      <w:r w:rsidRPr="00524AF2">
        <w:rPr>
          <w:rFonts w:asciiTheme="minorHAnsi" w:hAnsiTheme="minorHAnsi"/>
          <w:color w:val="auto"/>
        </w:rPr>
        <w:tab/>
      </w:r>
      <w:bookmarkStart w:id="1" w:name="_Hlk108086106"/>
      <w:r w:rsidRPr="00524AF2">
        <w:rPr>
          <w:rFonts w:asciiTheme="minorHAnsi" w:hAnsiTheme="minorHAnsi"/>
          <w:b/>
          <w:color w:val="auto"/>
        </w:rPr>
        <w:t>Decontamination</w:t>
      </w:r>
    </w:p>
    <w:p w14:paraId="2D7D921B" w14:textId="77777777" w:rsidR="005C3B0F" w:rsidRDefault="005C3B0F" w:rsidP="005C3B0F">
      <w:pPr>
        <w:ind w:left="720" w:hanging="720"/>
        <w:rPr>
          <w:b/>
          <w:bCs/>
          <w:sz w:val="24"/>
          <w:szCs w:val="24"/>
        </w:rPr>
      </w:pPr>
      <w:r>
        <w:rPr>
          <w:sz w:val="24"/>
          <w:szCs w:val="24"/>
        </w:rPr>
        <w:t xml:space="preserve">2.1        During a review of the risk register, it was identified within Community Health Services that the risk regarding decontamination for Podiatry services, had not been reviewed regularly or recently.  Decontamination compliance was audited in 2016 and then the actions had not been progressed.  This was reported as a Serious Incident (SI), with an investigation carried out.  The full report was completed in May 2022. </w:t>
      </w:r>
    </w:p>
    <w:p w14:paraId="4B3E5545" w14:textId="77777777" w:rsidR="005C3B0F" w:rsidRDefault="005C3B0F" w:rsidP="005C3B0F">
      <w:pPr>
        <w:keepNext/>
        <w:ind w:left="720" w:hanging="720"/>
        <w:rPr>
          <w:sz w:val="24"/>
          <w:szCs w:val="24"/>
        </w:rPr>
      </w:pPr>
      <w:r>
        <w:rPr>
          <w:sz w:val="24"/>
          <w:szCs w:val="24"/>
        </w:rPr>
        <w:t xml:space="preserve">2.2        The scope of the SI was to look at the processes, audits and governance for podiatry held autoclave and washer disinfector machines   servicing regimes and statutory pressure system </w:t>
      </w:r>
      <w:proofErr w:type="gramStart"/>
      <w:r>
        <w:rPr>
          <w:sz w:val="24"/>
          <w:szCs w:val="24"/>
        </w:rPr>
        <w:t>testing .</w:t>
      </w:r>
      <w:proofErr w:type="gramEnd"/>
      <w:r>
        <w:rPr>
          <w:sz w:val="24"/>
          <w:szCs w:val="24"/>
        </w:rPr>
        <w:t xml:space="preserve">  The investigation process reviewed the potential impact to patients and staff from a </w:t>
      </w:r>
      <w:r>
        <w:rPr>
          <w:sz w:val="24"/>
          <w:szCs w:val="24"/>
        </w:rPr>
        <w:lastRenderedPageBreak/>
        <w:t xml:space="preserve">patient safety and quality perspective and to identify contributory factors and learning to ensure robust oversight of servicing, testing and auditing. </w:t>
      </w:r>
    </w:p>
    <w:p w14:paraId="315A25FD" w14:textId="77777777" w:rsidR="005C3B0F" w:rsidRDefault="005C3B0F" w:rsidP="005C3B0F">
      <w:pPr>
        <w:keepNext/>
        <w:ind w:left="720" w:hanging="720"/>
        <w:jc w:val="both"/>
        <w:rPr>
          <w:sz w:val="24"/>
          <w:szCs w:val="24"/>
        </w:rPr>
      </w:pPr>
      <w:r w:rsidRPr="005C3B0F">
        <w:rPr>
          <w:sz w:val="24"/>
          <w:szCs w:val="24"/>
        </w:rPr>
        <w:t>2.3        A number of recommendations and actions have been completed to rectify this position and a full and concise report submitted to Directorate Governance groups and Executive Directors and Trust Board members. These actions will be monitored and updated by the service, escalations to CHS DMT and exception reporting through the Quality Assurance Forum and Trust Board meetings A number of actions to address the gaps in assurance were undertaken, these included</w:t>
      </w:r>
      <w:r>
        <w:rPr>
          <w:sz w:val="24"/>
          <w:szCs w:val="24"/>
        </w:rPr>
        <w:t>:</w:t>
      </w:r>
    </w:p>
    <w:p w14:paraId="6A70204B" w14:textId="77777777" w:rsidR="005C3B0F" w:rsidRDefault="005C3B0F" w:rsidP="005C3B0F">
      <w:pPr>
        <w:pStyle w:val="ListParagraph"/>
        <w:keepNext/>
        <w:numPr>
          <w:ilvl w:val="0"/>
          <w:numId w:val="41"/>
        </w:numPr>
        <w:jc w:val="both"/>
        <w:rPr>
          <w:rFonts w:eastAsia="Times New Roman"/>
          <w:sz w:val="24"/>
          <w:szCs w:val="24"/>
        </w:rPr>
      </w:pPr>
      <w:r>
        <w:rPr>
          <w:rFonts w:eastAsia="Times New Roman"/>
          <w:sz w:val="24"/>
          <w:szCs w:val="24"/>
        </w:rPr>
        <w:t>Task and finish group with weekly meetings was set up and led by the Director of the Service</w:t>
      </w:r>
    </w:p>
    <w:p w14:paraId="6A93BEBA" w14:textId="77777777" w:rsidR="005C3B0F" w:rsidRDefault="005C3B0F" w:rsidP="005C3B0F">
      <w:pPr>
        <w:pStyle w:val="ListParagraph"/>
        <w:keepNext/>
        <w:numPr>
          <w:ilvl w:val="0"/>
          <w:numId w:val="41"/>
        </w:numPr>
        <w:jc w:val="both"/>
        <w:rPr>
          <w:rFonts w:eastAsia="Times New Roman"/>
          <w:sz w:val="24"/>
          <w:szCs w:val="24"/>
        </w:rPr>
      </w:pPr>
      <w:r>
        <w:rPr>
          <w:rFonts w:eastAsia="Times New Roman"/>
          <w:sz w:val="24"/>
          <w:szCs w:val="24"/>
        </w:rPr>
        <w:t>Equipment service history was reviewed, and services undertaken prior to the equipment being put back into service</w:t>
      </w:r>
    </w:p>
    <w:p w14:paraId="4108CB79" w14:textId="77777777" w:rsidR="005C3B0F" w:rsidRDefault="005C3B0F" w:rsidP="005C3B0F">
      <w:pPr>
        <w:pStyle w:val="ListParagraph"/>
        <w:keepNext/>
        <w:numPr>
          <w:ilvl w:val="0"/>
          <w:numId w:val="41"/>
        </w:numPr>
        <w:jc w:val="both"/>
        <w:rPr>
          <w:rFonts w:eastAsia="Times New Roman"/>
          <w:sz w:val="24"/>
          <w:szCs w:val="24"/>
        </w:rPr>
      </w:pPr>
      <w:r>
        <w:rPr>
          <w:rFonts w:eastAsia="Times New Roman"/>
          <w:sz w:val="24"/>
          <w:szCs w:val="24"/>
        </w:rPr>
        <w:t>Single use equipment was used where decontamination was halted</w:t>
      </w:r>
    </w:p>
    <w:p w14:paraId="0972BC00" w14:textId="77777777" w:rsidR="005C3B0F" w:rsidRDefault="005C3B0F" w:rsidP="005C3B0F">
      <w:pPr>
        <w:pStyle w:val="ListParagraph"/>
        <w:keepNext/>
        <w:numPr>
          <w:ilvl w:val="0"/>
          <w:numId w:val="41"/>
        </w:numPr>
        <w:jc w:val="both"/>
        <w:rPr>
          <w:rFonts w:eastAsia="Times New Roman"/>
          <w:sz w:val="24"/>
          <w:szCs w:val="24"/>
        </w:rPr>
      </w:pPr>
      <w:r>
        <w:rPr>
          <w:rFonts w:eastAsia="Times New Roman"/>
          <w:sz w:val="24"/>
          <w:szCs w:val="24"/>
        </w:rPr>
        <w:t>A number of audits were carried out to identify any risks associated with the delivery of podiatry services</w:t>
      </w:r>
    </w:p>
    <w:p w14:paraId="11A2F3B7" w14:textId="77777777" w:rsidR="005C3B0F" w:rsidRDefault="005C3B0F" w:rsidP="005C3B0F">
      <w:pPr>
        <w:pStyle w:val="ListParagraph"/>
        <w:keepNext/>
        <w:numPr>
          <w:ilvl w:val="0"/>
          <w:numId w:val="41"/>
        </w:numPr>
        <w:jc w:val="both"/>
        <w:rPr>
          <w:rFonts w:eastAsia="Times New Roman"/>
          <w:sz w:val="24"/>
          <w:szCs w:val="24"/>
        </w:rPr>
      </w:pPr>
      <w:r>
        <w:rPr>
          <w:rFonts w:eastAsia="Times New Roman"/>
          <w:sz w:val="24"/>
          <w:szCs w:val="24"/>
        </w:rPr>
        <w:t>An authorised Engineer for Decontamination was appointed, and a review was undertaken of the processes for decontamination used in podiatry services</w:t>
      </w:r>
    </w:p>
    <w:p w14:paraId="336C714C" w14:textId="77777777" w:rsidR="005C3B0F" w:rsidRDefault="005C3B0F" w:rsidP="005C3B0F">
      <w:pPr>
        <w:pStyle w:val="ListParagraph"/>
        <w:keepNext/>
        <w:numPr>
          <w:ilvl w:val="0"/>
          <w:numId w:val="41"/>
        </w:numPr>
        <w:jc w:val="both"/>
        <w:rPr>
          <w:rFonts w:eastAsia="Times New Roman"/>
          <w:sz w:val="24"/>
          <w:szCs w:val="24"/>
        </w:rPr>
      </w:pPr>
      <w:r>
        <w:rPr>
          <w:rFonts w:eastAsia="Times New Roman"/>
          <w:sz w:val="24"/>
          <w:szCs w:val="24"/>
        </w:rPr>
        <w:t>Decontamination group with quarterly meetings set up</w:t>
      </w:r>
    </w:p>
    <w:p w14:paraId="624344D4" w14:textId="77777777" w:rsidR="005C3B0F" w:rsidRDefault="005C3B0F" w:rsidP="005C3B0F">
      <w:pPr>
        <w:pStyle w:val="ListParagraph"/>
        <w:keepNext/>
        <w:numPr>
          <w:ilvl w:val="0"/>
          <w:numId w:val="41"/>
        </w:numPr>
        <w:jc w:val="both"/>
        <w:rPr>
          <w:rFonts w:eastAsia="Times New Roman"/>
          <w:sz w:val="24"/>
          <w:szCs w:val="24"/>
        </w:rPr>
      </w:pPr>
      <w:r>
        <w:rPr>
          <w:rFonts w:eastAsia="Times New Roman"/>
          <w:sz w:val="24"/>
          <w:szCs w:val="24"/>
        </w:rPr>
        <w:t>Decontamination policy and terms of reference under review (completion date Aug22)</w:t>
      </w:r>
    </w:p>
    <w:p w14:paraId="4B5C82EA" w14:textId="77777777" w:rsidR="005C3B0F" w:rsidRPr="00524AF2" w:rsidRDefault="005C3B0F" w:rsidP="00B6500F">
      <w:pPr>
        <w:pStyle w:val="Default"/>
        <w:spacing w:after="120" w:line="276" w:lineRule="auto"/>
        <w:ind w:left="720" w:hanging="720"/>
        <w:rPr>
          <w:rFonts w:asciiTheme="minorHAnsi" w:hAnsiTheme="minorHAnsi"/>
          <w:b/>
          <w:color w:val="auto"/>
        </w:rPr>
      </w:pPr>
    </w:p>
    <w:bookmarkEnd w:id="1"/>
    <w:p w14:paraId="70C6ABC3" w14:textId="162ED355" w:rsidR="00B6500F" w:rsidRDefault="00415608" w:rsidP="00393409">
      <w:pPr>
        <w:pStyle w:val="Default"/>
        <w:spacing w:after="120" w:line="276" w:lineRule="auto"/>
        <w:rPr>
          <w:rFonts w:asciiTheme="minorHAnsi" w:hAnsiTheme="minorHAnsi"/>
          <w:b/>
          <w:color w:val="auto"/>
        </w:rPr>
      </w:pPr>
      <w:r>
        <w:rPr>
          <w:rFonts w:asciiTheme="minorHAnsi" w:hAnsiTheme="minorHAnsi"/>
          <w:b/>
          <w:color w:val="auto"/>
        </w:rPr>
        <w:t>3.</w:t>
      </w:r>
      <w:r>
        <w:rPr>
          <w:rFonts w:asciiTheme="minorHAnsi" w:hAnsiTheme="minorHAnsi"/>
          <w:b/>
          <w:color w:val="auto"/>
        </w:rPr>
        <w:tab/>
        <w:t>Monkey pox (MPX)</w:t>
      </w:r>
    </w:p>
    <w:p w14:paraId="5EDF6868" w14:textId="0AB7C2F6" w:rsidR="00741F6E" w:rsidRPr="00741F6E" w:rsidRDefault="00741F6E" w:rsidP="00741F6E">
      <w:pPr>
        <w:spacing w:before="100" w:beforeAutospacing="1" w:after="100" w:afterAutospacing="1" w:line="240" w:lineRule="auto"/>
        <w:ind w:left="720" w:hanging="720"/>
        <w:rPr>
          <w:rFonts w:eastAsia="Times New Roman" w:cstheme="minorHAnsi"/>
          <w:sz w:val="24"/>
          <w:szCs w:val="24"/>
          <w:lang w:eastAsia="en-GB"/>
        </w:rPr>
      </w:pPr>
      <w:r>
        <w:rPr>
          <w:rFonts w:eastAsia="Times New Roman" w:cstheme="minorHAnsi"/>
          <w:sz w:val="24"/>
          <w:szCs w:val="24"/>
          <w:lang w:eastAsia="en-GB"/>
        </w:rPr>
        <w:t>3.1</w:t>
      </w:r>
      <w:r>
        <w:rPr>
          <w:rFonts w:eastAsia="Times New Roman" w:cstheme="minorHAnsi"/>
          <w:sz w:val="24"/>
          <w:szCs w:val="24"/>
          <w:lang w:eastAsia="en-GB"/>
        </w:rPr>
        <w:tab/>
      </w:r>
      <w:r w:rsidRPr="00741F6E">
        <w:rPr>
          <w:rFonts w:eastAsia="Times New Roman" w:cstheme="minorHAnsi"/>
          <w:sz w:val="24"/>
          <w:szCs w:val="24"/>
          <w:lang w:eastAsia="en-GB"/>
        </w:rPr>
        <w:t>Monkeypox is a rare disease that is caused by the monkeypox virus. Monkeypox is most commonly seen in central and west Africa but there has been a recent increase in cases in the UK as well as other parts of the world where it has not been seen before.</w:t>
      </w:r>
    </w:p>
    <w:p w14:paraId="3BB54B8E" w14:textId="6DDB7788" w:rsidR="00741F6E" w:rsidRPr="00741F6E" w:rsidRDefault="00741F6E" w:rsidP="00741F6E">
      <w:pPr>
        <w:spacing w:before="100" w:beforeAutospacing="1" w:after="100" w:afterAutospacing="1" w:line="240" w:lineRule="auto"/>
        <w:ind w:left="720" w:hanging="720"/>
        <w:rPr>
          <w:rFonts w:eastAsia="Times New Roman" w:cstheme="minorHAnsi"/>
          <w:sz w:val="24"/>
          <w:szCs w:val="24"/>
          <w:lang w:eastAsia="en-GB"/>
        </w:rPr>
      </w:pPr>
      <w:r>
        <w:rPr>
          <w:rFonts w:eastAsia="Times New Roman" w:cstheme="minorHAnsi"/>
          <w:sz w:val="24"/>
          <w:szCs w:val="24"/>
          <w:lang w:eastAsia="en-GB"/>
        </w:rPr>
        <w:t>3.2</w:t>
      </w:r>
      <w:r>
        <w:rPr>
          <w:rFonts w:eastAsia="Times New Roman" w:cstheme="minorHAnsi"/>
          <w:sz w:val="24"/>
          <w:szCs w:val="24"/>
          <w:lang w:eastAsia="en-GB"/>
        </w:rPr>
        <w:tab/>
      </w:r>
      <w:r w:rsidRPr="00741F6E">
        <w:rPr>
          <w:rFonts w:eastAsia="Times New Roman" w:cstheme="minorHAnsi"/>
          <w:sz w:val="24"/>
          <w:szCs w:val="24"/>
          <w:lang w:eastAsia="en-GB"/>
        </w:rPr>
        <w:t>Monkeypox usually causes a mild illness that resolves without treatment and most people recover within a few weeks. However, severe illness can occur in some people. It is possible that young children, pregnant women and immunocompromised people are more at risk of becoming severely unwell than others.</w:t>
      </w:r>
    </w:p>
    <w:p w14:paraId="32B06ED8" w14:textId="3CF720E2" w:rsidR="00741F6E" w:rsidRPr="00741F6E" w:rsidRDefault="00741F6E" w:rsidP="00741F6E">
      <w:pPr>
        <w:spacing w:before="100" w:beforeAutospacing="1" w:after="100" w:afterAutospacing="1" w:line="240" w:lineRule="auto"/>
        <w:ind w:left="720" w:hanging="720"/>
        <w:rPr>
          <w:rFonts w:eastAsia="Times New Roman" w:cstheme="minorHAnsi"/>
          <w:sz w:val="24"/>
          <w:szCs w:val="24"/>
          <w:lang w:eastAsia="en-GB"/>
        </w:rPr>
      </w:pPr>
      <w:r>
        <w:rPr>
          <w:rFonts w:eastAsia="Times New Roman" w:cstheme="minorHAnsi"/>
          <w:sz w:val="24"/>
          <w:szCs w:val="24"/>
          <w:lang w:eastAsia="en-GB"/>
        </w:rPr>
        <w:t>3.3</w:t>
      </w:r>
      <w:r>
        <w:rPr>
          <w:rFonts w:eastAsia="Times New Roman" w:cstheme="minorHAnsi"/>
          <w:sz w:val="24"/>
          <w:szCs w:val="24"/>
          <w:lang w:eastAsia="en-GB"/>
        </w:rPr>
        <w:tab/>
      </w:r>
      <w:r w:rsidRPr="00741F6E">
        <w:rPr>
          <w:rFonts w:eastAsia="Times New Roman" w:cstheme="minorHAnsi"/>
          <w:sz w:val="24"/>
          <w:szCs w:val="24"/>
          <w:lang w:eastAsia="en-GB"/>
        </w:rPr>
        <w:t xml:space="preserve">Infection mainly spreads between people through direct (skin to skin) contact, including sexual contact, or close contact via particles containing the monkeypox virus. Infection can also be spread via contaminated objects such as linen and soft furnishings. The </w:t>
      </w:r>
      <w:r w:rsidR="00D406B5" w:rsidRPr="00741F6E">
        <w:rPr>
          <w:rFonts w:eastAsia="Times New Roman" w:cstheme="minorHAnsi"/>
          <w:sz w:val="24"/>
          <w:szCs w:val="24"/>
          <w:lang w:eastAsia="en-GB"/>
        </w:rPr>
        <w:t>chance</w:t>
      </w:r>
      <w:r w:rsidRPr="00741F6E">
        <w:rPr>
          <w:rFonts w:eastAsia="Times New Roman" w:cstheme="minorHAnsi"/>
          <w:sz w:val="24"/>
          <w:szCs w:val="24"/>
          <w:lang w:eastAsia="en-GB"/>
        </w:rPr>
        <w:t xml:space="preserve"> of catching the infection increases when there is close contact with an infected person who has monkeypox symptoms.</w:t>
      </w:r>
    </w:p>
    <w:p w14:paraId="359928EA" w14:textId="07C49204" w:rsidR="00741F6E" w:rsidRPr="00741F6E" w:rsidRDefault="00741F6E" w:rsidP="00741F6E">
      <w:pPr>
        <w:spacing w:before="100" w:beforeAutospacing="1" w:after="100" w:afterAutospacing="1" w:line="240" w:lineRule="auto"/>
        <w:ind w:left="720" w:hanging="720"/>
        <w:rPr>
          <w:rFonts w:eastAsia="Times New Roman" w:cstheme="minorHAnsi"/>
          <w:sz w:val="24"/>
          <w:szCs w:val="24"/>
          <w:lang w:eastAsia="en-GB"/>
        </w:rPr>
      </w:pPr>
      <w:r>
        <w:rPr>
          <w:rFonts w:eastAsia="Times New Roman" w:cstheme="minorHAnsi"/>
          <w:sz w:val="24"/>
          <w:szCs w:val="24"/>
          <w:lang w:eastAsia="en-GB"/>
        </w:rPr>
        <w:t>3.4</w:t>
      </w:r>
      <w:r>
        <w:rPr>
          <w:rFonts w:eastAsia="Times New Roman" w:cstheme="minorHAnsi"/>
          <w:sz w:val="24"/>
          <w:szCs w:val="24"/>
          <w:lang w:eastAsia="en-GB"/>
        </w:rPr>
        <w:tab/>
      </w:r>
      <w:r w:rsidRPr="00741F6E">
        <w:rPr>
          <w:rFonts w:eastAsia="Times New Roman" w:cstheme="minorHAnsi"/>
          <w:sz w:val="24"/>
          <w:szCs w:val="24"/>
          <w:lang w:eastAsia="en-GB"/>
        </w:rPr>
        <w:t>Monkeypox infection usually starts with symptoms such as fever, headache, muscle aches, backache, chills or exhaustion. This is followed by a rash a few days later that may start on the face, groin or hands, before spreading to the rest of the body. It starts as raised spots, which turn into small blisters filled with fluid (lesions). These blisters eventually form scabs which later fall off.</w:t>
      </w:r>
    </w:p>
    <w:p w14:paraId="4FC367AF" w14:textId="1CD41C8C" w:rsidR="00741F6E" w:rsidRPr="00741F6E" w:rsidRDefault="00741F6E" w:rsidP="00741F6E">
      <w:pPr>
        <w:spacing w:before="100" w:beforeAutospacing="1" w:after="100" w:afterAutospacing="1" w:line="240" w:lineRule="auto"/>
        <w:ind w:left="720" w:hanging="720"/>
        <w:rPr>
          <w:rFonts w:eastAsia="Times New Roman" w:cstheme="minorHAnsi"/>
          <w:sz w:val="24"/>
          <w:szCs w:val="24"/>
          <w:lang w:eastAsia="en-GB"/>
        </w:rPr>
      </w:pPr>
      <w:r>
        <w:rPr>
          <w:rFonts w:eastAsia="Times New Roman" w:cstheme="minorHAnsi"/>
          <w:sz w:val="24"/>
          <w:szCs w:val="24"/>
          <w:lang w:eastAsia="en-GB"/>
        </w:rPr>
        <w:t>3.5</w:t>
      </w:r>
      <w:r>
        <w:rPr>
          <w:rFonts w:eastAsia="Times New Roman" w:cstheme="minorHAnsi"/>
          <w:sz w:val="24"/>
          <w:szCs w:val="24"/>
          <w:lang w:eastAsia="en-GB"/>
        </w:rPr>
        <w:tab/>
      </w:r>
      <w:r w:rsidRPr="00741F6E">
        <w:rPr>
          <w:rFonts w:eastAsia="Times New Roman" w:cstheme="minorHAnsi"/>
          <w:sz w:val="24"/>
          <w:szCs w:val="24"/>
          <w:lang w:eastAsia="en-GB"/>
        </w:rPr>
        <w:t>An individual with monkeypox is considered infectious from when their symptoms start, until their lesions have scabbed over, all the scabs have fallen off and a fresh layer of skin has formed underneath. This may take several weeks.</w:t>
      </w:r>
    </w:p>
    <w:p w14:paraId="6C885124" w14:textId="77777777" w:rsidR="00B41677" w:rsidRDefault="00B41677" w:rsidP="00B41677">
      <w:pPr>
        <w:pStyle w:val="Default"/>
        <w:spacing w:after="120" w:line="276" w:lineRule="auto"/>
        <w:ind w:left="720" w:hanging="720"/>
        <w:rPr>
          <w:rFonts w:asciiTheme="minorHAnsi" w:hAnsiTheme="minorHAnsi"/>
          <w:bCs/>
          <w:color w:val="auto"/>
        </w:rPr>
      </w:pPr>
      <w:r>
        <w:rPr>
          <w:rFonts w:asciiTheme="minorHAnsi" w:hAnsiTheme="minorHAnsi"/>
          <w:bCs/>
          <w:color w:val="auto"/>
        </w:rPr>
        <w:lastRenderedPageBreak/>
        <w:t>3.6</w:t>
      </w:r>
      <w:r>
        <w:rPr>
          <w:rFonts w:asciiTheme="minorHAnsi" w:hAnsiTheme="minorHAnsi"/>
          <w:bCs/>
          <w:color w:val="auto"/>
        </w:rPr>
        <w:tab/>
      </w:r>
      <w:r w:rsidR="00741F6E" w:rsidRPr="00B41677">
        <w:rPr>
          <w:rFonts w:asciiTheme="minorHAnsi" w:hAnsiTheme="minorHAnsi"/>
          <w:bCs/>
          <w:color w:val="auto"/>
        </w:rPr>
        <w:t>A number of meetings and actions have occurred over the last few weeks since the emergence of monke</w:t>
      </w:r>
      <w:r>
        <w:rPr>
          <w:rFonts w:asciiTheme="minorHAnsi" w:hAnsiTheme="minorHAnsi"/>
          <w:bCs/>
          <w:color w:val="auto"/>
        </w:rPr>
        <w:t>y</w:t>
      </w:r>
      <w:r w:rsidR="00741F6E" w:rsidRPr="00B41677">
        <w:rPr>
          <w:rFonts w:asciiTheme="minorHAnsi" w:hAnsiTheme="minorHAnsi"/>
          <w:bCs/>
          <w:color w:val="auto"/>
        </w:rPr>
        <w:t xml:space="preserve">pox as an infection in the UK.  The following information </w:t>
      </w:r>
      <w:r w:rsidRPr="00B41677">
        <w:rPr>
          <w:rFonts w:asciiTheme="minorHAnsi" w:hAnsiTheme="minorHAnsi"/>
          <w:bCs/>
          <w:color w:val="auto"/>
        </w:rPr>
        <w:t>outlines updates as of 20 June 2022</w:t>
      </w:r>
    </w:p>
    <w:p w14:paraId="74491508" w14:textId="0D8EA13B" w:rsidR="00415608" w:rsidRPr="00B41677" w:rsidRDefault="00B41677" w:rsidP="00B41677">
      <w:pPr>
        <w:pStyle w:val="Default"/>
        <w:spacing w:after="120" w:line="276" w:lineRule="auto"/>
        <w:ind w:left="720" w:hanging="720"/>
        <w:rPr>
          <w:rFonts w:asciiTheme="minorHAnsi" w:hAnsiTheme="minorHAnsi" w:cstheme="minorHAnsi"/>
          <w:bCs/>
          <w:color w:val="auto"/>
        </w:rPr>
      </w:pPr>
      <w:r w:rsidRPr="00B41677">
        <w:rPr>
          <w:rFonts w:asciiTheme="minorHAnsi" w:hAnsiTheme="minorHAnsi" w:cstheme="minorHAnsi"/>
          <w:bCs/>
        </w:rPr>
        <w:t>3.7</w:t>
      </w:r>
      <w:r w:rsidRPr="00B41677">
        <w:rPr>
          <w:rFonts w:asciiTheme="minorHAnsi" w:hAnsiTheme="minorHAnsi" w:cstheme="minorHAnsi"/>
          <w:bCs/>
        </w:rPr>
        <w:tab/>
      </w:r>
      <w:r w:rsidR="00415608" w:rsidRPr="00B41677">
        <w:rPr>
          <w:rFonts w:asciiTheme="minorHAnsi" w:hAnsiTheme="minorHAnsi" w:cstheme="minorHAnsi"/>
          <w:bCs/>
        </w:rPr>
        <w:t>LPT</w:t>
      </w:r>
      <w:r w:rsidRPr="00B41677">
        <w:rPr>
          <w:rFonts w:asciiTheme="minorHAnsi" w:hAnsiTheme="minorHAnsi" w:cstheme="minorHAnsi"/>
          <w:bCs/>
        </w:rPr>
        <w:t xml:space="preserve"> response</w:t>
      </w:r>
    </w:p>
    <w:p w14:paraId="32B8D396" w14:textId="294C5227" w:rsidR="00415608" w:rsidRPr="00B41677" w:rsidRDefault="00415608" w:rsidP="00415608">
      <w:pPr>
        <w:pStyle w:val="ListParagraph"/>
        <w:numPr>
          <w:ilvl w:val="0"/>
          <w:numId w:val="38"/>
        </w:numPr>
        <w:spacing w:after="0" w:line="240" w:lineRule="auto"/>
        <w:contextualSpacing w:val="0"/>
        <w:rPr>
          <w:rFonts w:eastAsia="Times New Roman" w:cstheme="minorHAnsi"/>
          <w:sz w:val="24"/>
          <w:szCs w:val="24"/>
        </w:rPr>
      </w:pPr>
      <w:r w:rsidRPr="00B41677">
        <w:rPr>
          <w:rFonts w:eastAsia="Times New Roman" w:cstheme="minorHAnsi"/>
          <w:sz w:val="24"/>
          <w:szCs w:val="24"/>
        </w:rPr>
        <w:t>Staff communication</w:t>
      </w:r>
      <w:r w:rsidR="00B41677" w:rsidRPr="00B41677">
        <w:rPr>
          <w:rFonts w:eastAsia="Times New Roman" w:cstheme="minorHAnsi"/>
          <w:sz w:val="24"/>
          <w:szCs w:val="24"/>
        </w:rPr>
        <w:t xml:space="preserve">s sent out as updates </w:t>
      </w:r>
      <w:r w:rsidR="00D406B5" w:rsidRPr="00B41677">
        <w:rPr>
          <w:rFonts w:eastAsia="Times New Roman" w:cstheme="minorHAnsi"/>
          <w:sz w:val="24"/>
          <w:szCs w:val="24"/>
        </w:rPr>
        <w:t>received</w:t>
      </w:r>
    </w:p>
    <w:p w14:paraId="6682DD9F" w14:textId="77777777" w:rsidR="00415608" w:rsidRPr="00B41677" w:rsidRDefault="00415608" w:rsidP="00415608">
      <w:pPr>
        <w:pStyle w:val="ListParagraph"/>
        <w:numPr>
          <w:ilvl w:val="0"/>
          <w:numId w:val="38"/>
        </w:numPr>
        <w:spacing w:after="0" w:line="240" w:lineRule="auto"/>
        <w:contextualSpacing w:val="0"/>
        <w:rPr>
          <w:rFonts w:eastAsia="Times New Roman" w:cstheme="minorHAnsi"/>
          <w:sz w:val="24"/>
          <w:szCs w:val="24"/>
        </w:rPr>
      </w:pPr>
      <w:r w:rsidRPr="00B41677">
        <w:rPr>
          <w:rFonts w:eastAsia="Times New Roman" w:cstheme="minorHAnsi"/>
          <w:sz w:val="24"/>
          <w:szCs w:val="24"/>
        </w:rPr>
        <w:t xml:space="preserve">Action log commenced to support governance process and channel appropriate information </w:t>
      </w:r>
    </w:p>
    <w:p w14:paraId="457D0EE1" w14:textId="1B6C42C9" w:rsidR="00415608" w:rsidRPr="00B41677" w:rsidRDefault="00B41677" w:rsidP="00415608">
      <w:pPr>
        <w:pStyle w:val="ListParagraph"/>
        <w:numPr>
          <w:ilvl w:val="0"/>
          <w:numId w:val="38"/>
        </w:numPr>
        <w:spacing w:after="0" w:line="240" w:lineRule="auto"/>
        <w:contextualSpacing w:val="0"/>
        <w:rPr>
          <w:rFonts w:eastAsia="Times New Roman" w:cstheme="minorHAnsi"/>
          <w:sz w:val="24"/>
          <w:szCs w:val="24"/>
        </w:rPr>
      </w:pPr>
      <w:r w:rsidRPr="00B41677">
        <w:rPr>
          <w:rFonts w:eastAsia="Times New Roman" w:cstheme="minorHAnsi"/>
          <w:sz w:val="24"/>
          <w:szCs w:val="24"/>
        </w:rPr>
        <w:t>A</w:t>
      </w:r>
      <w:r w:rsidR="00415608" w:rsidRPr="00B41677">
        <w:rPr>
          <w:rFonts w:eastAsia="Times New Roman" w:cstheme="minorHAnsi"/>
          <w:sz w:val="24"/>
          <w:szCs w:val="24"/>
        </w:rPr>
        <w:t xml:space="preserve">ction card developed for community/inpatient </w:t>
      </w:r>
      <w:r w:rsidR="00BE4FD9">
        <w:rPr>
          <w:rFonts w:eastAsia="Times New Roman" w:cstheme="minorHAnsi"/>
          <w:sz w:val="24"/>
          <w:szCs w:val="24"/>
        </w:rPr>
        <w:t>staff as guidance for actions to be taken</w:t>
      </w:r>
      <w:r w:rsidR="00415608" w:rsidRPr="00B41677">
        <w:rPr>
          <w:rFonts w:eastAsia="Times New Roman" w:cstheme="minorHAnsi"/>
          <w:sz w:val="24"/>
          <w:szCs w:val="24"/>
        </w:rPr>
        <w:t xml:space="preserve"> </w:t>
      </w:r>
      <w:r w:rsidR="00BE4FD9">
        <w:rPr>
          <w:rFonts w:eastAsia="Times New Roman" w:cstheme="minorHAnsi"/>
          <w:sz w:val="24"/>
          <w:szCs w:val="24"/>
        </w:rPr>
        <w:t>if a suspected case presents</w:t>
      </w:r>
    </w:p>
    <w:p w14:paraId="69B099B7" w14:textId="09A6FA72" w:rsidR="00415608" w:rsidRPr="00B41677" w:rsidRDefault="00415608" w:rsidP="00415608">
      <w:pPr>
        <w:pStyle w:val="ListParagraph"/>
        <w:numPr>
          <w:ilvl w:val="0"/>
          <w:numId w:val="38"/>
        </w:numPr>
        <w:spacing w:after="0" w:line="240" w:lineRule="auto"/>
        <w:contextualSpacing w:val="0"/>
        <w:rPr>
          <w:rFonts w:eastAsia="Times New Roman" w:cstheme="minorHAnsi"/>
          <w:sz w:val="24"/>
          <w:szCs w:val="24"/>
        </w:rPr>
      </w:pPr>
      <w:r w:rsidRPr="00B41677">
        <w:rPr>
          <w:rFonts w:eastAsia="Times New Roman" w:cstheme="minorHAnsi"/>
          <w:sz w:val="24"/>
          <w:szCs w:val="24"/>
        </w:rPr>
        <w:t xml:space="preserve">action card developed for attendees at hospitals and healthcare </w:t>
      </w:r>
    </w:p>
    <w:p w14:paraId="77C9DE4D" w14:textId="17CAF510" w:rsidR="00415608" w:rsidRPr="00B41677" w:rsidRDefault="00415608" w:rsidP="00415608">
      <w:pPr>
        <w:pStyle w:val="ListParagraph"/>
        <w:numPr>
          <w:ilvl w:val="0"/>
          <w:numId w:val="38"/>
        </w:numPr>
        <w:spacing w:after="0" w:line="240" w:lineRule="auto"/>
        <w:contextualSpacing w:val="0"/>
        <w:rPr>
          <w:rFonts w:eastAsia="Times New Roman" w:cstheme="minorHAnsi"/>
          <w:sz w:val="24"/>
          <w:szCs w:val="24"/>
        </w:rPr>
      </w:pPr>
      <w:r w:rsidRPr="00B41677">
        <w:rPr>
          <w:rFonts w:eastAsia="Times New Roman" w:cstheme="minorHAnsi"/>
          <w:sz w:val="24"/>
          <w:szCs w:val="24"/>
        </w:rPr>
        <w:t xml:space="preserve">Domestic staff identified for FFP3 training and </w:t>
      </w:r>
      <w:r w:rsidR="00CC123C">
        <w:rPr>
          <w:rFonts w:eastAsia="Times New Roman" w:cstheme="minorHAnsi"/>
          <w:sz w:val="24"/>
          <w:szCs w:val="24"/>
        </w:rPr>
        <w:t xml:space="preserve">is currently being </w:t>
      </w:r>
      <w:r w:rsidRPr="00B41677">
        <w:rPr>
          <w:rFonts w:eastAsia="Times New Roman" w:cstheme="minorHAnsi"/>
          <w:sz w:val="24"/>
          <w:szCs w:val="24"/>
        </w:rPr>
        <w:t xml:space="preserve">provided by </w:t>
      </w:r>
      <w:r w:rsidR="00CC123C">
        <w:rPr>
          <w:rFonts w:eastAsia="Times New Roman" w:cstheme="minorHAnsi"/>
          <w:sz w:val="24"/>
          <w:szCs w:val="24"/>
        </w:rPr>
        <w:t>LPT to support UHL capacity</w:t>
      </w:r>
    </w:p>
    <w:p w14:paraId="54BB95CF" w14:textId="77777777" w:rsidR="00152435" w:rsidRDefault="00152435" w:rsidP="00415608">
      <w:pPr>
        <w:rPr>
          <w:sz w:val="24"/>
          <w:szCs w:val="24"/>
        </w:rPr>
      </w:pPr>
    </w:p>
    <w:p w14:paraId="19AC4F34" w14:textId="23C4ECC2" w:rsidR="00415608" w:rsidRPr="004F1107" w:rsidRDefault="00B41677" w:rsidP="00415608">
      <w:pPr>
        <w:rPr>
          <w:sz w:val="24"/>
          <w:szCs w:val="24"/>
        </w:rPr>
      </w:pPr>
      <w:r w:rsidRPr="004F1107">
        <w:rPr>
          <w:sz w:val="24"/>
          <w:szCs w:val="24"/>
        </w:rPr>
        <w:t>3.8</w:t>
      </w:r>
      <w:r w:rsidRPr="004F1107">
        <w:rPr>
          <w:sz w:val="24"/>
          <w:szCs w:val="24"/>
        </w:rPr>
        <w:tab/>
      </w:r>
      <w:r w:rsidR="00415608" w:rsidRPr="004F1107">
        <w:rPr>
          <w:sz w:val="24"/>
          <w:szCs w:val="24"/>
        </w:rPr>
        <w:t>Midlands region meeting (East and West)</w:t>
      </w:r>
    </w:p>
    <w:p w14:paraId="02673305" w14:textId="5B7846AF" w:rsidR="00415608" w:rsidRPr="004F1107" w:rsidRDefault="00B41677" w:rsidP="00415608">
      <w:pPr>
        <w:pStyle w:val="ListParagraph"/>
        <w:numPr>
          <w:ilvl w:val="0"/>
          <w:numId w:val="39"/>
        </w:numPr>
        <w:spacing w:after="0" w:line="240" w:lineRule="auto"/>
        <w:contextualSpacing w:val="0"/>
        <w:rPr>
          <w:rFonts w:eastAsia="Times New Roman"/>
          <w:sz w:val="24"/>
          <w:szCs w:val="24"/>
        </w:rPr>
      </w:pPr>
      <w:r w:rsidRPr="004F1107">
        <w:rPr>
          <w:rFonts w:eastAsia="Times New Roman"/>
          <w:sz w:val="24"/>
          <w:szCs w:val="24"/>
        </w:rPr>
        <w:t xml:space="preserve">Nationally cases up to </w:t>
      </w:r>
      <w:r w:rsidR="005C3B0F">
        <w:rPr>
          <w:rFonts w:eastAsia="Times New Roman"/>
          <w:sz w:val="24"/>
          <w:szCs w:val="24"/>
        </w:rPr>
        <w:t>1400</w:t>
      </w:r>
      <w:r w:rsidRPr="004F1107">
        <w:rPr>
          <w:rFonts w:eastAsia="Times New Roman"/>
          <w:sz w:val="24"/>
          <w:szCs w:val="24"/>
        </w:rPr>
        <w:t xml:space="preserve"> with approximately </w:t>
      </w:r>
      <w:r w:rsidR="005C3B0F">
        <w:rPr>
          <w:rFonts w:eastAsia="Times New Roman"/>
          <w:sz w:val="24"/>
          <w:szCs w:val="24"/>
        </w:rPr>
        <w:t>40 cases</w:t>
      </w:r>
      <w:r w:rsidRPr="004F1107">
        <w:rPr>
          <w:rFonts w:eastAsia="Times New Roman"/>
          <w:sz w:val="24"/>
          <w:szCs w:val="24"/>
        </w:rPr>
        <w:t xml:space="preserve"> within East and West Midlands Region </w:t>
      </w:r>
    </w:p>
    <w:p w14:paraId="4C1CF1FA" w14:textId="6CA6AD74" w:rsidR="00415608" w:rsidRDefault="00415608" w:rsidP="00415608">
      <w:pPr>
        <w:pStyle w:val="ListParagraph"/>
        <w:numPr>
          <w:ilvl w:val="0"/>
          <w:numId w:val="39"/>
        </w:numPr>
        <w:spacing w:after="0" w:line="240" w:lineRule="auto"/>
        <w:contextualSpacing w:val="0"/>
        <w:rPr>
          <w:rFonts w:eastAsia="Times New Roman"/>
          <w:sz w:val="24"/>
          <w:szCs w:val="24"/>
        </w:rPr>
      </w:pPr>
      <w:r w:rsidRPr="004F1107">
        <w:rPr>
          <w:rFonts w:eastAsia="Times New Roman"/>
          <w:sz w:val="24"/>
          <w:szCs w:val="24"/>
        </w:rPr>
        <w:t xml:space="preserve">Most patients are </w:t>
      </w:r>
      <w:r w:rsidR="00D406B5" w:rsidRPr="004F1107">
        <w:rPr>
          <w:rFonts w:eastAsia="Times New Roman"/>
          <w:sz w:val="24"/>
          <w:szCs w:val="24"/>
        </w:rPr>
        <w:t xml:space="preserve">self-referring </w:t>
      </w:r>
      <w:r w:rsidR="00D406B5">
        <w:rPr>
          <w:rFonts w:eastAsia="Times New Roman"/>
          <w:sz w:val="24"/>
          <w:szCs w:val="24"/>
        </w:rPr>
        <w:t>and</w:t>
      </w:r>
      <w:r w:rsidR="004F1107">
        <w:rPr>
          <w:rFonts w:eastAsia="Times New Roman"/>
          <w:sz w:val="24"/>
          <w:szCs w:val="24"/>
        </w:rPr>
        <w:t xml:space="preserve"> are identified as infectious prior to the rash developing which manages symptoms earlier and prevents cross contamination </w:t>
      </w:r>
    </w:p>
    <w:p w14:paraId="4888C7F5" w14:textId="64161571" w:rsidR="004F1107" w:rsidRDefault="004F1107" w:rsidP="00415608">
      <w:pPr>
        <w:pStyle w:val="ListParagraph"/>
        <w:numPr>
          <w:ilvl w:val="0"/>
          <w:numId w:val="39"/>
        </w:numPr>
        <w:spacing w:after="0" w:line="240" w:lineRule="auto"/>
        <w:contextualSpacing w:val="0"/>
        <w:rPr>
          <w:rFonts w:eastAsia="Times New Roman"/>
          <w:sz w:val="24"/>
          <w:szCs w:val="24"/>
        </w:rPr>
      </w:pPr>
      <w:r>
        <w:rPr>
          <w:rFonts w:eastAsia="Times New Roman"/>
          <w:sz w:val="24"/>
          <w:szCs w:val="24"/>
        </w:rPr>
        <w:t xml:space="preserve">Majority of patients are within the London or </w:t>
      </w:r>
      <w:r w:rsidR="00D406B5">
        <w:rPr>
          <w:rFonts w:eastAsia="Times New Roman"/>
          <w:sz w:val="24"/>
          <w:szCs w:val="24"/>
        </w:rPr>
        <w:t>Southeast</w:t>
      </w:r>
      <w:r>
        <w:rPr>
          <w:rFonts w:eastAsia="Times New Roman"/>
          <w:sz w:val="24"/>
          <w:szCs w:val="24"/>
        </w:rPr>
        <w:t xml:space="preserve"> region</w:t>
      </w:r>
    </w:p>
    <w:p w14:paraId="3D245517" w14:textId="4358BB6E" w:rsidR="004F1107" w:rsidRPr="004F1107" w:rsidRDefault="004F1107" w:rsidP="00415608">
      <w:pPr>
        <w:pStyle w:val="ListParagraph"/>
        <w:numPr>
          <w:ilvl w:val="0"/>
          <w:numId w:val="39"/>
        </w:numPr>
        <w:spacing w:after="0" w:line="240" w:lineRule="auto"/>
        <w:contextualSpacing w:val="0"/>
        <w:rPr>
          <w:rFonts w:eastAsia="Times New Roman"/>
          <w:sz w:val="24"/>
          <w:szCs w:val="24"/>
        </w:rPr>
      </w:pPr>
      <w:r>
        <w:rPr>
          <w:rFonts w:eastAsia="Times New Roman"/>
          <w:sz w:val="24"/>
          <w:szCs w:val="24"/>
        </w:rPr>
        <w:t>Majority of those affected are men, with some women now testing positive.</w:t>
      </w:r>
    </w:p>
    <w:p w14:paraId="0D7BCF47" w14:textId="77777777" w:rsidR="00415608" w:rsidRPr="004F1107" w:rsidRDefault="00415608" w:rsidP="00415608">
      <w:pPr>
        <w:pStyle w:val="ListParagraph"/>
        <w:numPr>
          <w:ilvl w:val="0"/>
          <w:numId w:val="39"/>
        </w:numPr>
        <w:spacing w:after="0" w:line="240" w:lineRule="auto"/>
        <w:contextualSpacing w:val="0"/>
        <w:rPr>
          <w:rFonts w:eastAsia="Times New Roman"/>
          <w:sz w:val="24"/>
          <w:szCs w:val="24"/>
        </w:rPr>
      </w:pPr>
      <w:r w:rsidRPr="004F1107">
        <w:rPr>
          <w:rFonts w:eastAsia="Times New Roman"/>
          <w:sz w:val="24"/>
          <w:szCs w:val="24"/>
        </w:rPr>
        <w:t>Patients mainly well and able to isolate at home</w:t>
      </w:r>
    </w:p>
    <w:p w14:paraId="61CB9DE6" w14:textId="77777777" w:rsidR="00415608" w:rsidRPr="004F1107" w:rsidRDefault="00415608" w:rsidP="00415608">
      <w:pPr>
        <w:pStyle w:val="ListParagraph"/>
        <w:numPr>
          <w:ilvl w:val="0"/>
          <w:numId w:val="39"/>
        </w:numPr>
        <w:spacing w:after="0" w:line="240" w:lineRule="auto"/>
        <w:contextualSpacing w:val="0"/>
        <w:rPr>
          <w:rFonts w:eastAsia="Times New Roman"/>
          <w:sz w:val="24"/>
          <w:szCs w:val="24"/>
        </w:rPr>
      </w:pPr>
      <w:r w:rsidRPr="004F1107">
        <w:rPr>
          <w:rFonts w:eastAsia="Times New Roman"/>
          <w:sz w:val="24"/>
          <w:szCs w:val="24"/>
        </w:rPr>
        <w:t>Number to call is still 111 or 999 where the ambulance service will support the triaging of the best option for transfer if needed</w:t>
      </w:r>
    </w:p>
    <w:p w14:paraId="5B7568DB" w14:textId="16BD1216" w:rsidR="00415608" w:rsidRPr="004F1107" w:rsidRDefault="00B41677" w:rsidP="00415608">
      <w:pPr>
        <w:pStyle w:val="ListParagraph"/>
        <w:numPr>
          <w:ilvl w:val="0"/>
          <w:numId w:val="39"/>
        </w:numPr>
        <w:spacing w:after="0" w:line="240" w:lineRule="auto"/>
        <w:contextualSpacing w:val="0"/>
        <w:rPr>
          <w:rFonts w:eastAsia="Times New Roman"/>
          <w:sz w:val="24"/>
          <w:szCs w:val="24"/>
        </w:rPr>
      </w:pPr>
      <w:r w:rsidRPr="004F1107">
        <w:rPr>
          <w:rFonts w:eastAsia="Times New Roman"/>
          <w:sz w:val="24"/>
          <w:szCs w:val="24"/>
        </w:rPr>
        <w:t>A weekly update will be provided from UHSHA</w:t>
      </w:r>
    </w:p>
    <w:p w14:paraId="6E6B9D79" w14:textId="6CD604BF" w:rsidR="00302E4A" w:rsidRPr="004F1107" w:rsidRDefault="00302E4A" w:rsidP="00415608">
      <w:pPr>
        <w:pStyle w:val="ListParagraph"/>
        <w:numPr>
          <w:ilvl w:val="0"/>
          <w:numId w:val="39"/>
        </w:numPr>
        <w:spacing w:after="0" w:line="240" w:lineRule="auto"/>
        <w:contextualSpacing w:val="0"/>
        <w:rPr>
          <w:rFonts w:eastAsia="Times New Roman"/>
          <w:sz w:val="24"/>
          <w:szCs w:val="24"/>
        </w:rPr>
      </w:pPr>
      <w:r w:rsidRPr="004F1107">
        <w:rPr>
          <w:rFonts w:eastAsia="Times New Roman"/>
          <w:sz w:val="24"/>
          <w:szCs w:val="24"/>
        </w:rPr>
        <w:t>Consideration being given to rename the infection to remove stigma</w:t>
      </w:r>
    </w:p>
    <w:p w14:paraId="6980F398" w14:textId="5C4E8146" w:rsidR="00302E4A" w:rsidRPr="004F1107" w:rsidRDefault="00302E4A" w:rsidP="00415608">
      <w:pPr>
        <w:pStyle w:val="ListParagraph"/>
        <w:numPr>
          <w:ilvl w:val="0"/>
          <w:numId w:val="39"/>
        </w:numPr>
        <w:spacing w:after="0" w:line="240" w:lineRule="auto"/>
        <w:contextualSpacing w:val="0"/>
        <w:rPr>
          <w:rFonts w:eastAsia="Times New Roman"/>
          <w:sz w:val="24"/>
          <w:szCs w:val="24"/>
        </w:rPr>
      </w:pPr>
      <w:r w:rsidRPr="004F1107">
        <w:rPr>
          <w:rFonts w:eastAsia="Times New Roman"/>
          <w:sz w:val="24"/>
          <w:szCs w:val="24"/>
        </w:rPr>
        <w:t xml:space="preserve">Minimal association of mortality at the present time with the infection </w:t>
      </w:r>
    </w:p>
    <w:p w14:paraId="495D5675" w14:textId="77777777" w:rsidR="00415608" w:rsidRDefault="00415608" w:rsidP="00393409">
      <w:pPr>
        <w:pStyle w:val="Default"/>
        <w:spacing w:after="120" w:line="276" w:lineRule="auto"/>
        <w:rPr>
          <w:rFonts w:asciiTheme="minorHAnsi" w:hAnsiTheme="minorHAnsi"/>
          <w:b/>
          <w:color w:val="auto"/>
        </w:rPr>
      </w:pPr>
    </w:p>
    <w:p w14:paraId="38E8D8F2" w14:textId="7C3385CA" w:rsidR="00393409" w:rsidRDefault="00D05622" w:rsidP="00393409">
      <w:pPr>
        <w:pStyle w:val="Default"/>
        <w:spacing w:after="120" w:line="276" w:lineRule="auto"/>
        <w:rPr>
          <w:rFonts w:ascii="Calibri" w:hAnsi="Calibri"/>
          <w:b/>
          <w:bCs/>
          <w:color w:val="auto"/>
        </w:rPr>
      </w:pPr>
      <w:r>
        <w:rPr>
          <w:rFonts w:asciiTheme="minorHAnsi" w:hAnsiTheme="minorHAnsi"/>
          <w:b/>
          <w:color w:val="auto"/>
        </w:rPr>
        <w:t>4</w:t>
      </w:r>
      <w:r w:rsidR="005A1B35" w:rsidRPr="000915F3">
        <w:rPr>
          <w:rFonts w:asciiTheme="minorHAnsi" w:hAnsiTheme="minorHAnsi"/>
          <w:b/>
          <w:color w:val="auto"/>
        </w:rPr>
        <w:t>.</w:t>
      </w:r>
      <w:r w:rsidR="005E4B08" w:rsidRPr="000915F3">
        <w:rPr>
          <w:rFonts w:asciiTheme="minorHAnsi" w:hAnsiTheme="minorHAnsi"/>
          <w:b/>
          <w:color w:val="auto"/>
        </w:rPr>
        <w:tab/>
      </w:r>
      <w:bookmarkStart w:id="2" w:name="_Hlk104555045"/>
      <w:r w:rsidR="00393409">
        <w:rPr>
          <w:rFonts w:ascii="Calibri" w:hAnsi="Calibri"/>
          <w:b/>
          <w:bCs/>
          <w:color w:val="auto"/>
        </w:rPr>
        <w:t>Seasonal Flu vaccination programme – updated with figures from 22 March</w:t>
      </w:r>
      <w:r w:rsidR="00BE4FD9">
        <w:rPr>
          <w:rFonts w:ascii="Calibri" w:hAnsi="Calibri"/>
          <w:b/>
          <w:bCs/>
          <w:color w:val="auto"/>
        </w:rPr>
        <w:t xml:space="preserve"> 2022</w:t>
      </w:r>
    </w:p>
    <w:p w14:paraId="57D78904" w14:textId="77777777" w:rsidR="00393409" w:rsidRDefault="00393409" w:rsidP="00393409">
      <w:pPr>
        <w:autoSpaceDE w:val="0"/>
        <w:autoSpaceDN w:val="0"/>
        <w:spacing w:after="120"/>
        <w:ind w:left="720" w:hanging="720"/>
        <w:rPr>
          <w:rFonts w:ascii="Calibri" w:hAnsi="Calibri"/>
          <w:sz w:val="24"/>
          <w:szCs w:val="24"/>
        </w:rPr>
      </w:pPr>
      <w:r>
        <w:rPr>
          <w:sz w:val="24"/>
          <w:szCs w:val="24"/>
        </w:rPr>
        <w:t xml:space="preserve">4.1        LPT is required to deliver an annual seasonal flu campaign, offering all staff the opportunity to have the seasonal flu vaccine. </w:t>
      </w:r>
    </w:p>
    <w:p w14:paraId="02B034C6" w14:textId="39E52586" w:rsidR="00393409" w:rsidRDefault="00393409" w:rsidP="00393409">
      <w:pPr>
        <w:spacing w:after="120"/>
        <w:ind w:left="720" w:hanging="720"/>
        <w:rPr>
          <w:sz w:val="24"/>
          <w:szCs w:val="24"/>
        </w:rPr>
      </w:pPr>
      <w:r>
        <w:rPr>
          <w:sz w:val="24"/>
          <w:szCs w:val="24"/>
        </w:rPr>
        <w:t xml:space="preserve">4.2        For context, the flu vaccination programme runs between October and February every year.  This year the flu vaccination </w:t>
      </w:r>
      <w:r w:rsidR="00BD5037">
        <w:rPr>
          <w:sz w:val="24"/>
          <w:szCs w:val="24"/>
        </w:rPr>
        <w:t>programme ran</w:t>
      </w:r>
      <w:r>
        <w:rPr>
          <w:sz w:val="24"/>
          <w:szCs w:val="24"/>
        </w:rPr>
        <w:t xml:space="preserve"> alongside the Covid-19 vaccination and booster programme. </w:t>
      </w:r>
    </w:p>
    <w:p w14:paraId="3CE54CFF" w14:textId="31CFCB88" w:rsidR="00393409" w:rsidRDefault="00393409" w:rsidP="00393409">
      <w:pPr>
        <w:spacing w:after="120"/>
        <w:ind w:left="720" w:hanging="720"/>
        <w:rPr>
          <w:sz w:val="24"/>
          <w:szCs w:val="24"/>
        </w:rPr>
      </w:pPr>
      <w:r>
        <w:rPr>
          <w:sz w:val="24"/>
          <w:szCs w:val="24"/>
        </w:rPr>
        <w:t>4.3        The figures below identify the final position of the Trust for the uptake of the staff flu vaccine Winter 2021 / 2022</w:t>
      </w:r>
    </w:p>
    <w:p w14:paraId="0BBFE02C" w14:textId="77777777" w:rsidR="00B62DE8" w:rsidRDefault="00B62DE8" w:rsidP="00393409">
      <w:pPr>
        <w:spacing w:after="120"/>
        <w:ind w:left="720" w:hanging="720"/>
        <w:rPr>
          <w:sz w:val="24"/>
          <w:szCs w:val="24"/>
        </w:rPr>
      </w:pPr>
    </w:p>
    <w:tbl>
      <w:tblPr>
        <w:tblW w:w="5000" w:type="pct"/>
        <w:tblCellMar>
          <w:left w:w="0" w:type="dxa"/>
          <w:right w:w="0" w:type="dxa"/>
        </w:tblCellMar>
        <w:tblLook w:val="04A0" w:firstRow="1" w:lastRow="0" w:firstColumn="1" w:lastColumn="0" w:noHBand="0" w:noVBand="1"/>
      </w:tblPr>
      <w:tblGrid>
        <w:gridCol w:w="1148"/>
        <w:gridCol w:w="1150"/>
        <w:gridCol w:w="1149"/>
        <w:gridCol w:w="1317"/>
        <w:gridCol w:w="1149"/>
        <w:gridCol w:w="1149"/>
        <w:gridCol w:w="3305"/>
      </w:tblGrid>
      <w:tr w:rsidR="00393409" w14:paraId="4F047F5F" w14:textId="77777777" w:rsidTr="00B61605">
        <w:trPr>
          <w:trHeight w:val="470"/>
        </w:trPr>
        <w:tc>
          <w:tcPr>
            <w:tcW w:w="554" w:type="pct"/>
            <w:shd w:val="clear" w:color="auto" w:fill="ACB9CA"/>
            <w:noWrap/>
            <w:tcMar>
              <w:top w:w="0" w:type="dxa"/>
              <w:left w:w="108" w:type="dxa"/>
              <w:bottom w:w="0" w:type="dxa"/>
              <w:right w:w="108" w:type="dxa"/>
            </w:tcMar>
            <w:vAlign w:val="bottom"/>
            <w:hideMark/>
          </w:tcPr>
          <w:p w14:paraId="43C7ADE7" w14:textId="77777777" w:rsidR="00393409" w:rsidRDefault="00393409">
            <w:pPr>
              <w:rPr>
                <w:b/>
                <w:bCs/>
                <w:sz w:val="28"/>
                <w:szCs w:val="28"/>
                <w:lang w:eastAsia="en-GB"/>
              </w:rPr>
            </w:pPr>
            <w:r>
              <w:rPr>
                <w:b/>
                <w:bCs/>
                <w:color w:val="000000"/>
                <w:sz w:val="28"/>
                <w:szCs w:val="28"/>
                <w:lang w:eastAsia="en-GB"/>
              </w:rPr>
              <w:t> </w:t>
            </w:r>
          </w:p>
        </w:tc>
        <w:tc>
          <w:tcPr>
            <w:tcW w:w="554" w:type="pct"/>
            <w:shd w:val="clear" w:color="auto" w:fill="ACB9CA"/>
            <w:noWrap/>
            <w:tcMar>
              <w:top w:w="0" w:type="dxa"/>
              <w:left w:w="108" w:type="dxa"/>
              <w:bottom w:w="0" w:type="dxa"/>
              <w:right w:w="108" w:type="dxa"/>
            </w:tcMar>
            <w:vAlign w:val="bottom"/>
            <w:hideMark/>
          </w:tcPr>
          <w:p w14:paraId="5E674A89" w14:textId="77777777" w:rsidR="00393409" w:rsidRDefault="00393409">
            <w:pPr>
              <w:rPr>
                <w:b/>
                <w:bCs/>
                <w:sz w:val="28"/>
                <w:szCs w:val="28"/>
                <w:lang w:eastAsia="en-GB"/>
              </w:rPr>
            </w:pPr>
            <w:r>
              <w:rPr>
                <w:b/>
                <w:bCs/>
                <w:color w:val="000000"/>
                <w:sz w:val="28"/>
                <w:szCs w:val="28"/>
                <w:lang w:eastAsia="en-GB"/>
              </w:rPr>
              <w:t> </w:t>
            </w:r>
          </w:p>
        </w:tc>
        <w:tc>
          <w:tcPr>
            <w:tcW w:w="554" w:type="pct"/>
            <w:shd w:val="clear" w:color="auto" w:fill="ACB9CA"/>
            <w:noWrap/>
            <w:tcMar>
              <w:top w:w="0" w:type="dxa"/>
              <w:left w:w="108" w:type="dxa"/>
              <w:bottom w:w="0" w:type="dxa"/>
              <w:right w:w="108" w:type="dxa"/>
            </w:tcMar>
            <w:vAlign w:val="bottom"/>
            <w:hideMark/>
          </w:tcPr>
          <w:p w14:paraId="3BA35EE2" w14:textId="77777777" w:rsidR="00393409" w:rsidRDefault="00393409">
            <w:pPr>
              <w:rPr>
                <w:b/>
                <w:bCs/>
                <w:sz w:val="28"/>
                <w:szCs w:val="28"/>
                <w:lang w:eastAsia="en-GB"/>
              </w:rPr>
            </w:pPr>
            <w:r>
              <w:rPr>
                <w:b/>
                <w:bCs/>
                <w:color w:val="000000"/>
                <w:sz w:val="28"/>
                <w:szCs w:val="28"/>
                <w:lang w:eastAsia="en-GB"/>
              </w:rPr>
              <w:t> </w:t>
            </w:r>
          </w:p>
        </w:tc>
        <w:tc>
          <w:tcPr>
            <w:tcW w:w="635" w:type="pct"/>
            <w:shd w:val="clear" w:color="auto" w:fill="ACB9CA"/>
            <w:noWrap/>
            <w:tcMar>
              <w:top w:w="0" w:type="dxa"/>
              <w:left w:w="108" w:type="dxa"/>
              <w:bottom w:w="0" w:type="dxa"/>
              <w:right w:w="108" w:type="dxa"/>
            </w:tcMar>
            <w:vAlign w:val="bottom"/>
            <w:hideMark/>
          </w:tcPr>
          <w:p w14:paraId="057BDA46" w14:textId="77777777" w:rsidR="00393409" w:rsidRDefault="00393409">
            <w:pPr>
              <w:rPr>
                <w:b/>
                <w:bCs/>
                <w:sz w:val="28"/>
                <w:szCs w:val="28"/>
                <w:lang w:eastAsia="en-GB"/>
              </w:rPr>
            </w:pPr>
            <w:r>
              <w:rPr>
                <w:b/>
                <w:bCs/>
                <w:color w:val="000000"/>
                <w:sz w:val="28"/>
                <w:szCs w:val="28"/>
                <w:lang w:eastAsia="en-GB"/>
              </w:rPr>
              <w:t> </w:t>
            </w:r>
          </w:p>
        </w:tc>
        <w:tc>
          <w:tcPr>
            <w:tcW w:w="554" w:type="pct"/>
            <w:shd w:val="clear" w:color="auto" w:fill="ACB9CA"/>
            <w:noWrap/>
            <w:tcMar>
              <w:top w:w="0" w:type="dxa"/>
              <w:left w:w="108" w:type="dxa"/>
              <w:bottom w:w="0" w:type="dxa"/>
              <w:right w:w="108" w:type="dxa"/>
            </w:tcMar>
            <w:vAlign w:val="bottom"/>
            <w:hideMark/>
          </w:tcPr>
          <w:p w14:paraId="7B715E8E" w14:textId="77777777" w:rsidR="00393409" w:rsidRDefault="00393409">
            <w:pPr>
              <w:rPr>
                <w:b/>
                <w:bCs/>
                <w:sz w:val="28"/>
                <w:szCs w:val="28"/>
                <w:lang w:eastAsia="en-GB"/>
              </w:rPr>
            </w:pPr>
            <w:r>
              <w:rPr>
                <w:b/>
                <w:bCs/>
                <w:color w:val="000000"/>
                <w:sz w:val="28"/>
                <w:szCs w:val="28"/>
                <w:lang w:eastAsia="en-GB"/>
              </w:rPr>
              <w:t> </w:t>
            </w:r>
          </w:p>
        </w:tc>
        <w:tc>
          <w:tcPr>
            <w:tcW w:w="2148" w:type="pct"/>
            <w:gridSpan w:val="2"/>
            <w:shd w:val="clear" w:color="auto" w:fill="ACB9CA"/>
            <w:noWrap/>
            <w:tcMar>
              <w:top w:w="0" w:type="dxa"/>
              <w:left w:w="108" w:type="dxa"/>
              <w:bottom w:w="0" w:type="dxa"/>
              <w:right w:w="108" w:type="dxa"/>
            </w:tcMar>
            <w:vAlign w:val="bottom"/>
            <w:hideMark/>
          </w:tcPr>
          <w:p w14:paraId="47457774" w14:textId="77777777" w:rsidR="00393409" w:rsidRDefault="00393409">
            <w:pPr>
              <w:rPr>
                <w:b/>
                <w:bCs/>
                <w:sz w:val="28"/>
                <w:szCs w:val="28"/>
                <w:lang w:eastAsia="en-GB"/>
              </w:rPr>
            </w:pPr>
            <w:r>
              <w:rPr>
                <w:b/>
                <w:bCs/>
                <w:color w:val="000000"/>
                <w:sz w:val="28"/>
                <w:szCs w:val="28"/>
                <w:lang w:eastAsia="en-GB"/>
              </w:rPr>
              <w:t xml:space="preserve">Accurate to 22 March 2022 </w:t>
            </w:r>
          </w:p>
        </w:tc>
      </w:tr>
      <w:tr w:rsidR="00393409" w14:paraId="0A64C4C6" w14:textId="77777777" w:rsidTr="00B61605">
        <w:trPr>
          <w:trHeight w:val="290"/>
        </w:trPr>
        <w:tc>
          <w:tcPr>
            <w:tcW w:w="554" w:type="pct"/>
            <w:noWrap/>
            <w:tcMar>
              <w:top w:w="0" w:type="dxa"/>
              <w:left w:w="108" w:type="dxa"/>
              <w:bottom w:w="0" w:type="dxa"/>
              <w:right w:w="108" w:type="dxa"/>
            </w:tcMar>
            <w:vAlign w:val="bottom"/>
            <w:hideMark/>
          </w:tcPr>
          <w:p w14:paraId="52F1E6BF" w14:textId="77777777" w:rsidR="00393409" w:rsidRDefault="00393409">
            <w:pPr>
              <w:rPr>
                <w:rFonts w:ascii="Times New Roman" w:eastAsia="Times New Roman" w:hAnsi="Times New Roman" w:cs="Times New Roman"/>
                <w:sz w:val="20"/>
                <w:szCs w:val="20"/>
                <w:lang w:eastAsia="en-GB"/>
              </w:rPr>
            </w:pPr>
          </w:p>
        </w:tc>
        <w:tc>
          <w:tcPr>
            <w:tcW w:w="554" w:type="pct"/>
            <w:noWrap/>
            <w:tcMar>
              <w:top w:w="0" w:type="dxa"/>
              <w:left w:w="108" w:type="dxa"/>
              <w:bottom w:w="0" w:type="dxa"/>
              <w:right w:w="108" w:type="dxa"/>
            </w:tcMar>
            <w:vAlign w:val="bottom"/>
            <w:hideMark/>
          </w:tcPr>
          <w:p w14:paraId="252E04AE" w14:textId="77777777" w:rsidR="00393409" w:rsidRDefault="00393409">
            <w:pPr>
              <w:rPr>
                <w:rFonts w:ascii="Times New Roman" w:eastAsia="Times New Roman" w:hAnsi="Times New Roman" w:cs="Times New Roman"/>
                <w:sz w:val="20"/>
                <w:szCs w:val="20"/>
                <w:lang w:eastAsia="en-GB"/>
              </w:rPr>
            </w:pPr>
          </w:p>
        </w:tc>
        <w:tc>
          <w:tcPr>
            <w:tcW w:w="554" w:type="pct"/>
            <w:noWrap/>
            <w:tcMar>
              <w:top w:w="0" w:type="dxa"/>
              <w:left w:w="108" w:type="dxa"/>
              <w:bottom w:w="0" w:type="dxa"/>
              <w:right w:w="108" w:type="dxa"/>
            </w:tcMar>
            <w:vAlign w:val="bottom"/>
            <w:hideMark/>
          </w:tcPr>
          <w:p w14:paraId="71765223" w14:textId="77777777" w:rsidR="00393409" w:rsidRDefault="00393409">
            <w:pPr>
              <w:rPr>
                <w:rFonts w:ascii="Times New Roman" w:eastAsia="Times New Roman" w:hAnsi="Times New Roman" w:cs="Times New Roman"/>
                <w:sz w:val="20"/>
                <w:szCs w:val="20"/>
                <w:lang w:eastAsia="en-GB"/>
              </w:rPr>
            </w:pPr>
          </w:p>
        </w:tc>
        <w:tc>
          <w:tcPr>
            <w:tcW w:w="635" w:type="pct"/>
            <w:noWrap/>
            <w:tcMar>
              <w:top w:w="0" w:type="dxa"/>
              <w:left w:w="108" w:type="dxa"/>
              <w:bottom w:w="0" w:type="dxa"/>
              <w:right w:w="108" w:type="dxa"/>
            </w:tcMar>
            <w:vAlign w:val="bottom"/>
            <w:hideMark/>
          </w:tcPr>
          <w:p w14:paraId="6339FB21" w14:textId="77777777" w:rsidR="00393409" w:rsidRDefault="00393409">
            <w:pPr>
              <w:rPr>
                <w:rFonts w:ascii="Times New Roman" w:eastAsia="Times New Roman" w:hAnsi="Times New Roman" w:cs="Times New Roman"/>
                <w:sz w:val="20"/>
                <w:szCs w:val="20"/>
                <w:lang w:eastAsia="en-GB"/>
              </w:rPr>
            </w:pPr>
          </w:p>
        </w:tc>
        <w:tc>
          <w:tcPr>
            <w:tcW w:w="554" w:type="pct"/>
            <w:noWrap/>
            <w:tcMar>
              <w:top w:w="0" w:type="dxa"/>
              <w:left w:w="108" w:type="dxa"/>
              <w:bottom w:w="0" w:type="dxa"/>
              <w:right w:w="108" w:type="dxa"/>
            </w:tcMar>
            <w:vAlign w:val="bottom"/>
            <w:hideMark/>
          </w:tcPr>
          <w:p w14:paraId="426408EA" w14:textId="77777777" w:rsidR="00393409" w:rsidRDefault="00393409">
            <w:pPr>
              <w:rPr>
                <w:rFonts w:ascii="Times New Roman" w:eastAsia="Times New Roman" w:hAnsi="Times New Roman" w:cs="Times New Roman"/>
                <w:sz w:val="20"/>
                <w:szCs w:val="20"/>
                <w:lang w:eastAsia="en-GB"/>
              </w:rPr>
            </w:pPr>
          </w:p>
        </w:tc>
        <w:tc>
          <w:tcPr>
            <w:tcW w:w="2148" w:type="pct"/>
            <w:gridSpan w:val="2"/>
            <w:tcBorders>
              <w:top w:val="single" w:sz="8" w:space="0" w:color="808080"/>
              <w:left w:val="nil"/>
              <w:bottom w:val="single" w:sz="8" w:space="0" w:color="808080"/>
              <w:right w:val="single" w:sz="8" w:space="0" w:color="808080"/>
            </w:tcBorders>
            <w:shd w:val="clear" w:color="auto" w:fill="ACB9CA"/>
            <w:noWrap/>
            <w:tcMar>
              <w:top w:w="0" w:type="dxa"/>
              <w:left w:w="108" w:type="dxa"/>
              <w:bottom w:w="0" w:type="dxa"/>
              <w:right w:w="108" w:type="dxa"/>
            </w:tcMar>
            <w:vAlign w:val="bottom"/>
            <w:hideMark/>
          </w:tcPr>
          <w:p w14:paraId="12B6D061" w14:textId="77777777" w:rsidR="00393409" w:rsidRDefault="00393409">
            <w:pPr>
              <w:jc w:val="center"/>
              <w:rPr>
                <w:rFonts w:ascii="Calibri" w:hAnsi="Calibri" w:cs="Calibri"/>
                <w:b/>
                <w:bCs/>
                <w:sz w:val="18"/>
                <w:szCs w:val="18"/>
                <w:lang w:eastAsia="en-GB"/>
              </w:rPr>
            </w:pPr>
            <w:r>
              <w:rPr>
                <w:b/>
                <w:bCs/>
                <w:color w:val="000000"/>
                <w:sz w:val="18"/>
                <w:szCs w:val="18"/>
                <w:lang w:eastAsia="en-GB"/>
              </w:rPr>
              <w:t>Influenza</w:t>
            </w:r>
          </w:p>
        </w:tc>
      </w:tr>
      <w:tr w:rsidR="00393409" w14:paraId="4251C4F2" w14:textId="77777777" w:rsidTr="00B61605">
        <w:trPr>
          <w:trHeight w:val="733"/>
        </w:trPr>
        <w:tc>
          <w:tcPr>
            <w:tcW w:w="554" w:type="pct"/>
            <w:tcBorders>
              <w:top w:val="single" w:sz="8" w:space="0" w:color="808080"/>
              <w:left w:val="single" w:sz="8" w:space="0" w:color="808080"/>
              <w:bottom w:val="single" w:sz="8" w:space="0" w:color="808080"/>
              <w:right w:val="nil"/>
            </w:tcBorders>
            <w:shd w:val="clear" w:color="auto" w:fill="ACB9CA"/>
            <w:tcMar>
              <w:top w:w="0" w:type="dxa"/>
              <w:left w:w="108" w:type="dxa"/>
              <w:bottom w:w="0" w:type="dxa"/>
              <w:right w:w="108" w:type="dxa"/>
            </w:tcMar>
            <w:vAlign w:val="center"/>
            <w:hideMark/>
          </w:tcPr>
          <w:p w14:paraId="56DDA7DC" w14:textId="77777777" w:rsidR="00393409" w:rsidRDefault="00393409">
            <w:pPr>
              <w:rPr>
                <w:b/>
                <w:bCs/>
                <w:color w:val="000000"/>
                <w:sz w:val="18"/>
                <w:szCs w:val="18"/>
                <w:lang w:eastAsia="en-GB"/>
              </w:rPr>
            </w:pPr>
            <w:r>
              <w:rPr>
                <w:b/>
                <w:bCs/>
                <w:color w:val="000000"/>
                <w:sz w:val="18"/>
                <w:szCs w:val="18"/>
                <w:lang w:eastAsia="en-GB"/>
              </w:rPr>
              <w:t>All staff</w:t>
            </w:r>
          </w:p>
        </w:tc>
        <w:tc>
          <w:tcPr>
            <w:tcW w:w="554" w:type="pct"/>
            <w:tcBorders>
              <w:top w:val="single" w:sz="8" w:space="0" w:color="808080"/>
              <w:left w:val="nil"/>
              <w:bottom w:val="single" w:sz="8" w:space="0" w:color="808080"/>
              <w:right w:val="nil"/>
            </w:tcBorders>
            <w:shd w:val="clear" w:color="auto" w:fill="ACB9CA"/>
            <w:tcMar>
              <w:top w:w="0" w:type="dxa"/>
              <w:left w:w="108" w:type="dxa"/>
              <w:bottom w:w="0" w:type="dxa"/>
              <w:right w:w="108" w:type="dxa"/>
            </w:tcMar>
            <w:vAlign w:val="center"/>
            <w:hideMark/>
          </w:tcPr>
          <w:p w14:paraId="107D8B26" w14:textId="77777777" w:rsidR="00393409" w:rsidRDefault="00393409">
            <w:pPr>
              <w:rPr>
                <w:b/>
                <w:bCs/>
                <w:color w:val="000000"/>
                <w:sz w:val="18"/>
                <w:szCs w:val="18"/>
                <w:lang w:eastAsia="en-GB"/>
              </w:rPr>
            </w:pPr>
            <w:r>
              <w:rPr>
                <w:b/>
                <w:bCs/>
                <w:color w:val="000000"/>
                <w:sz w:val="18"/>
                <w:szCs w:val="18"/>
                <w:lang w:eastAsia="en-GB"/>
              </w:rPr>
              <w:t> </w:t>
            </w:r>
          </w:p>
        </w:tc>
        <w:tc>
          <w:tcPr>
            <w:tcW w:w="554" w:type="pct"/>
            <w:tcBorders>
              <w:top w:val="single" w:sz="8" w:space="0" w:color="808080"/>
              <w:left w:val="nil"/>
              <w:bottom w:val="single" w:sz="8" w:space="0" w:color="808080"/>
              <w:right w:val="nil"/>
            </w:tcBorders>
            <w:shd w:val="clear" w:color="auto" w:fill="ACB9CA"/>
            <w:tcMar>
              <w:top w:w="0" w:type="dxa"/>
              <w:left w:w="108" w:type="dxa"/>
              <w:bottom w:w="0" w:type="dxa"/>
              <w:right w:w="108" w:type="dxa"/>
            </w:tcMar>
            <w:vAlign w:val="center"/>
            <w:hideMark/>
          </w:tcPr>
          <w:p w14:paraId="3B4FFDAF" w14:textId="77777777" w:rsidR="00393409" w:rsidRDefault="00393409">
            <w:pPr>
              <w:rPr>
                <w:b/>
                <w:bCs/>
                <w:color w:val="000000"/>
                <w:sz w:val="18"/>
                <w:szCs w:val="18"/>
                <w:lang w:eastAsia="en-GB"/>
              </w:rPr>
            </w:pPr>
            <w:r>
              <w:rPr>
                <w:b/>
                <w:bCs/>
                <w:color w:val="000000"/>
                <w:sz w:val="18"/>
                <w:szCs w:val="18"/>
                <w:lang w:eastAsia="en-GB"/>
              </w:rPr>
              <w:t> </w:t>
            </w:r>
          </w:p>
        </w:tc>
        <w:tc>
          <w:tcPr>
            <w:tcW w:w="635" w:type="pct"/>
            <w:tcBorders>
              <w:top w:val="single" w:sz="8" w:space="0" w:color="808080"/>
              <w:left w:val="nil"/>
              <w:bottom w:val="single" w:sz="8" w:space="0" w:color="808080"/>
              <w:right w:val="nil"/>
            </w:tcBorders>
            <w:shd w:val="clear" w:color="auto" w:fill="ACB9CA"/>
            <w:tcMar>
              <w:top w:w="0" w:type="dxa"/>
              <w:left w:w="108" w:type="dxa"/>
              <w:bottom w:w="0" w:type="dxa"/>
              <w:right w:w="108" w:type="dxa"/>
            </w:tcMar>
            <w:vAlign w:val="center"/>
            <w:hideMark/>
          </w:tcPr>
          <w:p w14:paraId="06C3E3FE" w14:textId="77777777" w:rsidR="00393409" w:rsidRDefault="00393409">
            <w:pPr>
              <w:rPr>
                <w:b/>
                <w:bCs/>
                <w:color w:val="000000"/>
                <w:sz w:val="18"/>
                <w:szCs w:val="18"/>
                <w:lang w:eastAsia="en-GB"/>
              </w:rPr>
            </w:pPr>
            <w:r>
              <w:rPr>
                <w:b/>
                <w:bCs/>
                <w:color w:val="000000"/>
                <w:sz w:val="18"/>
                <w:szCs w:val="18"/>
                <w:lang w:eastAsia="en-GB"/>
              </w:rPr>
              <w:t> </w:t>
            </w:r>
          </w:p>
        </w:tc>
        <w:tc>
          <w:tcPr>
            <w:tcW w:w="554" w:type="pct"/>
            <w:tcBorders>
              <w:top w:val="single" w:sz="8" w:space="0" w:color="808080"/>
              <w:left w:val="single" w:sz="8" w:space="0" w:color="808080"/>
              <w:bottom w:val="single" w:sz="8" w:space="0" w:color="808080"/>
              <w:right w:val="single" w:sz="8" w:space="0" w:color="808080"/>
            </w:tcBorders>
            <w:shd w:val="clear" w:color="auto" w:fill="ACB9CA"/>
            <w:tcMar>
              <w:top w:w="0" w:type="dxa"/>
              <w:left w:w="108" w:type="dxa"/>
              <w:bottom w:w="0" w:type="dxa"/>
              <w:right w:w="108" w:type="dxa"/>
            </w:tcMar>
            <w:vAlign w:val="center"/>
            <w:hideMark/>
          </w:tcPr>
          <w:p w14:paraId="240E2A58" w14:textId="77777777" w:rsidR="00393409" w:rsidRDefault="00393409">
            <w:pPr>
              <w:jc w:val="center"/>
              <w:rPr>
                <w:b/>
                <w:bCs/>
                <w:color w:val="000000"/>
                <w:sz w:val="18"/>
                <w:szCs w:val="18"/>
                <w:lang w:eastAsia="en-GB"/>
              </w:rPr>
            </w:pPr>
            <w:r>
              <w:rPr>
                <w:b/>
                <w:bCs/>
                <w:color w:val="000000"/>
                <w:sz w:val="18"/>
                <w:szCs w:val="18"/>
                <w:lang w:eastAsia="en-GB"/>
              </w:rPr>
              <w:t>No. staff</w:t>
            </w:r>
          </w:p>
        </w:tc>
        <w:tc>
          <w:tcPr>
            <w:tcW w:w="554" w:type="pct"/>
            <w:tcBorders>
              <w:top w:val="nil"/>
              <w:left w:val="nil"/>
              <w:bottom w:val="single" w:sz="8" w:space="0" w:color="808080"/>
              <w:right w:val="single" w:sz="8" w:space="0" w:color="808080"/>
            </w:tcBorders>
            <w:shd w:val="clear" w:color="auto" w:fill="ACB9CA"/>
            <w:tcMar>
              <w:top w:w="0" w:type="dxa"/>
              <w:left w:w="108" w:type="dxa"/>
              <w:bottom w:w="0" w:type="dxa"/>
              <w:right w:w="108" w:type="dxa"/>
            </w:tcMar>
            <w:vAlign w:val="center"/>
            <w:hideMark/>
          </w:tcPr>
          <w:p w14:paraId="4E7B25BE" w14:textId="77777777" w:rsidR="00393409" w:rsidRDefault="00393409">
            <w:pPr>
              <w:jc w:val="center"/>
              <w:rPr>
                <w:b/>
                <w:bCs/>
                <w:sz w:val="18"/>
                <w:szCs w:val="18"/>
                <w:lang w:eastAsia="en-GB"/>
              </w:rPr>
            </w:pPr>
            <w:r>
              <w:rPr>
                <w:b/>
                <w:bCs/>
                <w:color w:val="000000"/>
                <w:sz w:val="18"/>
                <w:szCs w:val="18"/>
                <w:lang w:eastAsia="en-GB"/>
              </w:rPr>
              <w:t>1 dose</w:t>
            </w:r>
          </w:p>
        </w:tc>
        <w:tc>
          <w:tcPr>
            <w:tcW w:w="1594" w:type="pct"/>
            <w:tcBorders>
              <w:top w:val="nil"/>
              <w:left w:val="nil"/>
              <w:bottom w:val="single" w:sz="8" w:space="0" w:color="808080"/>
              <w:right w:val="single" w:sz="8" w:space="0" w:color="808080"/>
            </w:tcBorders>
            <w:shd w:val="clear" w:color="auto" w:fill="ACB9CA"/>
            <w:tcMar>
              <w:top w:w="0" w:type="dxa"/>
              <w:left w:w="108" w:type="dxa"/>
              <w:bottom w:w="0" w:type="dxa"/>
              <w:right w:w="108" w:type="dxa"/>
            </w:tcMar>
            <w:vAlign w:val="center"/>
            <w:hideMark/>
          </w:tcPr>
          <w:p w14:paraId="6563D791" w14:textId="77777777" w:rsidR="00393409" w:rsidRDefault="00393409">
            <w:pPr>
              <w:jc w:val="center"/>
              <w:rPr>
                <w:b/>
                <w:bCs/>
                <w:sz w:val="18"/>
                <w:szCs w:val="18"/>
                <w:lang w:eastAsia="en-GB"/>
              </w:rPr>
            </w:pPr>
            <w:r>
              <w:rPr>
                <w:b/>
                <w:bCs/>
                <w:color w:val="000000"/>
                <w:sz w:val="18"/>
                <w:szCs w:val="18"/>
                <w:lang w:eastAsia="en-GB"/>
              </w:rPr>
              <w:t>Vaccine Uptake (%)</w:t>
            </w:r>
          </w:p>
        </w:tc>
      </w:tr>
      <w:tr w:rsidR="00393409" w14:paraId="58C1FF4D" w14:textId="77777777" w:rsidTr="00B61605">
        <w:trPr>
          <w:trHeight w:val="370"/>
        </w:trPr>
        <w:tc>
          <w:tcPr>
            <w:tcW w:w="554" w:type="pct"/>
            <w:tcBorders>
              <w:top w:val="nil"/>
              <w:left w:val="single" w:sz="8" w:space="0" w:color="808080"/>
              <w:bottom w:val="single" w:sz="8" w:space="0" w:color="808080"/>
              <w:right w:val="nil"/>
            </w:tcBorders>
            <w:shd w:val="clear" w:color="auto" w:fill="FFFFFF"/>
            <w:noWrap/>
            <w:tcMar>
              <w:top w:w="0" w:type="dxa"/>
              <w:left w:w="108" w:type="dxa"/>
              <w:bottom w:w="0" w:type="dxa"/>
              <w:right w:w="108" w:type="dxa"/>
            </w:tcMar>
            <w:vAlign w:val="center"/>
            <w:hideMark/>
          </w:tcPr>
          <w:p w14:paraId="55FD47A3" w14:textId="77777777" w:rsidR="00393409" w:rsidRDefault="00393409">
            <w:pPr>
              <w:rPr>
                <w:b/>
                <w:bCs/>
                <w:color w:val="000000"/>
                <w:sz w:val="28"/>
                <w:szCs w:val="28"/>
                <w:lang w:eastAsia="en-GB"/>
              </w:rPr>
            </w:pPr>
            <w:r>
              <w:rPr>
                <w:b/>
                <w:bCs/>
                <w:color w:val="000000"/>
                <w:sz w:val="28"/>
                <w:szCs w:val="28"/>
                <w:lang w:eastAsia="en-GB"/>
              </w:rPr>
              <w:t>Total</w:t>
            </w:r>
          </w:p>
        </w:tc>
        <w:tc>
          <w:tcPr>
            <w:tcW w:w="554" w:type="pct"/>
            <w:tcBorders>
              <w:top w:val="nil"/>
              <w:left w:val="nil"/>
              <w:bottom w:val="single" w:sz="8" w:space="0" w:color="808080"/>
              <w:right w:val="nil"/>
            </w:tcBorders>
            <w:shd w:val="clear" w:color="auto" w:fill="FFFFFF"/>
            <w:noWrap/>
            <w:tcMar>
              <w:top w:w="0" w:type="dxa"/>
              <w:left w:w="108" w:type="dxa"/>
              <w:bottom w:w="0" w:type="dxa"/>
              <w:right w:w="108" w:type="dxa"/>
            </w:tcMar>
            <w:vAlign w:val="center"/>
            <w:hideMark/>
          </w:tcPr>
          <w:p w14:paraId="70B21C3E" w14:textId="77777777" w:rsidR="00393409" w:rsidRDefault="00393409">
            <w:pPr>
              <w:rPr>
                <w:b/>
                <w:bCs/>
                <w:color w:val="000000"/>
                <w:sz w:val="28"/>
                <w:szCs w:val="28"/>
                <w:lang w:eastAsia="en-GB"/>
              </w:rPr>
            </w:pPr>
            <w:r>
              <w:rPr>
                <w:b/>
                <w:bCs/>
                <w:color w:val="000000"/>
                <w:sz w:val="28"/>
                <w:szCs w:val="28"/>
                <w:lang w:eastAsia="en-GB"/>
              </w:rPr>
              <w:t> </w:t>
            </w:r>
          </w:p>
        </w:tc>
        <w:tc>
          <w:tcPr>
            <w:tcW w:w="554" w:type="pct"/>
            <w:tcBorders>
              <w:top w:val="nil"/>
              <w:left w:val="nil"/>
              <w:bottom w:val="single" w:sz="8" w:space="0" w:color="808080"/>
              <w:right w:val="nil"/>
            </w:tcBorders>
            <w:shd w:val="clear" w:color="auto" w:fill="FFFFFF"/>
            <w:noWrap/>
            <w:tcMar>
              <w:top w:w="0" w:type="dxa"/>
              <w:left w:w="108" w:type="dxa"/>
              <w:bottom w:w="0" w:type="dxa"/>
              <w:right w:w="108" w:type="dxa"/>
            </w:tcMar>
            <w:vAlign w:val="center"/>
            <w:hideMark/>
          </w:tcPr>
          <w:p w14:paraId="7BF2632B" w14:textId="77777777" w:rsidR="00393409" w:rsidRDefault="00393409">
            <w:pPr>
              <w:rPr>
                <w:b/>
                <w:bCs/>
                <w:color w:val="000000"/>
                <w:sz w:val="28"/>
                <w:szCs w:val="28"/>
                <w:lang w:eastAsia="en-GB"/>
              </w:rPr>
            </w:pPr>
            <w:r>
              <w:rPr>
                <w:b/>
                <w:bCs/>
                <w:color w:val="000000"/>
                <w:sz w:val="28"/>
                <w:szCs w:val="28"/>
                <w:lang w:eastAsia="en-GB"/>
              </w:rPr>
              <w:t> </w:t>
            </w:r>
          </w:p>
        </w:tc>
        <w:tc>
          <w:tcPr>
            <w:tcW w:w="635" w:type="pct"/>
            <w:tcBorders>
              <w:top w:val="nil"/>
              <w:left w:val="nil"/>
              <w:bottom w:val="single" w:sz="8" w:space="0" w:color="808080"/>
              <w:right w:val="nil"/>
            </w:tcBorders>
            <w:shd w:val="clear" w:color="auto" w:fill="FFFFFF"/>
            <w:noWrap/>
            <w:tcMar>
              <w:top w:w="0" w:type="dxa"/>
              <w:left w:w="108" w:type="dxa"/>
              <w:bottom w:w="0" w:type="dxa"/>
              <w:right w:w="108" w:type="dxa"/>
            </w:tcMar>
            <w:vAlign w:val="center"/>
            <w:hideMark/>
          </w:tcPr>
          <w:p w14:paraId="1CD35126" w14:textId="77777777" w:rsidR="00393409" w:rsidRDefault="00393409">
            <w:pPr>
              <w:rPr>
                <w:b/>
                <w:bCs/>
                <w:color w:val="000000"/>
                <w:sz w:val="28"/>
                <w:szCs w:val="28"/>
                <w:lang w:eastAsia="en-GB"/>
              </w:rPr>
            </w:pPr>
            <w:r>
              <w:rPr>
                <w:b/>
                <w:bCs/>
                <w:color w:val="000000"/>
                <w:sz w:val="28"/>
                <w:szCs w:val="28"/>
                <w:lang w:eastAsia="en-GB"/>
              </w:rPr>
              <w:t> </w:t>
            </w:r>
          </w:p>
        </w:tc>
        <w:tc>
          <w:tcPr>
            <w:tcW w:w="554"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center"/>
            <w:hideMark/>
          </w:tcPr>
          <w:p w14:paraId="71DCE143" w14:textId="77777777" w:rsidR="00393409" w:rsidRDefault="00393409">
            <w:pPr>
              <w:jc w:val="center"/>
              <w:rPr>
                <w:color w:val="000000"/>
                <w:sz w:val="28"/>
                <w:szCs w:val="28"/>
                <w:lang w:eastAsia="en-GB"/>
              </w:rPr>
            </w:pPr>
            <w:r>
              <w:rPr>
                <w:color w:val="000000"/>
                <w:sz w:val="28"/>
                <w:szCs w:val="28"/>
                <w:lang w:eastAsia="en-GB"/>
              </w:rPr>
              <w:t>73</w:t>
            </w:r>
            <w:r>
              <w:rPr>
                <w:sz w:val="28"/>
                <w:szCs w:val="28"/>
                <w:lang w:eastAsia="en-GB"/>
              </w:rPr>
              <w:t>93</w:t>
            </w:r>
          </w:p>
        </w:tc>
        <w:tc>
          <w:tcPr>
            <w:tcW w:w="55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41BACBF7" w14:textId="77777777" w:rsidR="00393409" w:rsidRDefault="00393409">
            <w:pPr>
              <w:jc w:val="center"/>
              <w:rPr>
                <w:color w:val="000000"/>
                <w:sz w:val="28"/>
                <w:szCs w:val="28"/>
                <w:lang w:eastAsia="en-GB"/>
              </w:rPr>
            </w:pPr>
            <w:r>
              <w:rPr>
                <w:sz w:val="28"/>
                <w:szCs w:val="28"/>
                <w:lang w:eastAsia="en-GB"/>
              </w:rPr>
              <w:t>4421</w:t>
            </w:r>
          </w:p>
        </w:tc>
        <w:tc>
          <w:tcPr>
            <w:tcW w:w="159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362F89B0" w14:textId="77777777" w:rsidR="00393409" w:rsidRDefault="00393409">
            <w:pPr>
              <w:jc w:val="center"/>
              <w:rPr>
                <w:b/>
                <w:bCs/>
                <w:color w:val="000000"/>
                <w:sz w:val="28"/>
                <w:szCs w:val="28"/>
                <w:lang w:eastAsia="en-GB"/>
              </w:rPr>
            </w:pPr>
            <w:r>
              <w:rPr>
                <w:b/>
                <w:bCs/>
                <w:sz w:val="28"/>
                <w:szCs w:val="28"/>
                <w:lang w:eastAsia="en-GB"/>
              </w:rPr>
              <w:t>59.8</w:t>
            </w:r>
            <w:r>
              <w:rPr>
                <w:b/>
                <w:bCs/>
                <w:color w:val="000000"/>
                <w:sz w:val="28"/>
                <w:szCs w:val="28"/>
                <w:lang w:eastAsia="en-GB"/>
              </w:rPr>
              <w:t>%</w:t>
            </w:r>
          </w:p>
        </w:tc>
      </w:tr>
      <w:tr w:rsidR="00393409" w14:paraId="4F673731" w14:textId="77777777" w:rsidTr="00B61605">
        <w:trPr>
          <w:trHeight w:val="290"/>
        </w:trPr>
        <w:tc>
          <w:tcPr>
            <w:tcW w:w="1109" w:type="pct"/>
            <w:gridSpan w:val="2"/>
            <w:tcBorders>
              <w:top w:val="nil"/>
              <w:left w:val="single" w:sz="8" w:space="0" w:color="808080"/>
              <w:bottom w:val="single" w:sz="8" w:space="0" w:color="808080"/>
              <w:right w:val="nil"/>
            </w:tcBorders>
            <w:noWrap/>
            <w:tcMar>
              <w:top w:w="0" w:type="dxa"/>
              <w:left w:w="108" w:type="dxa"/>
              <w:bottom w:w="0" w:type="dxa"/>
              <w:right w:w="108" w:type="dxa"/>
            </w:tcMar>
            <w:vAlign w:val="center"/>
            <w:hideMark/>
          </w:tcPr>
          <w:p w14:paraId="256C0910" w14:textId="77777777" w:rsidR="00393409" w:rsidRDefault="00393409">
            <w:pPr>
              <w:ind w:firstLine="180"/>
              <w:rPr>
                <w:i/>
                <w:iCs/>
                <w:color w:val="000000"/>
                <w:sz w:val="18"/>
                <w:szCs w:val="18"/>
                <w:lang w:eastAsia="en-GB"/>
              </w:rPr>
            </w:pPr>
            <w:r>
              <w:rPr>
                <w:i/>
                <w:iCs/>
                <w:color w:val="000000"/>
                <w:sz w:val="18"/>
                <w:szCs w:val="18"/>
                <w:lang w:eastAsia="en-GB"/>
              </w:rPr>
              <w:lastRenderedPageBreak/>
              <w:t>Of which LPT staff</w:t>
            </w:r>
          </w:p>
        </w:tc>
        <w:tc>
          <w:tcPr>
            <w:tcW w:w="554" w:type="pct"/>
            <w:tcBorders>
              <w:top w:val="nil"/>
              <w:left w:val="nil"/>
              <w:bottom w:val="single" w:sz="8" w:space="0" w:color="808080"/>
              <w:right w:val="nil"/>
            </w:tcBorders>
            <w:noWrap/>
            <w:tcMar>
              <w:top w:w="0" w:type="dxa"/>
              <w:left w:w="108" w:type="dxa"/>
              <w:bottom w:w="0" w:type="dxa"/>
              <w:right w:w="108" w:type="dxa"/>
            </w:tcMar>
            <w:vAlign w:val="center"/>
            <w:hideMark/>
          </w:tcPr>
          <w:p w14:paraId="3CA4675B" w14:textId="77777777" w:rsidR="00393409" w:rsidRDefault="00393409">
            <w:pPr>
              <w:rPr>
                <w:color w:val="000000"/>
                <w:sz w:val="18"/>
                <w:szCs w:val="18"/>
                <w:lang w:eastAsia="en-GB"/>
              </w:rPr>
            </w:pPr>
            <w:r>
              <w:rPr>
                <w:color w:val="000000"/>
                <w:sz w:val="18"/>
                <w:szCs w:val="18"/>
                <w:lang w:eastAsia="en-GB"/>
              </w:rPr>
              <w:t> </w:t>
            </w:r>
          </w:p>
        </w:tc>
        <w:tc>
          <w:tcPr>
            <w:tcW w:w="635" w:type="pct"/>
            <w:tcBorders>
              <w:top w:val="nil"/>
              <w:left w:val="nil"/>
              <w:bottom w:val="single" w:sz="8" w:space="0" w:color="808080"/>
              <w:right w:val="nil"/>
            </w:tcBorders>
            <w:noWrap/>
            <w:tcMar>
              <w:top w:w="0" w:type="dxa"/>
              <w:left w:w="108" w:type="dxa"/>
              <w:bottom w:w="0" w:type="dxa"/>
              <w:right w:w="108" w:type="dxa"/>
            </w:tcMar>
            <w:vAlign w:val="center"/>
            <w:hideMark/>
          </w:tcPr>
          <w:p w14:paraId="0A1DDEE9" w14:textId="77777777" w:rsidR="00393409" w:rsidRDefault="00393409">
            <w:pPr>
              <w:rPr>
                <w:color w:val="000000"/>
                <w:sz w:val="18"/>
                <w:szCs w:val="18"/>
                <w:lang w:eastAsia="en-GB"/>
              </w:rPr>
            </w:pPr>
            <w:r>
              <w:rPr>
                <w:color w:val="000000"/>
                <w:sz w:val="18"/>
                <w:szCs w:val="18"/>
                <w:lang w:eastAsia="en-GB"/>
              </w:rPr>
              <w:t> </w:t>
            </w:r>
          </w:p>
        </w:tc>
        <w:tc>
          <w:tcPr>
            <w:tcW w:w="554"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center"/>
            <w:hideMark/>
          </w:tcPr>
          <w:p w14:paraId="36FD43BF" w14:textId="77777777" w:rsidR="00393409" w:rsidRDefault="00393409">
            <w:pPr>
              <w:jc w:val="center"/>
              <w:rPr>
                <w:i/>
                <w:iCs/>
                <w:color w:val="000000"/>
                <w:sz w:val="18"/>
                <w:szCs w:val="18"/>
                <w:lang w:eastAsia="en-GB"/>
              </w:rPr>
            </w:pPr>
            <w:r>
              <w:rPr>
                <w:i/>
                <w:iCs/>
                <w:color w:val="000000"/>
                <w:sz w:val="18"/>
                <w:szCs w:val="18"/>
                <w:lang w:eastAsia="en-GB"/>
              </w:rPr>
              <w:t>67</w:t>
            </w:r>
            <w:r>
              <w:rPr>
                <w:i/>
                <w:iCs/>
                <w:sz w:val="18"/>
                <w:szCs w:val="18"/>
                <w:lang w:eastAsia="en-GB"/>
              </w:rPr>
              <w:t>68</w:t>
            </w:r>
          </w:p>
        </w:tc>
        <w:tc>
          <w:tcPr>
            <w:tcW w:w="55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2D1CCB95" w14:textId="77777777" w:rsidR="00393409" w:rsidRDefault="00393409">
            <w:pPr>
              <w:jc w:val="center"/>
              <w:rPr>
                <w:i/>
                <w:iCs/>
                <w:color w:val="000000"/>
                <w:sz w:val="18"/>
                <w:szCs w:val="18"/>
                <w:lang w:eastAsia="en-GB"/>
              </w:rPr>
            </w:pPr>
            <w:r>
              <w:rPr>
                <w:i/>
                <w:iCs/>
                <w:sz w:val="18"/>
                <w:szCs w:val="18"/>
                <w:lang w:eastAsia="en-GB"/>
              </w:rPr>
              <w:t>4082</w:t>
            </w:r>
          </w:p>
        </w:tc>
        <w:tc>
          <w:tcPr>
            <w:tcW w:w="159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44BADAC3" w14:textId="77777777" w:rsidR="00393409" w:rsidRDefault="00393409">
            <w:pPr>
              <w:jc w:val="center"/>
              <w:rPr>
                <w:i/>
                <w:iCs/>
                <w:color w:val="000000"/>
                <w:sz w:val="18"/>
                <w:szCs w:val="18"/>
                <w:lang w:eastAsia="en-GB"/>
              </w:rPr>
            </w:pPr>
            <w:r>
              <w:rPr>
                <w:i/>
                <w:iCs/>
                <w:sz w:val="18"/>
                <w:szCs w:val="18"/>
                <w:lang w:eastAsia="en-GB"/>
              </w:rPr>
              <w:t>60.3</w:t>
            </w:r>
            <w:r>
              <w:rPr>
                <w:i/>
                <w:iCs/>
                <w:color w:val="000000"/>
                <w:sz w:val="18"/>
                <w:szCs w:val="18"/>
                <w:lang w:eastAsia="en-GB"/>
              </w:rPr>
              <w:t>%</w:t>
            </w:r>
          </w:p>
        </w:tc>
      </w:tr>
      <w:tr w:rsidR="00393409" w14:paraId="20851871" w14:textId="77777777" w:rsidTr="00B61605">
        <w:trPr>
          <w:trHeight w:val="290"/>
        </w:trPr>
        <w:tc>
          <w:tcPr>
            <w:tcW w:w="1663" w:type="pct"/>
            <w:gridSpan w:val="3"/>
            <w:tcBorders>
              <w:top w:val="nil"/>
              <w:left w:val="single" w:sz="8" w:space="0" w:color="808080"/>
              <w:bottom w:val="single" w:sz="8" w:space="0" w:color="808080"/>
              <w:right w:val="nil"/>
            </w:tcBorders>
            <w:shd w:val="clear" w:color="auto" w:fill="FFFFFF"/>
            <w:noWrap/>
            <w:tcMar>
              <w:top w:w="0" w:type="dxa"/>
              <w:left w:w="108" w:type="dxa"/>
              <w:bottom w:w="0" w:type="dxa"/>
              <w:right w:w="108" w:type="dxa"/>
            </w:tcMar>
            <w:vAlign w:val="center"/>
            <w:hideMark/>
          </w:tcPr>
          <w:p w14:paraId="45BD3029" w14:textId="77777777" w:rsidR="00393409" w:rsidRDefault="00393409">
            <w:pPr>
              <w:ind w:firstLine="180"/>
              <w:rPr>
                <w:i/>
                <w:iCs/>
                <w:color w:val="000000"/>
                <w:sz w:val="18"/>
                <w:szCs w:val="18"/>
                <w:lang w:eastAsia="en-GB"/>
              </w:rPr>
            </w:pPr>
            <w:r>
              <w:rPr>
                <w:i/>
                <w:iCs/>
                <w:color w:val="000000"/>
                <w:sz w:val="18"/>
                <w:szCs w:val="18"/>
                <w:lang w:eastAsia="en-GB"/>
              </w:rPr>
              <w:t>Of which Workforce Bureau staff</w:t>
            </w:r>
          </w:p>
        </w:tc>
        <w:tc>
          <w:tcPr>
            <w:tcW w:w="635" w:type="pct"/>
            <w:tcBorders>
              <w:top w:val="nil"/>
              <w:left w:val="nil"/>
              <w:bottom w:val="single" w:sz="8" w:space="0" w:color="808080"/>
              <w:right w:val="nil"/>
            </w:tcBorders>
            <w:shd w:val="clear" w:color="auto" w:fill="FFFFFF"/>
            <w:noWrap/>
            <w:tcMar>
              <w:top w:w="0" w:type="dxa"/>
              <w:left w:w="108" w:type="dxa"/>
              <w:bottom w:w="0" w:type="dxa"/>
              <w:right w:w="108" w:type="dxa"/>
            </w:tcMar>
            <w:vAlign w:val="center"/>
            <w:hideMark/>
          </w:tcPr>
          <w:p w14:paraId="05ED7B2D" w14:textId="77777777" w:rsidR="00393409" w:rsidRDefault="00393409">
            <w:pPr>
              <w:rPr>
                <w:color w:val="000000"/>
                <w:sz w:val="18"/>
                <w:szCs w:val="18"/>
                <w:lang w:eastAsia="en-GB"/>
              </w:rPr>
            </w:pPr>
            <w:r>
              <w:rPr>
                <w:color w:val="000000"/>
                <w:sz w:val="18"/>
                <w:szCs w:val="18"/>
                <w:lang w:eastAsia="en-GB"/>
              </w:rPr>
              <w:t> </w:t>
            </w:r>
          </w:p>
        </w:tc>
        <w:tc>
          <w:tcPr>
            <w:tcW w:w="554"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center"/>
            <w:hideMark/>
          </w:tcPr>
          <w:p w14:paraId="029B1E81" w14:textId="77777777" w:rsidR="00393409" w:rsidRDefault="00393409">
            <w:pPr>
              <w:jc w:val="center"/>
              <w:rPr>
                <w:i/>
                <w:iCs/>
                <w:color w:val="000000"/>
                <w:sz w:val="18"/>
                <w:szCs w:val="18"/>
                <w:lang w:eastAsia="en-GB"/>
              </w:rPr>
            </w:pPr>
            <w:r>
              <w:rPr>
                <w:i/>
                <w:iCs/>
                <w:color w:val="000000"/>
                <w:sz w:val="18"/>
                <w:szCs w:val="18"/>
                <w:lang w:eastAsia="en-GB"/>
              </w:rPr>
              <w:t>6</w:t>
            </w:r>
            <w:r>
              <w:rPr>
                <w:i/>
                <w:iCs/>
                <w:sz w:val="18"/>
                <w:szCs w:val="18"/>
                <w:lang w:eastAsia="en-GB"/>
              </w:rPr>
              <w:t>25</w:t>
            </w:r>
          </w:p>
        </w:tc>
        <w:tc>
          <w:tcPr>
            <w:tcW w:w="55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13EDF456" w14:textId="77777777" w:rsidR="00393409" w:rsidRDefault="00393409">
            <w:pPr>
              <w:jc w:val="center"/>
              <w:rPr>
                <w:i/>
                <w:iCs/>
                <w:color w:val="000000"/>
                <w:sz w:val="18"/>
                <w:szCs w:val="18"/>
                <w:lang w:eastAsia="en-GB"/>
              </w:rPr>
            </w:pPr>
            <w:r>
              <w:rPr>
                <w:i/>
                <w:iCs/>
                <w:sz w:val="18"/>
                <w:szCs w:val="18"/>
                <w:lang w:eastAsia="en-GB"/>
              </w:rPr>
              <w:t>339</w:t>
            </w:r>
          </w:p>
        </w:tc>
        <w:tc>
          <w:tcPr>
            <w:tcW w:w="159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2AC346EF" w14:textId="77777777" w:rsidR="00393409" w:rsidRDefault="00393409">
            <w:pPr>
              <w:jc w:val="center"/>
              <w:rPr>
                <w:i/>
                <w:iCs/>
                <w:color w:val="000000"/>
                <w:sz w:val="18"/>
                <w:szCs w:val="18"/>
                <w:lang w:eastAsia="en-GB"/>
              </w:rPr>
            </w:pPr>
            <w:r>
              <w:rPr>
                <w:i/>
                <w:iCs/>
                <w:sz w:val="18"/>
                <w:szCs w:val="18"/>
                <w:lang w:eastAsia="en-GB"/>
              </w:rPr>
              <w:t>54.2</w:t>
            </w:r>
            <w:r>
              <w:rPr>
                <w:i/>
                <w:iCs/>
                <w:color w:val="000000"/>
                <w:sz w:val="18"/>
                <w:szCs w:val="18"/>
                <w:lang w:eastAsia="en-GB"/>
              </w:rPr>
              <w:t>%</w:t>
            </w:r>
          </w:p>
        </w:tc>
      </w:tr>
      <w:tr w:rsidR="00393409" w14:paraId="4B09D9AB" w14:textId="77777777" w:rsidTr="00B61605">
        <w:trPr>
          <w:trHeight w:val="370"/>
        </w:trPr>
        <w:tc>
          <w:tcPr>
            <w:tcW w:w="2298" w:type="pct"/>
            <w:gridSpan w:val="4"/>
            <w:tcBorders>
              <w:top w:val="nil"/>
              <w:left w:val="single" w:sz="8" w:space="0" w:color="808080"/>
              <w:bottom w:val="single" w:sz="8" w:space="0" w:color="808080"/>
              <w:right w:val="nil"/>
            </w:tcBorders>
            <w:shd w:val="clear" w:color="auto" w:fill="FFFFFF"/>
            <w:noWrap/>
            <w:tcMar>
              <w:top w:w="0" w:type="dxa"/>
              <w:left w:w="108" w:type="dxa"/>
              <w:bottom w:w="0" w:type="dxa"/>
              <w:right w:w="108" w:type="dxa"/>
            </w:tcMar>
            <w:vAlign w:val="center"/>
            <w:hideMark/>
          </w:tcPr>
          <w:p w14:paraId="2D0763D2" w14:textId="77777777" w:rsidR="00393409" w:rsidRDefault="00393409">
            <w:pPr>
              <w:rPr>
                <w:b/>
                <w:bCs/>
                <w:color w:val="000000"/>
                <w:sz w:val="28"/>
                <w:szCs w:val="28"/>
                <w:lang w:eastAsia="en-GB"/>
              </w:rPr>
            </w:pPr>
            <w:r>
              <w:rPr>
                <w:b/>
                <w:bCs/>
                <w:color w:val="000000"/>
                <w:sz w:val="28"/>
                <w:szCs w:val="28"/>
                <w:lang w:eastAsia="en-GB"/>
              </w:rPr>
              <w:t>Staff with direct patient contact</w:t>
            </w:r>
          </w:p>
        </w:tc>
        <w:tc>
          <w:tcPr>
            <w:tcW w:w="554"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center"/>
            <w:hideMark/>
          </w:tcPr>
          <w:p w14:paraId="0F8D2EAF" w14:textId="77777777" w:rsidR="00393409" w:rsidRDefault="00393409">
            <w:pPr>
              <w:jc w:val="center"/>
              <w:rPr>
                <w:color w:val="000000"/>
                <w:sz w:val="28"/>
                <w:szCs w:val="28"/>
                <w:lang w:eastAsia="en-GB"/>
              </w:rPr>
            </w:pPr>
            <w:r>
              <w:rPr>
                <w:color w:val="000000"/>
                <w:sz w:val="28"/>
                <w:szCs w:val="28"/>
                <w:lang w:eastAsia="en-GB"/>
              </w:rPr>
              <w:t>58</w:t>
            </w:r>
            <w:r>
              <w:rPr>
                <w:sz w:val="28"/>
                <w:szCs w:val="28"/>
                <w:lang w:eastAsia="en-GB"/>
              </w:rPr>
              <w:t>39</w:t>
            </w:r>
          </w:p>
        </w:tc>
        <w:tc>
          <w:tcPr>
            <w:tcW w:w="55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36449650" w14:textId="77777777" w:rsidR="00393409" w:rsidRDefault="00393409">
            <w:pPr>
              <w:jc w:val="center"/>
              <w:rPr>
                <w:color w:val="000000"/>
                <w:sz w:val="28"/>
                <w:szCs w:val="28"/>
                <w:lang w:eastAsia="en-GB"/>
              </w:rPr>
            </w:pPr>
            <w:r>
              <w:rPr>
                <w:sz w:val="28"/>
                <w:szCs w:val="28"/>
                <w:lang w:eastAsia="en-GB"/>
              </w:rPr>
              <w:t>3440</w:t>
            </w:r>
          </w:p>
        </w:tc>
        <w:tc>
          <w:tcPr>
            <w:tcW w:w="159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00475162" w14:textId="77777777" w:rsidR="00393409" w:rsidRDefault="00393409">
            <w:pPr>
              <w:jc w:val="center"/>
              <w:rPr>
                <w:b/>
                <w:bCs/>
                <w:color w:val="000000"/>
                <w:sz w:val="28"/>
                <w:szCs w:val="28"/>
                <w:lang w:eastAsia="en-GB"/>
              </w:rPr>
            </w:pPr>
            <w:r>
              <w:rPr>
                <w:b/>
                <w:bCs/>
                <w:sz w:val="28"/>
                <w:szCs w:val="28"/>
                <w:lang w:eastAsia="en-GB"/>
              </w:rPr>
              <w:t>58.9</w:t>
            </w:r>
            <w:r>
              <w:rPr>
                <w:b/>
                <w:bCs/>
                <w:color w:val="000000"/>
                <w:sz w:val="28"/>
                <w:szCs w:val="28"/>
                <w:lang w:eastAsia="en-GB"/>
              </w:rPr>
              <w:t>%</w:t>
            </w:r>
          </w:p>
        </w:tc>
      </w:tr>
      <w:tr w:rsidR="00393409" w14:paraId="1B7D0F3E" w14:textId="77777777" w:rsidTr="00B61605">
        <w:trPr>
          <w:trHeight w:val="290"/>
        </w:trPr>
        <w:tc>
          <w:tcPr>
            <w:tcW w:w="1109" w:type="pct"/>
            <w:gridSpan w:val="2"/>
            <w:tcBorders>
              <w:top w:val="nil"/>
              <w:left w:val="single" w:sz="8" w:space="0" w:color="808080"/>
              <w:bottom w:val="single" w:sz="8" w:space="0" w:color="808080"/>
              <w:right w:val="nil"/>
            </w:tcBorders>
            <w:shd w:val="clear" w:color="auto" w:fill="FFFFFF"/>
            <w:noWrap/>
            <w:tcMar>
              <w:top w:w="0" w:type="dxa"/>
              <w:left w:w="108" w:type="dxa"/>
              <w:bottom w:w="0" w:type="dxa"/>
              <w:right w:w="108" w:type="dxa"/>
            </w:tcMar>
            <w:vAlign w:val="center"/>
            <w:hideMark/>
          </w:tcPr>
          <w:p w14:paraId="53F05062" w14:textId="77777777" w:rsidR="00393409" w:rsidRDefault="00393409">
            <w:pPr>
              <w:ind w:firstLine="180"/>
              <w:rPr>
                <w:i/>
                <w:iCs/>
                <w:color w:val="000000"/>
                <w:sz w:val="18"/>
                <w:szCs w:val="18"/>
                <w:lang w:eastAsia="en-GB"/>
              </w:rPr>
            </w:pPr>
            <w:r>
              <w:rPr>
                <w:i/>
                <w:iCs/>
                <w:color w:val="000000"/>
                <w:sz w:val="18"/>
                <w:szCs w:val="18"/>
                <w:lang w:eastAsia="en-GB"/>
              </w:rPr>
              <w:t>Of which LPT staff</w:t>
            </w:r>
          </w:p>
        </w:tc>
        <w:tc>
          <w:tcPr>
            <w:tcW w:w="554" w:type="pct"/>
            <w:tcBorders>
              <w:top w:val="nil"/>
              <w:left w:val="nil"/>
              <w:bottom w:val="single" w:sz="8" w:space="0" w:color="808080"/>
              <w:right w:val="nil"/>
            </w:tcBorders>
            <w:shd w:val="clear" w:color="auto" w:fill="FFFFFF"/>
            <w:noWrap/>
            <w:tcMar>
              <w:top w:w="0" w:type="dxa"/>
              <w:left w:w="108" w:type="dxa"/>
              <w:bottom w:w="0" w:type="dxa"/>
              <w:right w:w="108" w:type="dxa"/>
            </w:tcMar>
            <w:vAlign w:val="center"/>
            <w:hideMark/>
          </w:tcPr>
          <w:p w14:paraId="4548B0F8" w14:textId="77777777" w:rsidR="00393409" w:rsidRDefault="00393409">
            <w:pPr>
              <w:rPr>
                <w:color w:val="000000"/>
                <w:sz w:val="18"/>
                <w:szCs w:val="18"/>
                <w:lang w:eastAsia="en-GB"/>
              </w:rPr>
            </w:pPr>
            <w:r>
              <w:rPr>
                <w:color w:val="000000"/>
                <w:sz w:val="18"/>
                <w:szCs w:val="18"/>
                <w:lang w:eastAsia="en-GB"/>
              </w:rPr>
              <w:t> </w:t>
            </w:r>
          </w:p>
        </w:tc>
        <w:tc>
          <w:tcPr>
            <w:tcW w:w="635" w:type="pct"/>
            <w:tcBorders>
              <w:top w:val="nil"/>
              <w:left w:val="nil"/>
              <w:bottom w:val="single" w:sz="8" w:space="0" w:color="808080"/>
              <w:right w:val="nil"/>
            </w:tcBorders>
            <w:shd w:val="clear" w:color="auto" w:fill="FFFFFF"/>
            <w:noWrap/>
            <w:tcMar>
              <w:top w:w="0" w:type="dxa"/>
              <w:left w:w="108" w:type="dxa"/>
              <w:bottom w:w="0" w:type="dxa"/>
              <w:right w:w="108" w:type="dxa"/>
            </w:tcMar>
            <w:vAlign w:val="center"/>
            <w:hideMark/>
          </w:tcPr>
          <w:p w14:paraId="10B9ED1E" w14:textId="77777777" w:rsidR="00393409" w:rsidRDefault="00393409">
            <w:pPr>
              <w:rPr>
                <w:color w:val="000000"/>
                <w:sz w:val="18"/>
                <w:szCs w:val="18"/>
                <w:lang w:eastAsia="en-GB"/>
              </w:rPr>
            </w:pPr>
            <w:r>
              <w:rPr>
                <w:color w:val="000000"/>
                <w:sz w:val="18"/>
                <w:szCs w:val="18"/>
                <w:lang w:eastAsia="en-GB"/>
              </w:rPr>
              <w:t> </w:t>
            </w:r>
          </w:p>
        </w:tc>
        <w:tc>
          <w:tcPr>
            <w:tcW w:w="554"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center"/>
            <w:hideMark/>
          </w:tcPr>
          <w:p w14:paraId="47CA5544" w14:textId="77777777" w:rsidR="00393409" w:rsidRDefault="00393409">
            <w:pPr>
              <w:jc w:val="center"/>
              <w:rPr>
                <w:i/>
                <w:iCs/>
                <w:color w:val="000000"/>
                <w:sz w:val="18"/>
                <w:szCs w:val="18"/>
                <w:lang w:eastAsia="en-GB"/>
              </w:rPr>
            </w:pPr>
            <w:r>
              <w:rPr>
                <w:i/>
                <w:iCs/>
                <w:sz w:val="18"/>
                <w:szCs w:val="18"/>
                <w:lang w:eastAsia="en-GB"/>
              </w:rPr>
              <w:t>5229</w:t>
            </w:r>
          </w:p>
        </w:tc>
        <w:tc>
          <w:tcPr>
            <w:tcW w:w="55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3835E27A" w14:textId="77777777" w:rsidR="00393409" w:rsidRDefault="00393409">
            <w:pPr>
              <w:jc w:val="center"/>
              <w:rPr>
                <w:i/>
                <w:iCs/>
                <w:color w:val="000000"/>
                <w:sz w:val="18"/>
                <w:szCs w:val="18"/>
                <w:lang w:eastAsia="en-GB"/>
              </w:rPr>
            </w:pPr>
            <w:r>
              <w:rPr>
                <w:i/>
                <w:iCs/>
                <w:sz w:val="18"/>
                <w:szCs w:val="18"/>
                <w:lang w:eastAsia="en-GB"/>
              </w:rPr>
              <w:t>3101</w:t>
            </w:r>
          </w:p>
        </w:tc>
        <w:tc>
          <w:tcPr>
            <w:tcW w:w="159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063E34D2" w14:textId="77777777" w:rsidR="00393409" w:rsidRDefault="00393409">
            <w:pPr>
              <w:jc w:val="center"/>
              <w:rPr>
                <w:i/>
                <w:iCs/>
                <w:color w:val="000000"/>
                <w:sz w:val="18"/>
                <w:szCs w:val="18"/>
                <w:lang w:eastAsia="en-GB"/>
              </w:rPr>
            </w:pPr>
            <w:r>
              <w:rPr>
                <w:i/>
                <w:iCs/>
                <w:sz w:val="18"/>
                <w:szCs w:val="18"/>
                <w:lang w:eastAsia="en-GB"/>
              </w:rPr>
              <w:t>59.3</w:t>
            </w:r>
            <w:r>
              <w:rPr>
                <w:i/>
                <w:iCs/>
                <w:color w:val="000000"/>
                <w:sz w:val="18"/>
                <w:szCs w:val="18"/>
                <w:lang w:eastAsia="en-GB"/>
              </w:rPr>
              <w:t>%</w:t>
            </w:r>
          </w:p>
        </w:tc>
      </w:tr>
      <w:tr w:rsidR="00393409" w14:paraId="7B1B9160" w14:textId="77777777" w:rsidTr="00B61605">
        <w:trPr>
          <w:trHeight w:val="290"/>
        </w:trPr>
        <w:tc>
          <w:tcPr>
            <w:tcW w:w="1663" w:type="pct"/>
            <w:gridSpan w:val="3"/>
            <w:tcBorders>
              <w:top w:val="nil"/>
              <w:left w:val="single" w:sz="8" w:space="0" w:color="808080"/>
              <w:bottom w:val="single" w:sz="8" w:space="0" w:color="808080"/>
              <w:right w:val="nil"/>
            </w:tcBorders>
            <w:shd w:val="clear" w:color="auto" w:fill="FFFFFF"/>
            <w:noWrap/>
            <w:tcMar>
              <w:top w:w="0" w:type="dxa"/>
              <w:left w:w="108" w:type="dxa"/>
              <w:bottom w:w="0" w:type="dxa"/>
              <w:right w:w="108" w:type="dxa"/>
            </w:tcMar>
            <w:vAlign w:val="center"/>
            <w:hideMark/>
          </w:tcPr>
          <w:p w14:paraId="27BE84C8" w14:textId="77777777" w:rsidR="00393409" w:rsidRDefault="00393409">
            <w:pPr>
              <w:ind w:firstLine="180"/>
              <w:rPr>
                <w:i/>
                <w:iCs/>
                <w:color w:val="000000"/>
                <w:sz w:val="18"/>
                <w:szCs w:val="18"/>
                <w:lang w:eastAsia="en-GB"/>
              </w:rPr>
            </w:pPr>
            <w:r>
              <w:rPr>
                <w:i/>
                <w:iCs/>
                <w:color w:val="000000"/>
                <w:sz w:val="18"/>
                <w:szCs w:val="18"/>
                <w:lang w:eastAsia="en-GB"/>
              </w:rPr>
              <w:t>Of which Workforce Bureau staff</w:t>
            </w:r>
          </w:p>
        </w:tc>
        <w:tc>
          <w:tcPr>
            <w:tcW w:w="635" w:type="pct"/>
            <w:tcBorders>
              <w:top w:val="nil"/>
              <w:left w:val="nil"/>
              <w:bottom w:val="single" w:sz="8" w:space="0" w:color="808080"/>
              <w:right w:val="nil"/>
            </w:tcBorders>
            <w:shd w:val="clear" w:color="auto" w:fill="FFFFFF"/>
            <w:noWrap/>
            <w:tcMar>
              <w:top w:w="0" w:type="dxa"/>
              <w:left w:w="108" w:type="dxa"/>
              <w:bottom w:w="0" w:type="dxa"/>
              <w:right w:w="108" w:type="dxa"/>
            </w:tcMar>
            <w:vAlign w:val="center"/>
            <w:hideMark/>
          </w:tcPr>
          <w:p w14:paraId="52F8BC87" w14:textId="77777777" w:rsidR="00393409" w:rsidRDefault="00393409">
            <w:pPr>
              <w:rPr>
                <w:color w:val="000000"/>
                <w:sz w:val="18"/>
                <w:szCs w:val="18"/>
                <w:lang w:eastAsia="en-GB"/>
              </w:rPr>
            </w:pPr>
            <w:r>
              <w:rPr>
                <w:color w:val="000000"/>
                <w:sz w:val="18"/>
                <w:szCs w:val="18"/>
                <w:lang w:eastAsia="en-GB"/>
              </w:rPr>
              <w:t> </w:t>
            </w:r>
          </w:p>
        </w:tc>
        <w:tc>
          <w:tcPr>
            <w:tcW w:w="554"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center"/>
            <w:hideMark/>
          </w:tcPr>
          <w:p w14:paraId="2B657903" w14:textId="77777777" w:rsidR="00393409" w:rsidRDefault="00393409">
            <w:pPr>
              <w:jc w:val="center"/>
              <w:rPr>
                <w:i/>
                <w:iCs/>
                <w:color w:val="000000"/>
                <w:sz w:val="18"/>
                <w:szCs w:val="18"/>
                <w:lang w:eastAsia="en-GB"/>
              </w:rPr>
            </w:pPr>
            <w:r>
              <w:rPr>
                <w:i/>
                <w:iCs/>
                <w:color w:val="000000"/>
                <w:sz w:val="18"/>
                <w:szCs w:val="18"/>
                <w:lang w:eastAsia="en-GB"/>
              </w:rPr>
              <w:t>6</w:t>
            </w:r>
            <w:r>
              <w:rPr>
                <w:i/>
                <w:iCs/>
                <w:sz w:val="18"/>
                <w:szCs w:val="18"/>
                <w:lang w:eastAsia="en-GB"/>
              </w:rPr>
              <w:t>10</w:t>
            </w:r>
          </w:p>
        </w:tc>
        <w:tc>
          <w:tcPr>
            <w:tcW w:w="55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6EE02621" w14:textId="77777777" w:rsidR="00393409" w:rsidRDefault="00393409">
            <w:pPr>
              <w:jc w:val="center"/>
              <w:rPr>
                <w:i/>
                <w:iCs/>
                <w:color w:val="000000"/>
                <w:sz w:val="18"/>
                <w:szCs w:val="18"/>
                <w:lang w:eastAsia="en-GB"/>
              </w:rPr>
            </w:pPr>
            <w:r>
              <w:rPr>
                <w:i/>
                <w:iCs/>
                <w:sz w:val="18"/>
                <w:szCs w:val="18"/>
                <w:lang w:eastAsia="en-GB"/>
              </w:rPr>
              <w:t>339</w:t>
            </w:r>
          </w:p>
        </w:tc>
        <w:tc>
          <w:tcPr>
            <w:tcW w:w="159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2823A91D" w14:textId="77777777" w:rsidR="00393409" w:rsidRDefault="00393409">
            <w:pPr>
              <w:jc w:val="center"/>
              <w:rPr>
                <w:i/>
                <w:iCs/>
                <w:color w:val="000000"/>
                <w:sz w:val="18"/>
                <w:szCs w:val="18"/>
                <w:lang w:eastAsia="en-GB"/>
              </w:rPr>
            </w:pPr>
            <w:r>
              <w:rPr>
                <w:i/>
                <w:iCs/>
                <w:sz w:val="18"/>
                <w:szCs w:val="18"/>
                <w:lang w:eastAsia="en-GB"/>
              </w:rPr>
              <w:t>55.6</w:t>
            </w:r>
            <w:r>
              <w:rPr>
                <w:i/>
                <w:iCs/>
                <w:color w:val="000000"/>
                <w:sz w:val="18"/>
                <w:szCs w:val="18"/>
                <w:lang w:eastAsia="en-GB"/>
              </w:rPr>
              <w:t>%</w:t>
            </w:r>
          </w:p>
        </w:tc>
      </w:tr>
      <w:tr w:rsidR="00393409" w14:paraId="313BBAA9" w14:textId="77777777" w:rsidTr="00B61605">
        <w:trPr>
          <w:trHeight w:val="370"/>
        </w:trPr>
        <w:tc>
          <w:tcPr>
            <w:tcW w:w="2298" w:type="pct"/>
            <w:gridSpan w:val="4"/>
            <w:tcBorders>
              <w:top w:val="nil"/>
              <w:left w:val="single" w:sz="8" w:space="0" w:color="808080"/>
              <w:bottom w:val="single" w:sz="8" w:space="0" w:color="808080"/>
              <w:right w:val="nil"/>
            </w:tcBorders>
            <w:shd w:val="clear" w:color="auto" w:fill="FFFFFF"/>
            <w:noWrap/>
            <w:tcMar>
              <w:top w:w="0" w:type="dxa"/>
              <w:left w:w="108" w:type="dxa"/>
              <w:bottom w:w="0" w:type="dxa"/>
              <w:right w:w="108" w:type="dxa"/>
            </w:tcMar>
            <w:vAlign w:val="center"/>
            <w:hideMark/>
          </w:tcPr>
          <w:p w14:paraId="6BA519E4" w14:textId="77777777" w:rsidR="00393409" w:rsidRDefault="00393409">
            <w:pPr>
              <w:rPr>
                <w:b/>
                <w:bCs/>
                <w:color w:val="000000"/>
                <w:sz w:val="28"/>
                <w:szCs w:val="28"/>
                <w:lang w:eastAsia="en-GB"/>
              </w:rPr>
            </w:pPr>
            <w:r>
              <w:rPr>
                <w:b/>
                <w:bCs/>
                <w:color w:val="000000"/>
                <w:sz w:val="28"/>
                <w:szCs w:val="28"/>
                <w:lang w:eastAsia="en-GB"/>
              </w:rPr>
              <w:t>Staff without direct patient contact</w:t>
            </w:r>
          </w:p>
        </w:tc>
        <w:tc>
          <w:tcPr>
            <w:tcW w:w="554"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center"/>
            <w:hideMark/>
          </w:tcPr>
          <w:p w14:paraId="37DF3025" w14:textId="77777777" w:rsidR="00393409" w:rsidRDefault="00393409">
            <w:pPr>
              <w:jc w:val="center"/>
              <w:rPr>
                <w:color w:val="000000"/>
                <w:sz w:val="28"/>
                <w:szCs w:val="28"/>
                <w:lang w:eastAsia="en-GB"/>
              </w:rPr>
            </w:pPr>
            <w:r>
              <w:rPr>
                <w:color w:val="000000"/>
                <w:sz w:val="28"/>
                <w:szCs w:val="28"/>
                <w:lang w:eastAsia="en-GB"/>
              </w:rPr>
              <w:t>15</w:t>
            </w:r>
            <w:r>
              <w:rPr>
                <w:sz w:val="28"/>
                <w:szCs w:val="28"/>
                <w:lang w:eastAsia="en-GB"/>
              </w:rPr>
              <w:t>54</w:t>
            </w:r>
          </w:p>
        </w:tc>
        <w:tc>
          <w:tcPr>
            <w:tcW w:w="55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0846E013" w14:textId="77777777" w:rsidR="00393409" w:rsidRDefault="00393409">
            <w:pPr>
              <w:jc w:val="center"/>
              <w:rPr>
                <w:color w:val="000000"/>
                <w:sz w:val="28"/>
                <w:szCs w:val="28"/>
                <w:lang w:eastAsia="en-GB"/>
              </w:rPr>
            </w:pPr>
            <w:r>
              <w:rPr>
                <w:sz w:val="28"/>
                <w:szCs w:val="28"/>
                <w:lang w:eastAsia="en-GB"/>
              </w:rPr>
              <w:t>981</w:t>
            </w:r>
          </w:p>
        </w:tc>
        <w:tc>
          <w:tcPr>
            <w:tcW w:w="159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220EEA35" w14:textId="77777777" w:rsidR="00393409" w:rsidRDefault="00393409">
            <w:pPr>
              <w:jc w:val="center"/>
              <w:rPr>
                <w:b/>
                <w:bCs/>
                <w:color w:val="000000"/>
                <w:sz w:val="28"/>
                <w:szCs w:val="28"/>
                <w:lang w:eastAsia="en-GB"/>
              </w:rPr>
            </w:pPr>
            <w:r>
              <w:rPr>
                <w:b/>
                <w:bCs/>
                <w:sz w:val="28"/>
                <w:szCs w:val="28"/>
                <w:lang w:eastAsia="en-GB"/>
              </w:rPr>
              <w:t>63.1</w:t>
            </w:r>
            <w:r>
              <w:rPr>
                <w:b/>
                <w:bCs/>
                <w:color w:val="000000"/>
                <w:sz w:val="28"/>
                <w:szCs w:val="28"/>
                <w:lang w:eastAsia="en-GB"/>
              </w:rPr>
              <w:t>%</w:t>
            </w:r>
          </w:p>
        </w:tc>
      </w:tr>
      <w:tr w:rsidR="00393409" w14:paraId="1B123D4B" w14:textId="77777777" w:rsidTr="00B61605">
        <w:trPr>
          <w:trHeight w:val="290"/>
        </w:trPr>
        <w:tc>
          <w:tcPr>
            <w:tcW w:w="1109" w:type="pct"/>
            <w:gridSpan w:val="2"/>
            <w:tcBorders>
              <w:top w:val="nil"/>
              <w:left w:val="single" w:sz="8" w:space="0" w:color="808080"/>
              <w:bottom w:val="single" w:sz="8" w:space="0" w:color="808080"/>
              <w:right w:val="nil"/>
            </w:tcBorders>
            <w:shd w:val="clear" w:color="auto" w:fill="FFFFFF"/>
            <w:noWrap/>
            <w:tcMar>
              <w:top w:w="0" w:type="dxa"/>
              <w:left w:w="108" w:type="dxa"/>
              <w:bottom w:w="0" w:type="dxa"/>
              <w:right w:w="108" w:type="dxa"/>
            </w:tcMar>
            <w:vAlign w:val="center"/>
            <w:hideMark/>
          </w:tcPr>
          <w:p w14:paraId="5B74C334" w14:textId="77777777" w:rsidR="00393409" w:rsidRDefault="00393409">
            <w:pPr>
              <w:ind w:firstLine="180"/>
              <w:rPr>
                <w:i/>
                <w:iCs/>
                <w:color w:val="000000"/>
                <w:sz w:val="18"/>
                <w:szCs w:val="18"/>
                <w:lang w:eastAsia="en-GB"/>
              </w:rPr>
            </w:pPr>
            <w:r>
              <w:rPr>
                <w:i/>
                <w:iCs/>
                <w:color w:val="000000"/>
                <w:sz w:val="18"/>
                <w:szCs w:val="18"/>
                <w:lang w:eastAsia="en-GB"/>
              </w:rPr>
              <w:t>Of which LPT staff</w:t>
            </w:r>
          </w:p>
        </w:tc>
        <w:tc>
          <w:tcPr>
            <w:tcW w:w="554" w:type="pct"/>
            <w:tcBorders>
              <w:top w:val="nil"/>
              <w:left w:val="nil"/>
              <w:bottom w:val="single" w:sz="8" w:space="0" w:color="808080"/>
              <w:right w:val="nil"/>
            </w:tcBorders>
            <w:shd w:val="clear" w:color="auto" w:fill="FFFFFF"/>
            <w:noWrap/>
            <w:tcMar>
              <w:top w:w="0" w:type="dxa"/>
              <w:left w:w="108" w:type="dxa"/>
              <w:bottom w:w="0" w:type="dxa"/>
              <w:right w:w="108" w:type="dxa"/>
            </w:tcMar>
            <w:vAlign w:val="center"/>
            <w:hideMark/>
          </w:tcPr>
          <w:p w14:paraId="29718B9E" w14:textId="77777777" w:rsidR="00393409" w:rsidRDefault="00393409">
            <w:pPr>
              <w:rPr>
                <w:color w:val="000000"/>
                <w:sz w:val="18"/>
                <w:szCs w:val="18"/>
                <w:lang w:eastAsia="en-GB"/>
              </w:rPr>
            </w:pPr>
            <w:r>
              <w:rPr>
                <w:color w:val="000000"/>
                <w:sz w:val="18"/>
                <w:szCs w:val="18"/>
                <w:lang w:eastAsia="en-GB"/>
              </w:rPr>
              <w:t> </w:t>
            </w:r>
          </w:p>
        </w:tc>
        <w:tc>
          <w:tcPr>
            <w:tcW w:w="635" w:type="pct"/>
            <w:tcBorders>
              <w:top w:val="nil"/>
              <w:left w:val="nil"/>
              <w:bottom w:val="single" w:sz="8" w:space="0" w:color="808080"/>
              <w:right w:val="nil"/>
            </w:tcBorders>
            <w:shd w:val="clear" w:color="auto" w:fill="FFFFFF"/>
            <w:noWrap/>
            <w:tcMar>
              <w:top w:w="0" w:type="dxa"/>
              <w:left w:w="108" w:type="dxa"/>
              <w:bottom w:w="0" w:type="dxa"/>
              <w:right w:w="108" w:type="dxa"/>
            </w:tcMar>
            <w:vAlign w:val="center"/>
            <w:hideMark/>
          </w:tcPr>
          <w:p w14:paraId="0405EB31" w14:textId="77777777" w:rsidR="00393409" w:rsidRDefault="00393409">
            <w:pPr>
              <w:rPr>
                <w:color w:val="000000"/>
                <w:sz w:val="18"/>
                <w:szCs w:val="18"/>
                <w:lang w:eastAsia="en-GB"/>
              </w:rPr>
            </w:pPr>
            <w:r>
              <w:rPr>
                <w:color w:val="000000"/>
                <w:sz w:val="18"/>
                <w:szCs w:val="18"/>
                <w:lang w:eastAsia="en-GB"/>
              </w:rPr>
              <w:t> </w:t>
            </w:r>
          </w:p>
        </w:tc>
        <w:tc>
          <w:tcPr>
            <w:tcW w:w="554"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center"/>
            <w:hideMark/>
          </w:tcPr>
          <w:p w14:paraId="721C7284" w14:textId="77777777" w:rsidR="00393409" w:rsidRDefault="00393409">
            <w:pPr>
              <w:jc w:val="center"/>
              <w:rPr>
                <w:i/>
                <w:iCs/>
                <w:color w:val="000000"/>
                <w:sz w:val="18"/>
                <w:szCs w:val="18"/>
                <w:lang w:eastAsia="en-GB"/>
              </w:rPr>
            </w:pPr>
            <w:r>
              <w:rPr>
                <w:i/>
                <w:iCs/>
                <w:color w:val="000000"/>
                <w:sz w:val="18"/>
                <w:szCs w:val="18"/>
                <w:lang w:eastAsia="en-GB"/>
              </w:rPr>
              <w:t>15</w:t>
            </w:r>
            <w:r>
              <w:rPr>
                <w:i/>
                <w:iCs/>
                <w:sz w:val="18"/>
                <w:szCs w:val="18"/>
                <w:lang w:eastAsia="en-GB"/>
              </w:rPr>
              <w:t>39</w:t>
            </w:r>
          </w:p>
        </w:tc>
        <w:tc>
          <w:tcPr>
            <w:tcW w:w="55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4862293D" w14:textId="77777777" w:rsidR="00393409" w:rsidRDefault="00393409">
            <w:pPr>
              <w:jc w:val="center"/>
              <w:rPr>
                <w:i/>
                <w:iCs/>
                <w:color w:val="000000"/>
                <w:sz w:val="18"/>
                <w:szCs w:val="18"/>
                <w:lang w:eastAsia="en-GB"/>
              </w:rPr>
            </w:pPr>
            <w:r>
              <w:rPr>
                <w:i/>
                <w:iCs/>
                <w:sz w:val="18"/>
                <w:szCs w:val="18"/>
                <w:lang w:eastAsia="en-GB"/>
              </w:rPr>
              <w:t>975</w:t>
            </w:r>
          </w:p>
        </w:tc>
        <w:tc>
          <w:tcPr>
            <w:tcW w:w="159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78D4E997" w14:textId="77777777" w:rsidR="00393409" w:rsidRDefault="00393409">
            <w:pPr>
              <w:jc w:val="center"/>
              <w:rPr>
                <w:i/>
                <w:iCs/>
                <w:color w:val="000000"/>
                <w:sz w:val="18"/>
                <w:szCs w:val="18"/>
                <w:lang w:eastAsia="en-GB"/>
              </w:rPr>
            </w:pPr>
            <w:r>
              <w:rPr>
                <w:i/>
                <w:iCs/>
                <w:sz w:val="18"/>
                <w:szCs w:val="18"/>
                <w:lang w:eastAsia="en-GB"/>
              </w:rPr>
              <w:t>63.5</w:t>
            </w:r>
            <w:r>
              <w:rPr>
                <w:i/>
                <w:iCs/>
                <w:color w:val="000000"/>
                <w:sz w:val="18"/>
                <w:szCs w:val="18"/>
                <w:lang w:eastAsia="en-GB"/>
              </w:rPr>
              <w:t>%</w:t>
            </w:r>
          </w:p>
        </w:tc>
      </w:tr>
      <w:tr w:rsidR="00393409" w14:paraId="53A3C373" w14:textId="77777777" w:rsidTr="00B61605">
        <w:trPr>
          <w:trHeight w:val="240"/>
        </w:trPr>
        <w:tc>
          <w:tcPr>
            <w:tcW w:w="1663" w:type="pct"/>
            <w:gridSpan w:val="3"/>
            <w:tcBorders>
              <w:top w:val="nil"/>
              <w:left w:val="single" w:sz="8" w:space="0" w:color="808080"/>
              <w:bottom w:val="single" w:sz="8" w:space="0" w:color="808080"/>
              <w:right w:val="nil"/>
            </w:tcBorders>
            <w:shd w:val="clear" w:color="auto" w:fill="FFFFFF"/>
            <w:noWrap/>
            <w:tcMar>
              <w:top w:w="0" w:type="dxa"/>
              <w:left w:w="108" w:type="dxa"/>
              <w:bottom w:w="0" w:type="dxa"/>
              <w:right w:w="108" w:type="dxa"/>
            </w:tcMar>
            <w:vAlign w:val="center"/>
            <w:hideMark/>
          </w:tcPr>
          <w:p w14:paraId="25C62E67" w14:textId="77777777" w:rsidR="00393409" w:rsidRDefault="00393409">
            <w:pPr>
              <w:ind w:firstLine="180"/>
              <w:rPr>
                <w:i/>
                <w:iCs/>
                <w:color w:val="000000"/>
                <w:sz w:val="18"/>
                <w:szCs w:val="18"/>
                <w:lang w:eastAsia="en-GB"/>
              </w:rPr>
            </w:pPr>
            <w:r>
              <w:rPr>
                <w:i/>
                <w:iCs/>
                <w:color w:val="000000"/>
                <w:sz w:val="18"/>
                <w:szCs w:val="18"/>
                <w:lang w:eastAsia="en-GB"/>
              </w:rPr>
              <w:t>Of which Workforce Bureau staff</w:t>
            </w:r>
          </w:p>
        </w:tc>
        <w:tc>
          <w:tcPr>
            <w:tcW w:w="635" w:type="pct"/>
            <w:tcBorders>
              <w:top w:val="nil"/>
              <w:left w:val="nil"/>
              <w:bottom w:val="single" w:sz="8" w:space="0" w:color="808080"/>
              <w:right w:val="nil"/>
            </w:tcBorders>
            <w:shd w:val="clear" w:color="auto" w:fill="FFFFFF"/>
            <w:noWrap/>
            <w:tcMar>
              <w:top w:w="0" w:type="dxa"/>
              <w:left w:w="108" w:type="dxa"/>
              <w:bottom w:w="0" w:type="dxa"/>
              <w:right w:w="108" w:type="dxa"/>
            </w:tcMar>
            <w:vAlign w:val="center"/>
            <w:hideMark/>
          </w:tcPr>
          <w:p w14:paraId="3EEEFC2F" w14:textId="77777777" w:rsidR="00393409" w:rsidRDefault="00393409">
            <w:pPr>
              <w:rPr>
                <w:color w:val="000000"/>
                <w:sz w:val="18"/>
                <w:szCs w:val="18"/>
                <w:lang w:eastAsia="en-GB"/>
              </w:rPr>
            </w:pPr>
            <w:r>
              <w:rPr>
                <w:color w:val="000000"/>
                <w:sz w:val="18"/>
                <w:szCs w:val="18"/>
                <w:lang w:eastAsia="en-GB"/>
              </w:rPr>
              <w:t> </w:t>
            </w:r>
          </w:p>
        </w:tc>
        <w:tc>
          <w:tcPr>
            <w:tcW w:w="554"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center"/>
            <w:hideMark/>
          </w:tcPr>
          <w:p w14:paraId="714D7DF3" w14:textId="77777777" w:rsidR="00393409" w:rsidRDefault="00393409">
            <w:pPr>
              <w:jc w:val="center"/>
              <w:rPr>
                <w:i/>
                <w:iCs/>
                <w:color w:val="000000"/>
                <w:sz w:val="18"/>
                <w:szCs w:val="18"/>
                <w:lang w:eastAsia="en-GB"/>
              </w:rPr>
            </w:pPr>
            <w:r>
              <w:rPr>
                <w:i/>
                <w:iCs/>
                <w:sz w:val="18"/>
                <w:szCs w:val="18"/>
                <w:lang w:eastAsia="en-GB"/>
              </w:rPr>
              <w:t>15</w:t>
            </w:r>
          </w:p>
        </w:tc>
        <w:tc>
          <w:tcPr>
            <w:tcW w:w="55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44E5BC2D" w14:textId="77777777" w:rsidR="00393409" w:rsidRDefault="00393409">
            <w:pPr>
              <w:jc w:val="center"/>
              <w:rPr>
                <w:i/>
                <w:iCs/>
                <w:color w:val="000000"/>
                <w:sz w:val="18"/>
                <w:szCs w:val="18"/>
                <w:lang w:eastAsia="en-GB"/>
              </w:rPr>
            </w:pPr>
            <w:r>
              <w:rPr>
                <w:i/>
                <w:iCs/>
                <w:sz w:val="18"/>
                <w:szCs w:val="18"/>
                <w:lang w:eastAsia="en-GB"/>
              </w:rPr>
              <w:t>6</w:t>
            </w:r>
          </w:p>
        </w:tc>
        <w:tc>
          <w:tcPr>
            <w:tcW w:w="159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3C70EF94" w14:textId="77777777" w:rsidR="00393409" w:rsidRDefault="00393409">
            <w:pPr>
              <w:jc w:val="center"/>
              <w:rPr>
                <w:i/>
                <w:iCs/>
                <w:color w:val="000000"/>
                <w:sz w:val="18"/>
                <w:szCs w:val="18"/>
                <w:lang w:eastAsia="en-GB"/>
              </w:rPr>
            </w:pPr>
            <w:r>
              <w:rPr>
                <w:i/>
                <w:iCs/>
                <w:sz w:val="18"/>
                <w:szCs w:val="18"/>
                <w:lang w:eastAsia="en-GB"/>
              </w:rPr>
              <w:t>40%</w:t>
            </w:r>
          </w:p>
        </w:tc>
      </w:tr>
    </w:tbl>
    <w:p w14:paraId="7F86CF5B" w14:textId="71E3A204" w:rsidR="00393409" w:rsidRDefault="007B4F16" w:rsidP="007B4F16">
      <w:pPr>
        <w:tabs>
          <w:tab w:val="left" w:pos="930"/>
        </w:tabs>
        <w:spacing w:after="0" w:line="240" w:lineRule="auto"/>
        <w:contextualSpacing/>
      </w:pPr>
      <w:r>
        <w:rPr>
          <w:rFonts w:ascii="Calibri" w:hAnsi="Calibri" w:cs="Calibri"/>
        </w:rPr>
        <w:tab/>
      </w:r>
    </w:p>
    <w:p w14:paraId="7ECA2F4B" w14:textId="3E6CF104" w:rsidR="00393409" w:rsidRDefault="00393409" w:rsidP="007B4F16">
      <w:pPr>
        <w:spacing w:after="0" w:line="240" w:lineRule="auto"/>
        <w:contextualSpacing/>
      </w:pPr>
      <w:r>
        <w:t xml:space="preserve">4.4         The figures for the uptake of the vaccine have been broken down into staff groups which supports </w:t>
      </w:r>
      <w:r w:rsidR="00D406B5">
        <w:t xml:space="preserve">further </w:t>
      </w:r>
      <w:r w:rsidR="008E4FD0">
        <w:t>a</w:t>
      </w:r>
      <w:r w:rsidR="00D406B5">
        <w:t>nalysis</w:t>
      </w:r>
      <w:r>
        <w:t xml:space="preserve"> and communication actions.</w:t>
      </w:r>
    </w:p>
    <w:tbl>
      <w:tblPr>
        <w:tblW w:w="5000" w:type="pct"/>
        <w:tblCellMar>
          <w:left w:w="0" w:type="dxa"/>
          <w:right w:w="0" w:type="dxa"/>
        </w:tblCellMar>
        <w:tblLook w:val="04A0" w:firstRow="1" w:lastRow="0" w:firstColumn="1" w:lastColumn="0" w:noHBand="0" w:noVBand="1"/>
      </w:tblPr>
      <w:tblGrid>
        <w:gridCol w:w="1147"/>
        <w:gridCol w:w="1149"/>
        <w:gridCol w:w="1148"/>
        <w:gridCol w:w="1315"/>
        <w:gridCol w:w="1148"/>
        <w:gridCol w:w="1148"/>
        <w:gridCol w:w="3302"/>
      </w:tblGrid>
      <w:tr w:rsidR="00393409" w14:paraId="4132261B" w14:textId="77777777" w:rsidTr="006F1426">
        <w:trPr>
          <w:trHeight w:val="290"/>
        </w:trPr>
        <w:tc>
          <w:tcPr>
            <w:tcW w:w="554" w:type="pct"/>
            <w:noWrap/>
            <w:tcMar>
              <w:top w:w="0" w:type="dxa"/>
              <w:left w:w="108" w:type="dxa"/>
              <w:bottom w:w="0" w:type="dxa"/>
              <w:right w:w="108" w:type="dxa"/>
            </w:tcMar>
            <w:vAlign w:val="bottom"/>
          </w:tcPr>
          <w:p w14:paraId="2D85485C" w14:textId="77777777" w:rsidR="00393409" w:rsidRDefault="00393409">
            <w:pPr>
              <w:rPr>
                <w:rFonts w:ascii="Times New Roman" w:hAnsi="Times New Roman" w:cs="Times New Roman"/>
                <w:sz w:val="20"/>
                <w:szCs w:val="20"/>
                <w:lang w:eastAsia="en-GB"/>
              </w:rPr>
            </w:pPr>
          </w:p>
        </w:tc>
        <w:tc>
          <w:tcPr>
            <w:tcW w:w="554" w:type="pct"/>
            <w:noWrap/>
            <w:tcMar>
              <w:top w:w="0" w:type="dxa"/>
              <w:left w:w="108" w:type="dxa"/>
              <w:bottom w:w="0" w:type="dxa"/>
              <w:right w:w="108" w:type="dxa"/>
            </w:tcMar>
            <w:vAlign w:val="bottom"/>
            <w:hideMark/>
          </w:tcPr>
          <w:p w14:paraId="6D35AB7D" w14:textId="77777777" w:rsidR="00393409" w:rsidRDefault="00393409">
            <w:pPr>
              <w:rPr>
                <w:rFonts w:ascii="Times New Roman" w:hAnsi="Times New Roman" w:cs="Times New Roman"/>
                <w:sz w:val="20"/>
                <w:szCs w:val="20"/>
                <w:lang w:eastAsia="en-GB"/>
              </w:rPr>
            </w:pPr>
          </w:p>
        </w:tc>
        <w:tc>
          <w:tcPr>
            <w:tcW w:w="554" w:type="pct"/>
            <w:noWrap/>
            <w:tcMar>
              <w:top w:w="0" w:type="dxa"/>
              <w:left w:w="108" w:type="dxa"/>
              <w:bottom w:w="0" w:type="dxa"/>
              <w:right w:w="108" w:type="dxa"/>
            </w:tcMar>
            <w:vAlign w:val="bottom"/>
            <w:hideMark/>
          </w:tcPr>
          <w:p w14:paraId="3F00D1D9" w14:textId="77777777" w:rsidR="00393409" w:rsidRDefault="00393409">
            <w:pPr>
              <w:rPr>
                <w:rFonts w:ascii="Times New Roman" w:eastAsia="Times New Roman" w:hAnsi="Times New Roman" w:cs="Times New Roman"/>
                <w:sz w:val="20"/>
                <w:szCs w:val="20"/>
                <w:lang w:eastAsia="en-GB"/>
              </w:rPr>
            </w:pPr>
          </w:p>
        </w:tc>
        <w:tc>
          <w:tcPr>
            <w:tcW w:w="635" w:type="pct"/>
            <w:noWrap/>
            <w:tcMar>
              <w:top w:w="0" w:type="dxa"/>
              <w:left w:w="108" w:type="dxa"/>
              <w:bottom w:w="0" w:type="dxa"/>
              <w:right w:w="108" w:type="dxa"/>
            </w:tcMar>
            <w:vAlign w:val="bottom"/>
            <w:hideMark/>
          </w:tcPr>
          <w:p w14:paraId="1D7F39FE" w14:textId="77777777" w:rsidR="00393409" w:rsidRDefault="00393409">
            <w:pPr>
              <w:rPr>
                <w:rFonts w:ascii="Times New Roman" w:eastAsia="Times New Roman" w:hAnsi="Times New Roman" w:cs="Times New Roman"/>
                <w:sz w:val="20"/>
                <w:szCs w:val="20"/>
                <w:lang w:eastAsia="en-GB"/>
              </w:rPr>
            </w:pPr>
          </w:p>
        </w:tc>
        <w:tc>
          <w:tcPr>
            <w:tcW w:w="554" w:type="pct"/>
            <w:noWrap/>
            <w:tcMar>
              <w:top w:w="0" w:type="dxa"/>
              <w:left w:w="108" w:type="dxa"/>
              <w:bottom w:w="0" w:type="dxa"/>
              <w:right w:w="108" w:type="dxa"/>
            </w:tcMar>
            <w:vAlign w:val="bottom"/>
            <w:hideMark/>
          </w:tcPr>
          <w:p w14:paraId="34E075AE" w14:textId="77777777" w:rsidR="00393409" w:rsidRDefault="00393409">
            <w:pPr>
              <w:rPr>
                <w:rFonts w:ascii="Times New Roman" w:eastAsia="Times New Roman" w:hAnsi="Times New Roman" w:cs="Times New Roman"/>
                <w:sz w:val="20"/>
                <w:szCs w:val="20"/>
                <w:lang w:eastAsia="en-GB"/>
              </w:rPr>
            </w:pPr>
          </w:p>
        </w:tc>
        <w:tc>
          <w:tcPr>
            <w:tcW w:w="2148" w:type="pct"/>
            <w:gridSpan w:val="2"/>
            <w:tcBorders>
              <w:top w:val="single" w:sz="8" w:space="0" w:color="808080"/>
              <w:left w:val="nil"/>
              <w:bottom w:val="single" w:sz="8" w:space="0" w:color="808080"/>
              <w:right w:val="single" w:sz="8" w:space="0" w:color="808080"/>
            </w:tcBorders>
            <w:shd w:val="clear" w:color="auto" w:fill="ACB9CA"/>
            <w:noWrap/>
            <w:tcMar>
              <w:top w:w="0" w:type="dxa"/>
              <w:left w:w="108" w:type="dxa"/>
              <w:bottom w:w="0" w:type="dxa"/>
              <w:right w:w="108" w:type="dxa"/>
            </w:tcMar>
            <w:vAlign w:val="bottom"/>
            <w:hideMark/>
          </w:tcPr>
          <w:p w14:paraId="220F54BA" w14:textId="77777777" w:rsidR="00393409" w:rsidRDefault="00393409">
            <w:pPr>
              <w:jc w:val="center"/>
              <w:rPr>
                <w:rFonts w:ascii="Calibri" w:hAnsi="Calibri" w:cs="Calibri"/>
                <w:b/>
                <w:bCs/>
                <w:sz w:val="18"/>
                <w:szCs w:val="18"/>
                <w:lang w:eastAsia="en-GB"/>
              </w:rPr>
            </w:pPr>
            <w:r>
              <w:rPr>
                <w:b/>
                <w:bCs/>
                <w:color w:val="000000"/>
                <w:sz w:val="18"/>
                <w:szCs w:val="18"/>
                <w:lang w:eastAsia="en-GB"/>
              </w:rPr>
              <w:t>Influenza</w:t>
            </w:r>
          </w:p>
        </w:tc>
      </w:tr>
      <w:tr w:rsidR="00393409" w14:paraId="101AA350" w14:textId="77777777" w:rsidTr="006F1426">
        <w:trPr>
          <w:trHeight w:val="960"/>
        </w:trPr>
        <w:tc>
          <w:tcPr>
            <w:tcW w:w="2298" w:type="pct"/>
            <w:gridSpan w:val="4"/>
            <w:tcBorders>
              <w:top w:val="single" w:sz="8" w:space="0" w:color="808080"/>
              <w:left w:val="single" w:sz="8" w:space="0" w:color="808080"/>
              <w:bottom w:val="single" w:sz="8" w:space="0" w:color="808080"/>
              <w:right w:val="single" w:sz="8" w:space="0" w:color="808080"/>
            </w:tcBorders>
            <w:shd w:val="clear" w:color="auto" w:fill="ACB9CA"/>
            <w:tcMar>
              <w:top w:w="0" w:type="dxa"/>
              <w:left w:w="108" w:type="dxa"/>
              <w:bottom w:w="0" w:type="dxa"/>
              <w:right w:w="108" w:type="dxa"/>
            </w:tcMar>
            <w:vAlign w:val="center"/>
            <w:hideMark/>
          </w:tcPr>
          <w:p w14:paraId="3BECBF0A" w14:textId="77777777" w:rsidR="00393409" w:rsidRDefault="00393409">
            <w:pPr>
              <w:rPr>
                <w:b/>
                <w:bCs/>
                <w:color w:val="000000"/>
                <w:sz w:val="18"/>
                <w:szCs w:val="18"/>
                <w:lang w:eastAsia="en-GB"/>
              </w:rPr>
            </w:pPr>
            <w:r>
              <w:rPr>
                <w:b/>
                <w:bCs/>
                <w:color w:val="000000"/>
                <w:sz w:val="18"/>
                <w:szCs w:val="18"/>
                <w:lang w:eastAsia="en-GB"/>
              </w:rPr>
              <w:t>Staff with direct patient contact by staff group (inc WFB)</w:t>
            </w:r>
            <w:r>
              <w:rPr>
                <w:b/>
                <w:bCs/>
                <w:color w:val="000000"/>
                <w:sz w:val="18"/>
                <w:szCs w:val="18"/>
                <w:lang w:eastAsia="en-GB"/>
              </w:rPr>
              <w:br/>
            </w:r>
            <w:r>
              <w:rPr>
                <w:color w:val="000000"/>
                <w:sz w:val="18"/>
                <w:szCs w:val="18"/>
                <w:lang w:eastAsia="en-GB"/>
              </w:rPr>
              <w:t>As reported to Public Health England each month</w:t>
            </w:r>
          </w:p>
        </w:tc>
        <w:tc>
          <w:tcPr>
            <w:tcW w:w="554" w:type="pct"/>
            <w:tcBorders>
              <w:top w:val="single" w:sz="8" w:space="0" w:color="808080"/>
              <w:left w:val="nil"/>
              <w:bottom w:val="single" w:sz="8" w:space="0" w:color="808080"/>
              <w:right w:val="single" w:sz="8" w:space="0" w:color="808080"/>
            </w:tcBorders>
            <w:shd w:val="clear" w:color="auto" w:fill="ACB9CA"/>
            <w:tcMar>
              <w:top w:w="0" w:type="dxa"/>
              <w:left w:w="108" w:type="dxa"/>
              <w:bottom w:w="0" w:type="dxa"/>
              <w:right w:w="108" w:type="dxa"/>
            </w:tcMar>
            <w:vAlign w:val="center"/>
            <w:hideMark/>
          </w:tcPr>
          <w:p w14:paraId="0469A553" w14:textId="77777777" w:rsidR="00393409" w:rsidRDefault="00393409">
            <w:pPr>
              <w:jc w:val="center"/>
              <w:rPr>
                <w:b/>
                <w:bCs/>
                <w:color w:val="000000"/>
                <w:sz w:val="18"/>
                <w:szCs w:val="18"/>
                <w:lang w:eastAsia="en-GB"/>
              </w:rPr>
            </w:pPr>
            <w:r>
              <w:rPr>
                <w:b/>
                <w:bCs/>
                <w:color w:val="000000"/>
                <w:sz w:val="18"/>
                <w:szCs w:val="18"/>
                <w:lang w:eastAsia="en-GB"/>
              </w:rPr>
              <w:t>No. staff</w:t>
            </w:r>
          </w:p>
        </w:tc>
        <w:tc>
          <w:tcPr>
            <w:tcW w:w="554" w:type="pct"/>
            <w:tcBorders>
              <w:top w:val="nil"/>
              <w:left w:val="nil"/>
              <w:bottom w:val="single" w:sz="8" w:space="0" w:color="808080"/>
              <w:right w:val="single" w:sz="8" w:space="0" w:color="808080"/>
            </w:tcBorders>
            <w:shd w:val="clear" w:color="auto" w:fill="ACB9CA"/>
            <w:tcMar>
              <w:top w:w="0" w:type="dxa"/>
              <w:left w:w="108" w:type="dxa"/>
              <w:bottom w:w="0" w:type="dxa"/>
              <w:right w:w="108" w:type="dxa"/>
            </w:tcMar>
            <w:vAlign w:val="center"/>
            <w:hideMark/>
          </w:tcPr>
          <w:p w14:paraId="63F80797" w14:textId="77777777" w:rsidR="00393409" w:rsidRDefault="00393409">
            <w:pPr>
              <w:jc w:val="center"/>
              <w:rPr>
                <w:b/>
                <w:bCs/>
                <w:color w:val="000000"/>
                <w:sz w:val="18"/>
                <w:szCs w:val="18"/>
                <w:lang w:eastAsia="en-GB"/>
              </w:rPr>
            </w:pPr>
            <w:r>
              <w:rPr>
                <w:b/>
                <w:bCs/>
                <w:color w:val="000000"/>
                <w:sz w:val="18"/>
                <w:szCs w:val="18"/>
                <w:lang w:eastAsia="en-GB"/>
              </w:rPr>
              <w:t>1 dose</w:t>
            </w:r>
          </w:p>
        </w:tc>
        <w:tc>
          <w:tcPr>
            <w:tcW w:w="1594" w:type="pct"/>
            <w:tcBorders>
              <w:top w:val="nil"/>
              <w:left w:val="nil"/>
              <w:bottom w:val="single" w:sz="8" w:space="0" w:color="808080"/>
              <w:right w:val="single" w:sz="8" w:space="0" w:color="808080"/>
            </w:tcBorders>
            <w:shd w:val="clear" w:color="auto" w:fill="ACB9CA"/>
            <w:tcMar>
              <w:top w:w="0" w:type="dxa"/>
              <w:left w:w="108" w:type="dxa"/>
              <w:bottom w:w="0" w:type="dxa"/>
              <w:right w:w="108" w:type="dxa"/>
            </w:tcMar>
            <w:vAlign w:val="center"/>
            <w:hideMark/>
          </w:tcPr>
          <w:p w14:paraId="3D480CAA" w14:textId="77777777" w:rsidR="00393409" w:rsidRDefault="00393409">
            <w:pPr>
              <w:jc w:val="center"/>
              <w:rPr>
                <w:b/>
                <w:bCs/>
                <w:color w:val="000000"/>
                <w:sz w:val="18"/>
                <w:szCs w:val="18"/>
                <w:lang w:eastAsia="en-GB"/>
              </w:rPr>
            </w:pPr>
            <w:r>
              <w:rPr>
                <w:b/>
                <w:bCs/>
                <w:color w:val="000000"/>
                <w:sz w:val="18"/>
                <w:szCs w:val="18"/>
                <w:lang w:eastAsia="en-GB"/>
              </w:rPr>
              <w:t>Vaccine Uptake (%)</w:t>
            </w:r>
          </w:p>
        </w:tc>
      </w:tr>
      <w:tr w:rsidR="00393409" w14:paraId="0AAA14CE" w14:textId="77777777" w:rsidTr="006F1426">
        <w:trPr>
          <w:trHeight w:val="290"/>
        </w:trPr>
        <w:tc>
          <w:tcPr>
            <w:tcW w:w="554" w:type="pct"/>
            <w:tcBorders>
              <w:top w:val="nil"/>
              <w:left w:val="single" w:sz="8" w:space="0" w:color="808080"/>
              <w:bottom w:val="single" w:sz="8" w:space="0" w:color="808080"/>
              <w:right w:val="nil"/>
            </w:tcBorders>
            <w:shd w:val="clear" w:color="auto" w:fill="FFFFFF"/>
            <w:noWrap/>
            <w:tcMar>
              <w:top w:w="0" w:type="dxa"/>
              <w:left w:w="108" w:type="dxa"/>
              <w:bottom w:w="0" w:type="dxa"/>
              <w:right w:w="108" w:type="dxa"/>
            </w:tcMar>
            <w:vAlign w:val="center"/>
            <w:hideMark/>
          </w:tcPr>
          <w:p w14:paraId="68F7E776" w14:textId="77777777" w:rsidR="00393409" w:rsidRDefault="00393409">
            <w:pPr>
              <w:rPr>
                <w:color w:val="000000"/>
                <w:sz w:val="18"/>
                <w:szCs w:val="18"/>
                <w:lang w:eastAsia="en-GB"/>
              </w:rPr>
            </w:pPr>
            <w:r>
              <w:rPr>
                <w:color w:val="000000"/>
                <w:sz w:val="18"/>
                <w:szCs w:val="18"/>
                <w:lang w:eastAsia="en-GB"/>
              </w:rPr>
              <w:t>Doctors</w:t>
            </w:r>
          </w:p>
        </w:tc>
        <w:tc>
          <w:tcPr>
            <w:tcW w:w="554" w:type="pct"/>
            <w:tcBorders>
              <w:top w:val="nil"/>
              <w:left w:val="nil"/>
              <w:bottom w:val="single" w:sz="8" w:space="0" w:color="808080"/>
              <w:right w:val="nil"/>
            </w:tcBorders>
            <w:shd w:val="clear" w:color="auto" w:fill="FFFFFF"/>
            <w:noWrap/>
            <w:tcMar>
              <w:top w:w="0" w:type="dxa"/>
              <w:left w:w="108" w:type="dxa"/>
              <w:bottom w:w="0" w:type="dxa"/>
              <w:right w:w="108" w:type="dxa"/>
            </w:tcMar>
            <w:vAlign w:val="center"/>
            <w:hideMark/>
          </w:tcPr>
          <w:p w14:paraId="09778AF0" w14:textId="77777777" w:rsidR="00393409" w:rsidRDefault="00393409">
            <w:pPr>
              <w:rPr>
                <w:color w:val="000000"/>
                <w:sz w:val="18"/>
                <w:szCs w:val="18"/>
                <w:lang w:eastAsia="en-GB"/>
              </w:rPr>
            </w:pPr>
            <w:r>
              <w:rPr>
                <w:color w:val="000000"/>
                <w:sz w:val="18"/>
                <w:szCs w:val="18"/>
                <w:lang w:eastAsia="en-GB"/>
              </w:rPr>
              <w:t> </w:t>
            </w:r>
          </w:p>
        </w:tc>
        <w:tc>
          <w:tcPr>
            <w:tcW w:w="554" w:type="pct"/>
            <w:tcBorders>
              <w:top w:val="nil"/>
              <w:left w:val="nil"/>
              <w:bottom w:val="single" w:sz="8" w:space="0" w:color="808080"/>
              <w:right w:val="nil"/>
            </w:tcBorders>
            <w:shd w:val="clear" w:color="auto" w:fill="FFFFFF"/>
            <w:noWrap/>
            <w:tcMar>
              <w:top w:w="0" w:type="dxa"/>
              <w:left w:w="108" w:type="dxa"/>
              <w:bottom w:w="0" w:type="dxa"/>
              <w:right w:w="108" w:type="dxa"/>
            </w:tcMar>
            <w:vAlign w:val="center"/>
            <w:hideMark/>
          </w:tcPr>
          <w:p w14:paraId="4A19D056" w14:textId="77777777" w:rsidR="00393409" w:rsidRDefault="00393409">
            <w:pPr>
              <w:rPr>
                <w:color w:val="000000"/>
                <w:sz w:val="18"/>
                <w:szCs w:val="18"/>
                <w:lang w:eastAsia="en-GB"/>
              </w:rPr>
            </w:pPr>
            <w:r>
              <w:rPr>
                <w:color w:val="000000"/>
                <w:sz w:val="18"/>
                <w:szCs w:val="18"/>
                <w:lang w:eastAsia="en-GB"/>
              </w:rPr>
              <w:t> </w:t>
            </w:r>
          </w:p>
        </w:tc>
        <w:tc>
          <w:tcPr>
            <w:tcW w:w="635" w:type="pct"/>
            <w:tcBorders>
              <w:top w:val="nil"/>
              <w:left w:val="nil"/>
              <w:bottom w:val="single" w:sz="8" w:space="0" w:color="808080"/>
              <w:right w:val="nil"/>
            </w:tcBorders>
            <w:shd w:val="clear" w:color="auto" w:fill="FFFFFF"/>
            <w:noWrap/>
            <w:tcMar>
              <w:top w:w="0" w:type="dxa"/>
              <w:left w:w="108" w:type="dxa"/>
              <w:bottom w:w="0" w:type="dxa"/>
              <w:right w:w="108" w:type="dxa"/>
            </w:tcMar>
            <w:vAlign w:val="center"/>
            <w:hideMark/>
          </w:tcPr>
          <w:p w14:paraId="5B5A4117" w14:textId="77777777" w:rsidR="00393409" w:rsidRDefault="00393409">
            <w:pPr>
              <w:rPr>
                <w:color w:val="000000"/>
                <w:sz w:val="18"/>
                <w:szCs w:val="18"/>
                <w:lang w:eastAsia="en-GB"/>
              </w:rPr>
            </w:pPr>
            <w:r>
              <w:rPr>
                <w:color w:val="000000"/>
                <w:sz w:val="18"/>
                <w:szCs w:val="18"/>
                <w:lang w:eastAsia="en-GB"/>
              </w:rPr>
              <w:t> </w:t>
            </w:r>
          </w:p>
        </w:tc>
        <w:tc>
          <w:tcPr>
            <w:tcW w:w="554"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center"/>
            <w:hideMark/>
          </w:tcPr>
          <w:p w14:paraId="308004FF" w14:textId="77777777" w:rsidR="00393409" w:rsidRDefault="00393409">
            <w:pPr>
              <w:jc w:val="center"/>
              <w:rPr>
                <w:color w:val="000000"/>
                <w:sz w:val="18"/>
                <w:szCs w:val="18"/>
                <w:lang w:eastAsia="en-GB"/>
              </w:rPr>
            </w:pPr>
            <w:r>
              <w:rPr>
                <w:color w:val="000000"/>
                <w:sz w:val="18"/>
                <w:szCs w:val="18"/>
                <w:lang w:eastAsia="en-GB"/>
              </w:rPr>
              <w:t>2</w:t>
            </w:r>
            <w:r>
              <w:rPr>
                <w:sz w:val="18"/>
                <w:szCs w:val="18"/>
                <w:lang w:eastAsia="en-GB"/>
              </w:rPr>
              <w:t>16</w:t>
            </w:r>
          </w:p>
        </w:tc>
        <w:tc>
          <w:tcPr>
            <w:tcW w:w="55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3A4C64DB" w14:textId="77777777" w:rsidR="00393409" w:rsidRDefault="00393409">
            <w:pPr>
              <w:jc w:val="center"/>
              <w:rPr>
                <w:color w:val="000000"/>
                <w:sz w:val="18"/>
                <w:szCs w:val="18"/>
                <w:lang w:eastAsia="en-GB"/>
              </w:rPr>
            </w:pPr>
            <w:r>
              <w:rPr>
                <w:color w:val="000000"/>
                <w:sz w:val="18"/>
                <w:szCs w:val="18"/>
                <w:lang w:eastAsia="en-GB"/>
              </w:rPr>
              <w:t>1</w:t>
            </w:r>
            <w:r>
              <w:rPr>
                <w:sz w:val="18"/>
                <w:szCs w:val="18"/>
                <w:lang w:eastAsia="en-GB"/>
              </w:rPr>
              <w:t>41</w:t>
            </w:r>
          </w:p>
        </w:tc>
        <w:tc>
          <w:tcPr>
            <w:tcW w:w="159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1FC60492" w14:textId="77777777" w:rsidR="00393409" w:rsidRDefault="00393409">
            <w:pPr>
              <w:jc w:val="center"/>
              <w:rPr>
                <w:color w:val="000000"/>
                <w:sz w:val="18"/>
                <w:szCs w:val="18"/>
                <w:lang w:eastAsia="en-GB"/>
              </w:rPr>
            </w:pPr>
            <w:r>
              <w:rPr>
                <w:sz w:val="18"/>
                <w:szCs w:val="18"/>
                <w:lang w:eastAsia="en-GB"/>
              </w:rPr>
              <w:t>65.3</w:t>
            </w:r>
            <w:r>
              <w:rPr>
                <w:color w:val="000000"/>
                <w:sz w:val="18"/>
                <w:szCs w:val="18"/>
                <w:lang w:eastAsia="en-GB"/>
              </w:rPr>
              <w:t>%</w:t>
            </w:r>
          </w:p>
        </w:tc>
      </w:tr>
      <w:tr w:rsidR="00393409" w14:paraId="4A41A3DD" w14:textId="77777777" w:rsidTr="006F1426">
        <w:trPr>
          <w:trHeight w:val="290"/>
        </w:trPr>
        <w:tc>
          <w:tcPr>
            <w:tcW w:w="2298" w:type="pct"/>
            <w:gridSpan w:val="4"/>
            <w:tcBorders>
              <w:top w:val="nil"/>
              <w:left w:val="single" w:sz="8" w:space="0" w:color="808080"/>
              <w:bottom w:val="single" w:sz="8" w:space="0" w:color="808080"/>
              <w:right w:val="nil"/>
            </w:tcBorders>
            <w:shd w:val="clear" w:color="auto" w:fill="FFFFFF"/>
            <w:noWrap/>
            <w:tcMar>
              <w:top w:w="0" w:type="dxa"/>
              <w:left w:w="108" w:type="dxa"/>
              <w:bottom w:w="0" w:type="dxa"/>
              <w:right w:w="108" w:type="dxa"/>
            </w:tcMar>
            <w:vAlign w:val="center"/>
            <w:hideMark/>
          </w:tcPr>
          <w:p w14:paraId="39ECEC6B" w14:textId="77777777" w:rsidR="00393409" w:rsidRDefault="00393409">
            <w:pPr>
              <w:rPr>
                <w:color w:val="000000"/>
                <w:sz w:val="18"/>
                <w:szCs w:val="18"/>
                <w:lang w:eastAsia="en-GB"/>
              </w:rPr>
            </w:pPr>
            <w:r>
              <w:rPr>
                <w:color w:val="000000"/>
                <w:sz w:val="18"/>
                <w:szCs w:val="18"/>
                <w:lang w:eastAsia="en-GB"/>
              </w:rPr>
              <w:t xml:space="preserve">Qualified Nurses, midwives and health visitors </w:t>
            </w:r>
          </w:p>
        </w:tc>
        <w:tc>
          <w:tcPr>
            <w:tcW w:w="554"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center"/>
            <w:hideMark/>
          </w:tcPr>
          <w:p w14:paraId="51368695" w14:textId="77777777" w:rsidR="00393409" w:rsidRDefault="00393409">
            <w:pPr>
              <w:jc w:val="center"/>
              <w:rPr>
                <w:color w:val="000000"/>
                <w:sz w:val="18"/>
                <w:szCs w:val="18"/>
                <w:lang w:eastAsia="en-GB"/>
              </w:rPr>
            </w:pPr>
            <w:r>
              <w:rPr>
                <w:color w:val="000000"/>
                <w:sz w:val="18"/>
                <w:szCs w:val="18"/>
                <w:lang w:eastAsia="en-GB"/>
              </w:rPr>
              <w:t>2</w:t>
            </w:r>
            <w:r>
              <w:rPr>
                <w:sz w:val="18"/>
                <w:szCs w:val="18"/>
                <w:lang w:eastAsia="en-GB"/>
              </w:rPr>
              <w:t>098</w:t>
            </w:r>
          </w:p>
        </w:tc>
        <w:tc>
          <w:tcPr>
            <w:tcW w:w="55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33D5E76F" w14:textId="77777777" w:rsidR="00393409" w:rsidRDefault="00393409">
            <w:pPr>
              <w:jc w:val="center"/>
              <w:rPr>
                <w:color w:val="000000"/>
                <w:sz w:val="18"/>
                <w:szCs w:val="18"/>
                <w:lang w:eastAsia="en-GB"/>
              </w:rPr>
            </w:pPr>
            <w:r>
              <w:rPr>
                <w:color w:val="000000"/>
                <w:sz w:val="18"/>
                <w:szCs w:val="18"/>
                <w:lang w:eastAsia="en-GB"/>
              </w:rPr>
              <w:t>1</w:t>
            </w:r>
            <w:r>
              <w:rPr>
                <w:sz w:val="18"/>
                <w:szCs w:val="18"/>
                <w:lang w:eastAsia="en-GB"/>
              </w:rPr>
              <w:t>362</w:t>
            </w:r>
          </w:p>
        </w:tc>
        <w:tc>
          <w:tcPr>
            <w:tcW w:w="159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301C56FB" w14:textId="77777777" w:rsidR="00393409" w:rsidRDefault="00393409">
            <w:pPr>
              <w:jc w:val="center"/>
              <w:rPr>
                <w:color w:val="000000"/>
                <w:sz w:val="18"/>
                <w:szCs w:val="18"/>
                <w:lang w:eastAsia="en-GB"/>
              </w:rPr>
            </w:pPr>
            <w:r>
              <w:rPr>
                <w:sz w:val="18"/>
                <w:szCs w:val="18"/>
                <w:lang w:eastAsia="en-GB"/>
              </w:rPr>
              <w:t>64.9</w:t>
            </w:r>
            <w:r>
              <w:rPr>
                <w:color w:val="000000"/>
                <w:sz w:val="18"/>
                <w:szCs w:val="18"/>
                <w:lang w:eastAsia="en-GB"/>
              </w:rPr>
              <w:t>%</w:t>
            </w:r>
          </w:p>
        </w:tc>
      </w:tr>
      <w:tr w:rsidR="00393409" w14:paraId="29BB19FC" w14:textId="77777777" w:rsidTr="006F1426">
        <w:trPr>
          <w:trHeight w:val="290"/>
        </w:trPr>
        <w:tc>
          <w:tcPr>
            <w:tcW w:w="2298" w:type="pct"/>
            <w:gridSpan w:val="4"/>
            <w:tcBorders>
              <w:top w:val="nil"/>
              <w:left w:val="single" w:sz="8" w:space="0" w:color="808080"/>
              <w:bottom w:val="single" w:sz="8" w:space="0" w:color="808080"/>
              <w:right w:val="nil"/>
            </w:tcBorders>
            <w:shd w:val="clear" w:color="auto" w:fill="FFFFFF"/>
            <w:noWrap/>
            <w:tcMar>
              <w:top w:w="0" w:type="dxa"/>
              <w:left w:w="108" w:type="dxa"/>
              <w:bottom w:w="0" w:type="dxa"/>
              <w:right w:w="108" w:type="dxa"/>
            </w:tcMar>
            <w:vAlign w:val="center"/>
            <w:hideMark/>
          </w:tcPr>
          <w:p w14:paraId="53383677" w14:textId="77777777" w:rsidR="00393409" w:rsidRDefault="00393409">
            <w:pPr>
              <w:rPr>
                <w:color w:val="000000"/>
                <w:sz w:val="18"/>
                <w:szCs w:val="18"/>
                <w:lang w:eastAsia="en-GB"/>
              </w:rPr>
            </w:pPr>
            <w:r>
              <w:rPr>
                <w:color w:val="000000"/>
                <w:sz w:val="18"/>
                <w:szCs w:val="18"/>
                <w:lang w:eastAsia="en-GB"/>
              </w:rPr>
              <w:t>All other professionally qualified clinical staff</w:t>
            </w:r>
          </w:p>
        </w:tc>
        <w:tc>
          <w:tcPr>
            <w:tcW w:w="554"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center"/>
            <w:hideMark/>
          </w:tcPr>
          <w:p w14:paraId="2E8E63A0" w14:textId="77777777" w:rsidR="00393409" w:rsidRDefault="00393409">
            <w:pPr>
              <w:jc w:val="center"/>
              <w:rPr>
                <w:color w:val="000000"/>
                <w:sz w:val="18"/>
                <w:szCs w:val="18"/>
                <w:lang w:eastAsia="en-GB"/>
              </w:rPr>
            </w:pPr>
            <w:r>
              <w:rPr>
                <w:sz w:val="18"/>
                <w:szCs w:val="18"/>
                <w:lang w:eastAsia="en-GB"/>
              </w:rPr>
              <w:t>948</w:t>
            </w:r>
          </w:p>
        </w:tc>
        <w:tc>
          <w:tcPr>
            <w:tcW w:w="55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2790B649" w14:textId="77777777" w:rsidR="00393409" w:rsidRDefault="00393409">
            <w:pPr>
              <w:jc w:val="center"/>
              <w:rPr>
                <w:color w:val="000000"/>
                <w:sz w:val="18"/>
                <w:szCs w:val="18"/>
                <w:lang w:eastAsia="en-GB"/>
              </w:rPr>
            </w:pPr>
            <w:r>
              <w:rPr>
                <w:sz w:val="18"/>
                <w:szCs w:val="18"/>
                <w:lang w:eastAsia="en-GB"/>
              </w:rPr>
              <w:t>648</w:t>
            </w:r>
          </w:p>
        </w:tc>
        <w:tc>
          <w:tcPr>
            <w:tcW w:w="159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75ADDB18" w14:textId="77777777" w:rsidR="00393409" w:rsidRDefault="00393409">
            <w:pPr>
              <w:jc w:val="center"/>
              <w:rPr>
                <w:color w:val="000000"/>
                <w:sz w:val="18"/>
                <w:szCs w:val="18"/>
                <w:lang w:eastAsia="en-GB"/>
              </w:rPr>
            </w:pPr>
            <w:r>
              <w:rPr>
                <w:sz w:val="18"/>
                <w:szCs w:val="18"/>
                <w:lang w:eastAsia="en-GB"/>
              </w:rPr>
              <w:t>68.4</w:t>
            </w:r>
            <w:r>
              <w:rPr>
                <w:color w:val="000000"/>
                <w:sz w:val="18"/>
                <w:szCs w:val="18"/>
                <w:lang w:eastAsia="en-GB"/>
              </w:rPr>
              <w:t>%</w:t>
            </w:r>
          </w:p>
        </w:tc>
      </w:tr>
      <w:tr w:rsidR="00393409" w14:paraId="3B4D6439" w14:textId="77777777" w:rsidTr="006F1426">
        <w:trPr>
          <w:trHeight w:val="290"/>
        </w:trPr>
        <w:tc>
          <w:tcPr>
            <w:tcW w:w="1109" w:type="pct"/>
            <w:gridSpan w:val="2"/>
            <w:tcBorders>
              <w:top w:val="nil"/>
              <w:left w:val="single" w:sz="8" w:space="0" w:color="808080"/>
              <w:bottom w:val="single" w:sz="8" w:space="0" w:color="808080"/>
              <w:right w:val="nil"/>
            </w:tcBorders>
            <w:shd w:val="clear" w:color="auto" w:fill="FFFFFF"/>
            <w:noWrap/>
            <w:tcMar>
              <w:top w:w="0" w:type="dxa"/>
              <w:left w:w="108" w:type="dxa"/>
              <w:bottom w:w="0" w:type="dxa"/>
              <w:right w:w="108" w:type="dxa"/>
            </w:tcMar>
            <w:vAlign w:val="center"/>
            <w:hideMark/>
          </w:tcPr>
          <w:p w14:paraId="09E0B28A" w14:textId="77777777" w:rsidR="00393409" w:rsidRDefault="00393409">
            <w:pPr>
              <w:rPr>
                <w:color w:val="000000"/>
                <w:sz w:val="18"/>
                <w:szCs w:val="18"/>
                <w:lang w:eastAsia="en-GB"/>
              </w:rPr>
            </w:pPr>
            <w:r>
              <w:rPr>
                <w:color w:val="000000"/>
                <w:sz w:val="18"/>
                <w:szCs w:val="18"/>
                <w:lang w:eastAsia="en-GB"/>
              </w:rPr>
              <w:t>Support to Clinical Staff</w:t>
            </w:r>
          </w:p>
        </w:tc>
        <w:tc>
          <w:tcPr>
            <w:tcW w:w="554" w:type="pct"/>
            <w:tcBorders>
              <w:top w:val="nil"/>
              <w:left w:val="nil"/>
              <w:bottom w:val="single" w:sz="8" w:space="0" w:color="808080"/>
              <w:right w:val="nil"/>
            </w:tcBorders>
            <w:shd w:val="clear" w:color="auto" w:fill="FFFFFF"/>
            <w:noWrap/>
            <w:tcMar>
              <w:top w:w="0" w:type="dxa"/>
              <w:left w:w="108" w:type="dxa"/>
              <w:bottom w:w="0" w:type="dxa"/>
              <w:right w:w="108" w:type="dxa"/>
            </w:tcMar>
            <w:vAlign w:val="center"/>
            <w:hideMark/>
          </w:tcPr>
          <w:p w14:paraId="0C2E1162" w14:textId="77777777" w:rsidR="00393409" w:rsidRDefault="00393409">
            <w:pPr>
              <w:rPr>
                <w:color w:val="000000"/>
                <w:sz w:val="18"/>
                <w:szCs w:val="18"/>
                <w:lang w:eastAsia="en-GB"/>
              </w:rPr>
            </w:pPr>
            <w:r>
              <w:rPr>
                <w:color w:val="000000"/>
                <w:sz w:val="18"/>
                <w:szCs w:val="18"/>
                <w:lang w:eastAsia="en-GB"/>
              </w:rPr>
              <w:t> </w:t>
            </w:r>
          </w:p>
        </w:tc>
        <w:tc>
          <w:tcPr>
            <w:tcW w:w="635" w:type="pct"/>
            <w:tcBorders>
              <w:top w:val="nil"/>
              <w:left w:val="nil"/>
              <w:bottom w:val="single" w:sz="8" w:space="0" w:color="808080"/>
              <w:right w:val="nil"/>
            </w:tcBorders>
            <w:shd w:val="clear" w:color="auto" w:fill="FFFFFF"/>
            <w:noWrap/>
            <w:tcMar>
              <w:top w:w="0" w:type="dxa"/>
              <w:left w:w="108" w:type="dxa"/>
              <w:bottom w:w="0" w:type="dxa"/>
              <w:right w:w="108" w:type="dxa"/>
            </w:tcMar>
            <w:vAlign w:val="center"/>
            <w:hideMark/>
          </w:tcPr>
          <w:p w14:paraId="5E5D8762" w14:textId="77777777" w:rsidR="00393409" w:rsidRDefault="00393409">
            <w:pPr>
              <w:rPr>
                <w:color w:val="000000"/>
                <w:sz w:val="18"/>
                <w:szCs w:val="18"/>
                <w:lang w:eastAsia="en-GB"/>
              </w:rPr>
            </w:pPr>
            <w:r>
              <w:rPr>
                <w:color w:val="000000"/>
                <w:sz w:val="18"/>
                <w:szCs w:val="18"/>
                <w:lang w:eastAsia="en-GB"/>
              </w:rPr>
              <w:t> </w:t>
            </w:r>
          </w:p>
        </w:tc>
        <w:tc>
          <w:tcPr>
            <w:tcW w:w="554"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center"/>
            <w:hideMark/>
          </w:tcPr>
          <w:p w14:paraId="451FAFF0" w14:textId="77777777" w:rsidR="00393409" w:rsidRDefault="00393409">
            <w:pPr>
              <w:jc w:val="center"/>
              <w:rPr>
                <w:color w:val="000000"/>
                <w:sz w:val="18"/>
                <w:szCs w:val="18"/>
                <w:lang w:eastAsia="en-GB"/>
              </w:rPr>
            </w:pPr>
            <w:r>
              <w:rPr>
                <w:color w:val="000000"/>
                <w:sz w:val="18"/>
                <w:szCs w:val="18"/>
                <w:lang w:eastAsia="en-GB"/>
              </w:rPr>
              <w:t>2</w:t>
            </w:r>
            <w:r>
              <w:rPr>
                <w:sz w:val="18"/>
                <w:szCs w:val="18"/>
                <w:lang w:eastAsia="en-GB"/>
              </w:rPr>
              <w:t>320</w:t>
            </w:r>
          </w:p>
        </w:tc>
        <w:tc>
          <w:tcPr>
            <w:tcW w:w="55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6BAD7542" w14:textId="77777777" w:rsidR="00393409" w:rsidRDefault="00393409">
            <w:pPr>
              <w:jc w:val="center"/>
              <w:rPr>
                <w:color w:val="000000"/>
                <w:sz w:val="18"/>
                <w:szCs w:val="18"/>
                <w:lang w:eastAsia="en-GB"/>
              </w:rPr>
            </w:pPr>
            <w:r>
              <w:rPr>
                <w:sz w:val="18"/>
                <w:szCs w:val="18"/>
                <w:lang w:eastAsia="en-GB"/>
              </w:rPr>
              <w:t>1162</w:t>
            </w:r>
          </w:p>
        </w:tc>
        <w:tc>
          <w:tcPr>
            <w:tcW w:w="159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78785477" w14:textId="77777777" w:rsidR="00393409" w:rsidRDefault="00393409">
            <w:pPr>
              <w:jc w:val="center"/>
              <w:rPr>
                <w:color w:val="000000"/>
                <w:sz w:val="18"/>
                <w:szCs w:val="18"/>
                <w:lang w:eastAsia="en-GB"/>
              </w:rPr>
            </w:pPr>
            <w:r>
              <w:rPr>
                <w:sz w:val="18"/>
                <w:szCs w:val="18"/>
                <w:lang w:eastAsia="en-GB"/>
              </w:rPr>
              <w:t>50.1</w:t>
            </w:r>
            <w:r>
              <w:rPr>
                <w:color w:val="000000"/>
                <w:sz w:val="18"/>
                <w:szCs w:val="18"/>
                <w:lang w:eastAsia="en-GB"/>
              </w:rPr>
              <w:t>%</w:t>
            </w:r>
          </w:p>
        </w:tc>
      </w:tr>
      <w:tr w:rsidR="00393409" w14:paraId="2C0EB720" w14:textId="77777777" w:rsidTr="006F1426">
        <w:trPr>
          <w:trHeight w:val="290"/>
        </w:trPr>
        <w:tc>
          <w:tcPr>
            <w:tcW w:w="1663" w:type="pct"/>
            <w:gridSpan w:val="3"/>
            <w:tcBorders>
              <w:top w:val="nil"/>
              <w:left w:val="single" w:sz="8" w:space="0" w:color="808080"/>
              <w:bottom w:val="single" w:sz="8" w:space="0" w:color="808080"/>
              <w:right w:val="nil"/>
            </w:tcBorders>
            <w:shd w:val="clear" w:color="auto" w:fill="FFFFFF"/>
            <w:noWrap/>
            <w:tcMar>
              <w:top w:w="0" w:type="dxa"/>
              <w:left w:w="108" w:type="dxa"/>
              <w:bottom w:w="0" w:type="dxa"/>
              <w:right w:w="108" w:type="dxa"/>
            </w:tcMar>
            <w:vAlign w:val="center"/>
            <w:hideMark/>
          </w:tcPr>
          <w:p w14:paraId="230AB673" w14:textId="77777777" w:rsidR="00393409" w:rsidRDefault="00393409">
            <w:pPr>
              <w:rPr>
                <w:b/>
                <w:bCs/>
                <w:color w:val="000000"/>
                <w:sz w:val="18"/>
                <w:szCs w:val="18"/>
                <w:lang w:eastAsia="en-GB"/>
              </w:rPr>
            </w:pPr>
            <w:r>
              <w:rPr>
                <w:b/>
                <w:bCs/>
                <w:color w:val="000000"/>
                <w:sz w:val="18"/>
                <w:szCs w:val="18"/>
                <w:lang w:eastAsia="en-GB"/>
              </w:rPr>
              <w:t>Staff with direct patient contact</w:t>
            </w:r>
          </w:p>
        </w:tc>
        <w:tc>
          <w:tcPr>
            <w:tcW w:w="635" w:type="pct"/>
            <w:tcBorders>
              <w:top w:val="nil"/>
              <w:left w:val="nil"/>
              <w:bottom w:val="single" w:sz="8" w:space="0" w:color="808080"/>
              <w:right w:val="nil"/>
            </w:tcBorders>
            <w:shd w:val="clear" w:color="auto" w:fill="FFFFFF"/>
            <w:noWrap/>
            <w:tcMar>
              <w:top w:w="0" w:type="dxa"/>
              <w:left w:w="108" w:type="dxa"/>
              <w:bottom w:w="0" w:type="dxa"/>
              <w:right w:w="108" w:type="dxa"/>
            </w:tcMar>
            <w:vAlign w:val="center"/>
            <w:hideMark/>
          </w:tcPr>
          <w:p w14:paraId="6D062826" w14:textId="77777777" w:rsidR="00393409" w:rsidRDefault="00393409">
            <w:pPr>
              <w:rPr>
                <w:b/>
                <w:bCs/>
                <w:color w:val="000000"/>
                <w:sz w:val="18"/>
                <w:szCs w:val="18"/>
                <w:lang w:eastAsia="en-GB"/>
              </w:rPr>
            </w:pPr>
            <w:r>
              <w:rPr>
                <w:b/>
                <w:bCs/>
                <w:color w:val="000000"/>
                <w:sz w:val="18"/>
                <w:szCs w:val="18"/>
                <w:lang w:eastAsia="en-GB"/>
              </w:rPr>
              <w:t> </w:t>
            </w:r>
          </w:p>
        </w:tc>
        <w:tc>
          <w:tcPr>
            <w:tcW w:w="554"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center"/>
            <w:hideMark/>
          </w:tcPr>
          <w:p w14:paraId="203F39DC" w14:textId="77777777" w:rsidR="00393409" w:rsidRDefault="00393409">
            <w:pPr>
              <w:jc w:val="center"/>
              <w:rPr>
                <w:b/>
                <w:bCs/>
                <w:color w:val="000000"/>
                <w:sz w:val="18"/>
                <w:szCs w:val="18"/>
                <w:lang w:eastAsia="en-GB"/>
              </w:rPr>
            </w:pPr>
            <w:r>
              <w:rPr>
                <w:b/>
                <w:bCs/>
                <w:color w:val="000000"/>
                <w:sz w:val="18"/>
                <w:szCs w:val="18"/>
                <w:lang w:eastAsia="en-GB"/>
              </w:rPr>
              <w:t>5</w:t>
            </w:r>
            <w:r>
              <w:rPr>
                <w:b/>
                <w:bCs/>
                <w:sz w:val="18"/>
                <w:szCs w:val="18"/>
                <w:lang w:eastAsia="en-GB"/>
              </w:rPr>
              <w:t>582</w:t>
            </w:r>
          </w:p>
        </w:tc>
        <w:tc>
          <w:tcPr>
            <w:tcW w:w="55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349B70BC" w14:textId="77777777" w:rsidR="00393409" w:rsidRDefault="00393409">
            <w:pPr>
              <w:jc w:val="center"/>
              <w:rPr>
                <w:b/>
                <w:bCs/>
                <w:color w:val="000000"/>
                <w:sz w:val="18"/>
                <w:szCs w:val="18"/>
                <w:lang w:eastAsia="en-GB"/>
              </w:rPr>
            </w:pPr>
            <w:r>
              <w:rPr>
                <w:b/>
                <w:bCs/>
                <w:sz w:val="18"/>
                <w:szCs w:val="18"/>
                <w:lang w:eastAsia="en-GB"/>
              </w:rPr>
              <w:t>3313</w:t>
            </w:r>
          </w:p>
        </w:tc>
        <w:tc>
          <w:tcPr>
            <w:tcW w:w="159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4A409E88" w14:textId="77777777" w:rsidR="00393409" w:rsidRDefault="00393409">
            <w:pPr>
              <w:jc w:val="center"/>
              <w:rPr>
                <w:b/>
                <w:bCs/>
                <w:color w:val="000000"/>
                <w:sz w:val="18"/>
                <w:szCs w:val="18"/>
                <w:lang w:eastAsia="en-GB"/>
              </w:rPr>
            </w:pPr>
            <w:r>
              <w:rPr>
                <w:b/>
                <w:bCs/>
                <w:sz w:val="18"/>
                <w:szCs w:val="18"/>
                <w:lang w:eastAsia="en-GB"/>
              </w:rPr>
              <w:t>59.4</w:t>
            </w:r>
            <w:r>
              <w:rPr>
                <w:b/>
                <w:bCs/>
                <w:color w:val="000000"/>
                <w:sz w:val="18"/>
                <w:szCs w:val="18"/>
                <w:lang w:eastAsia="en-GB"/>
              </w:rPr>
              <w:t>%</w:t>
            </w:r>
          </w:p>
        </w:tc>
      </w:tr>
    </w:tbl>
    <w:p w14:paraId="06E482E9" w14:textId="77777777" w:rsidR="00BE4FD9" w:rsidRDefault="00BE4FD9" w:rsidP="00393409">
      <w:pPr>
        <w:pStyle w:val="Default"/>
        <w:spacing w:after="120" w:line="276" w:lineRule="auto"/>
        <w:ind w:left="720" w:hanging="720"/>
        <w:rPr>
          <w:rFonts w:ascii="Calibri" w:hAnsi="Calibri"/>
          <w:color w:val="auto"/>
        </w:rPr>
      </w:pPr>
    </w:p>
    <w:p w14:paraId="01EB7536" w14:textId="1F2EB235" w:rsidR="008E4FD0" w:rsidRDefault="00393409" w:rsidP="00393409">
      <w:pPr>
        <w:pStyle w:val="Default"/>
        <w:spacing w:after="120" w:line="276" w:lineRule="auto"/>
        <w:ind w:left="720" w:hanging="720"/>
        <w:rPr>
          <w:rFonts w:ascii="Calibri" w:hAnsi="Calibri"/>
          <w:color w:val="auto"/>
        </w:rPr>
      </w:pPr>
      <w:r>
        <w:rPr>
          <w:rFonts w:ascii="Calibri" w:hAnsi="Calibri"/>
          <w:color w:val="auto"/>
        </w:rPr>
        <w:t>4.5</w:t>
      </w:r>
      <w:r w:rsidR="008E4FD0">
        <w:rPr>
          <w:rFonts w:ascii="Calibri" w:hAnsi="Calibri"/>
          <w:color w:val="auto"/>
        </w:rPr>
        <w:tab/>
        <w:t>It is noted that the national average percentage seasonal influenza vaccine uptake for frontline healthcare workers – all NHS England Trusts 2021 to 2021 was 60.5%.</w:t>
      </w:r>
      <w:r>
        <w:rPr>
          <w:rFonts w:ascii="Calibri" w:hAnsi="Calibri"/>
          <w:color w:val="auto"/>
        </w:rPr>
        <w:t xml:space="preserve">      </w:t>
      </w:r>
    </w:p>
    <w:p w14:paraId="0BAE726A" w14:textId="63A9844F" w:rsidR="00393409" w:rsidRDefault="008E4FD0" w:rsidP="00393409">
      <w:pPr>
        <w:pStyle w:val="Default"/>
        <w:spacing w:after="120" w:line="276" w:lineRule="auto"/>
        <w:ind w:left="720" w:hanging="720"/>
        <w:rPr>
          <w:rFonts w:ascii="Calibri" w:hAnsi="Calibri"/>
          <w:color w:val="auto"/>
        </w:rPr>
      </w:pPr>
      <w:r>
        <w:rPr>
          <w:rFonts w:ascii="Calibri" w:hAnsi="Calibri"/>
          <w:color w:val="auto"/>
        </w:rPr>
        <w:t>4.6</w:t>
      </w:r>
      <w:r>
        <w:rPr>
          <w:rFonts w:ascii="Calibri" w:hAnsi="Calibri"/>
          <w:color w:val="auto"/>
        </w:rPr>
        <w:tab/>
      </w:r>
      <w:r w:rsidR="00393409">
        <w:rPr>
          <w:rFonts w:ascii="Calibri" w:hAnsi="Calibri"/>
          <w:color w:val="auto"/>
        </w:rPr>
        <w:t xml:space="preserve">The seasonal flu vaccine for staff has been delivered using a multi-pronged approach to </w:t>
      </w:r>
      <w:r w:rsidR="00BD5037">
        <w:rPr>
          <w:rFonts w:ascii="Calibri" w:hAnsi="Calibri"/>
          <w:color w:val="auto"/>
        </w:rPr>
        <w:t>support flexibility</w:t>
      </w:r>
      <w:r w:rsidR="00393409">
        <w:rPr>
          <w:rFonts w:ascii="Calibri" w:hAnsi="Calibri"/>
          <w:color w:val="auto"/>
        </w:rPr>
        <w:t xml:space="preserve"> and access opportunities for staff.  The roving vaccinator team has predominantly delivered the staff flu vaccination programme. These clinics were at delivered in clinical settings and non-clinal environments to maximise uptake and opportunity. This programme of delivery </w:t>
      </w:r>
      <w:r w:rsidR="00D406B5">
        <w:rPr>
          <w:rFonts w:ascii="Calibri" w:hAnsi="Calibri"/>
          <w:color w:val="auto"/>
        </w:rPr>
        <w:t>was supported</w:t>
      </w:r>
      <w:r w:rsidR="00393409">
        <w:rPr>
          <w:rFonts w:ascii="Calibri" w:hAnsi="Calibri"/>
          <w:color w:val="auto"/>
        </w:rPr>
        <w:t xml:space="preserve"> by peer vaccinators. Nationally there was a requirement to move to N</w:t>
      </w:r>
      <w:r>
        <w:rPr>
          <w:rFonts w:ascii="Calibri" w:hAnsi="Calibri"/>
          <w:color w:val="auto"/>
        </w:rPr>
        <w:t xml:space="preserve">ational </w:t>
      </w:r>
      <w:r w:rsidR="00393409">
        <w:rPr>
          <w:rFonts w:ascii="Calibri" w:hAnsi="Calibri"/>
          <w:color w:val="auto"/>
        </w:rPr>
        <w:t>I</w:t>
      </w:r>
      <w:r>
        <w:rPr>
          <w:rFonts w:ascii="Calibri" w:hAnsi="Calibri"/>
          <w:color w:val="auto"/>
        </w:rPr>
        <w:t xml:space="preserve">mmunisation </w:t>
      </w:r>
      <w:r w:rsidR="00393409">
        <w:rPr>
          <w:rFonts w:ascii="Calibri" w:hAnsi="Calibri"/>
          <w:color w:val="auto"/>
        </w:rPr>
        <w:t>V</w:t>
      </w:r>
      <w:r>
        <w:rPr>
          <w:rFonts w:ascii="Calibri" w:hAnsi="Calibri"/>
          <w:color w:val="auto"/>
        </w:rPr>
        <w:t xml:space="preserve">accination </w:t>
      </w:r>
      <w:r w:rsidR="00393409">
        <w:rPr>
          <w:rFonts w:ascii="Calibri" w:hAnsi="Calibri"/>
          <w:color w:val="auto"/>
        </w:rPr>
        <w:t>S</w:t>
      </w:r>
      <w:r>
        <w:rPr>
          <w:rFonts w:ascii="Calibri" w:hAnsi="Calibri"/>
          <w:color w:val="auto"/>
        </w:rPr>
        <w:t>ystem (NIVS)</w:t>
      </w:r>
      <w:r w:rsidR="00393409">
        <w:rPr>
          <w:rFonts w:ascii="Calibri" w:hAnsi="Calibri"/>
          <w:color w:val="auto"/>
        </w:rPr>
        <w:t xml:space="preserve"> as the recording process which does not have a booking </w:t>
      </w:r>
      <w:r w:rsidR="00D406B5">
        <w:rPr>
          <w:rFonts w:ascii="Calibri" w:hAnsi="Calibri"/>
          <w:color w:val="auto"/>
        </w:rPr>
        <w:t>element,</w:t>
      </w:r>
      <w:r w:rsidR="00393409">
        <w:rPr>
          <w:rFonts w:ascii="Calibri" w:hAnsi="Calibri"/>
          <w:color w:val="auto"/>
        </w:rPr>
        <w:t xml:space="preserve"> so clinics were all ‘walk-in’. The opportunity to have the flu vaccination and the Covid booster at the same time has also been provided through the LPT and UHL Hospital Hubs.</w:t>
      </w:r>
    </w:p>
    <w:p w14:paraId="39FBF3E1" w14:textId="0998F8F4" w:rsidR="00393409" w:rsidRDefault="00393409" w:rsidP="00393409">
      <w:pPr>
        <w:spacing w:after="120"/>
        <w:ind w:left="720" w:hanging="720"/>
        <w:rPr>
          <w:sz w:val="24"/>
          <w:szCs w:val="24"/>
        </w:rPr>
      </w:pPr>
      <w:r>
        <w:rPr>
          <w:sz w:val="24"/>
          <w:szCs w:val="24"/>
        </w:rPr>
        <w:t>4.</w:t>
      </w:r>
      <w:r w:rsidR="008E4FD0">
        <w:rPr>
          <w:sz w:val="24"/>
          <w:szCs w:val="24"/>
        </w:rPr>
        <w:t>7</w:t>
      </w:r>
      <w:r>
        <w:rPr>
          <w:sz w:val="24"/>
          <w:szCs w:val="24"/>
        </w:rPr>
        <w:t>        The table below outlines the FHCW uptake by directorate teams up the 22 March 2022.</w:t>
      </w:r>
    </w:p>
    <w:p w14:paraId="4C937092" w14:textId="60283064" w:rsidR="005C3B0F" w:rsidRDefault="005C3B0F" w:rsidP="00393409">
      <w:pPr>
        <w:spacing w:after="120"/>
        <w:ind w:left="720" w:hanging="720"/>
        <w:rPr>
          <w:sz w:val="24"/>
          <w:szCs w:val="24"/>
        </w:rPr>
      </w:pPr>
    </w:p>
    <w:p w14:paraId="00D55468" w14:textId="77777777" w:rsidR="00CC123C" w:rsidRDefault="00CC123C" w:rsidP="00393409">
      <w:pPr>
        <w:spacing w:after="120"/>
        <w:ind w:left="720" w:hanging="720"/>
        <w:rPr>
          <w:sz w:val="24"/>
          <w:szCs w:val="24"/>
        </w:rPr>
      </w:pPr>
    </w:p>
    <w:p w14:paraId="4AB269B9" w14:textId="77777777" w:rsidR="009A5DD3" w:rsidRDefault="009A5DD3" w:rsidP="00393409">
      <w:pPr>
        <w:spacing w:after="120"/>
        <w:ind w:left="720" w:hanging="720"/>
        <w:rPr>
          <w:sz w:val="24"/>
          <w:szCs w:val="24"/>
        </w:rPr>
      </w:pPr>
    </w:p>
    <w:tbl>
      <w:tblPr>
        <w:tblW w:w="9781" w:type="dxa"/>
        <w:tblCellMar>
          <w:left w:w="0" w:type="dxa"/>
          <w:right w:w="0" w:type="dxa"/>
        </w:tblCellMar>
        <w:tblLook w:val="04A0" w:firstRow="1" w:lastRow="0" w:firstColumn="1" w:lastColumn="0" w:noHBand="0" w:noVBand="1"/>
      </w:tblPr>
      <w:tblGrid>
        <w:gridCol w:w="1100"/>
        <w:gridCol w:w="1100"/>
        <w:gridCol w:w="1100"/>
        <w:gridCol w:w="1100"/>
        <w:gridCol w:w="1100"/>
        <w:gridCol w:w="4281"/>
      </w:tblGrid>
      <w:tr w:rsidR="00393409" w14:paraId="2BAAB342" w14:textId="77777777" w:rsidTr="00393409">
        <w:trPr>
          <w:trHeight w:val="470"/>
        </w:trPr>
        <w:tc>
          <w:tcPr>
            <w:tcW w:w="3300" w:type="dxa"/>
            <w:gridSpan w:val="3"/>
            <w:shd w:val="clear" w:color="auto" w:fill="ACB9CA"/>
            <w:noWrap/>
            <w:tcMar>
              <w:top w:w="0" w:type="dxa"/>
              <w:left w:w="108" w:type="dxa"/>
              <w:bottom w:w="0" w:type="dxa"/>
              <w:right w:w="108" w:type="dxa"/>
            </w:tcMar>
            <w:vAlign w:val="bottom"/>
            <w:hideMark/>
          </w:tcPr>
          <w:p w14:paraId="11C7D103" w14:textId="77777777" w:rsidR="00393409" w:rsidRDefault="00393409">
            <w:pPr>
              <w:rPr>
                <w:b/>
                <w:bCs/>
                <w:sz w:val="36"/>
                <w:szCs w:val="36"/>
                <w:lang w:eastAsia="en-GB"/>
              </w:rPr>
            </w:pPr>
            <w:r>
              <w:rPr>
                <w:b/>
                <w:bCs/>
                <w:color w:val="000000"/>
                <w:sz w:val="36"/>
                <w:szCs w:val="36"/>
                <w:lang w:eastAsia="en-GB"/>
              </w:rPr>
              <w:lastRenderedPageBreak/>
              <w:t>By Directorate</w:t>
            </w:r>
          </w:p>
        </w:tc>
        <w:tc>
          <w:tcPr>
            <w:tcW w:w="1100" w:type="dxa"/>
            <w:shd w:val="clear" w:color="auto" w:fill="ACB9CA"/>
            <w:noWrap/>
            <w:tcMar>
              <w:top w:w="0" w:type="dxa"/>
              <w:left w:w="108" w:type="dxa"/>
              <w:bottom w:w="0" w:type="dxa"/>
              <w:right w:w="108" w:type="dxa"/>
            </w:tcMar>
            <w:vAlign w:val="bottom"/>
            <w:hideMark/>
          </w:tcPr>
          <w:p w14:paraId="39AA2480" w14:textId="77777777" w:rsidR="00393409" w:rsidRDefault="00393409">
            <w:pPr>
              <w:rPr>
                <w:b/>
                <w:bCs/>
                <w:sz w:val="36"/>
                <w:szCs w:val="36"/>
                <w:lang w:eastAsia="en-GB"/>
              </w:rPr>
            </w:pPr>
            <w:r>
              <w:rPr>
                <w:b/>
                <w:bCs/>
                <w:color w:val="000000"/>
                <w:sz w:val="36"/>
                <w:szCs w:val="36"/>
                <w:lang w:eastAsia="en-GB"/>
              </w:rPr>
              <w:t> </w:t>
            </w:r>
          </w:p>
        </w:tc>
        <w:tc>
          <w:tcPr>
            <w:tcW w:w="1100" w:type="dxa"/>
            <w:shd w:val="clear" w:color="auto" w:fill="ACB9CA"/>
            <w:noWrap/>
            <w:tcMar>
              <w:top w:w="0" w:type="dxa"/>
              <w:left w:w="108" w:type="dxa"/>
              <w:bottom w:w="0" w:type="dxa"/>
              <w:right w:w="108" w:type="dxa"/>
            </w:tcMar>
            <w:vAlign w:val="bottom"/>
            <w:hideMark/>
          </w:tcPr>
          <w:p w14:paraId="4F47161F" w14:textId="77777777" w:rsidR="00393409" w:rsidRDefault="00393409">
            <w:pPr>
              <w:rPr>
                <w:b/>
                <w:bCs/>
                <w:sz w:val="36"/>
                <w:szCs w:val="36"/>
                <w:lang w:eastAsia="en-GB"/>
              </w:rPr>
            </w:pPr>
            <w:r>
              <w:rPr>
                <w:b/>
                <w:bCs/>
                <w:color w:val="000000"/>
                <w:sz w:val="36"/>
                <w:szCs w:val="36"/>
                <w:lang w:eastAsia="en-GB"/>
              </w:rPr>
              <w:t> </w:t>
            </w:r>
          </w:p>
        </w:tc>
        <w:tc>
          <w:tcPr>
            <w:tcW w:w="4281" w:type="dxa"/>
            <w:shd w:val="clear" w:color="auto" w:fill="ACB9CA"/>
            <w:noWrap/>
            <w:tcMar>
              <w:top w:w="0" w:type="dxa"/>
              <w:left w:w="108" w:type="dxa"/>
              <w:bottom w:w="0" w:type="dxa"/>
              <w:right w:w="108" w:type="dxa"/>
            </w:tcMar>
            <w:vAlign w:val="bottom"/>
            <w:hideMark/>
          </w:tcPr>
          <w:p w14:paraId="75287202" w14:textId="77777777" w:rsidR="00393409" w:rsidRDefault="00393409">
            <w:pPr>
              <w:rPr>
                <w:b/>
                <w:bCs/>
                <w:sz w:val="36"/>
                <w:szCs w:val="36"/>
                <w:lang w:eastAsia="en-GB"/>
              </w:rPr>
            </w:pPr>
            <w:r>
              <w:rPr>
                <w:b/>
                <w:bCs/>
                <w:color w:val="000000"/>
                <w:sz w:val="36"/>
                <w:szCs w:val="36"/>
                <w:lang w:eastAsia="en-GB"/>
              </w:rPr>
              <w:t> </w:t>
            </w:r>
          </w:p>
        </w:tc>
      </w:tr>
      <w:tr w:rsidR="00393409" w14:paraId="5DB3A51B" w14:textId="77777777" w:rsidTr="00393409">
        <w:trPr>
          <w:trHeight w:val="290"/>
        </w:trPr>
        <w:tc>
          <w:tcPr>
            <w:tcW w:w="1100" w:type="dxa"/>
            <w:noWrap/>
            <w:tcMar>
              <w:top w:w="0" w:type="dxa"/>
              <w:left w:w="108" w:type="dxa"/>
              <w:bottom w:w="0" w:type="dxa"/>
              <w:right w:w="108" w:type="dxa"/>
            </w:tcMar>
            <w:vAlign w:val="bottom"/>
            <w:hideMark/>
          </w:tcPr>
          <w:p w14:paraId="45D5FDDB" w14:textId="77777777" w:rsidR="00393409" w:rsidRDefault="00393409">
            <w:pPr>
              <w:rPr>
                <w:rFonts w:ascii="Times New Roman" w:eastAsia="Times New Roman" w:hAnsi="Times New Roman" w:cs="Times New Roman"/>
                <w:sz w:val="20"/>
                <w:szCs w:val="20"/>
                <w:lang w:eastAsia="en-GB"/>
              </w:rPr>
            </w:pPr>
          </w:p>
        </w:tc>
        <w:tc>
          <w:tcPr>
            <w:tcW w:w="1100" w:type="dxa"/>
            <w:noWrap/>
            <w:tcMar>
              <w:top w:w="0" w:type="dxa"/>
              <w:left w:w="108" w:type="dxa"/>
              <w:bottom w:w="0" w:type="dxa"/>
              <w:right w:w="108" w:type="dxa"/>
            </w:tcMar>
            <w:vAlign w:val="bottom"/>
            <w:hideMark/>
          </w:tcPr>
          <w:p w14:paraId="3D789F30" w14:textId="77777777" w:rsidR="00393409" w:rsidRDefault="00393409">
            <w:pPr>
              <w:rPr>
                <w:rFonts w:ascii="Times New Roman" w:eastAsia="Times New Roman" w:hAnsi="Times New Roman" w:cs="Times New Roman"/>
                <w:sz w:val="20"/>
                <w:szCs w:val="20"/>
                <w:lang w:eastAsia="en-GB"/>
              </w:rPr>
            </w:pPr>
          </w:p>
        </w:tc>
        <w:tc>
          <w:tcPr>
            <w:tcW w:w="1100" w:type="dxa"/>
            <w:noWrap/>
            <w:tcMar>
              <w:top w:w="0" w:type="dxa"/>
              <w:left w:w="108" w:type="dxa"/>
              <w:bottom w:w="0" w:type="dxa"/>
              <w:right w:w="108" w:type="dxa"/>
            </w:tcMar>
            <w:vAlign w:val="bottom"/>
            <w:hideMark/>
          </w:tcPr>
          <w:p w14:paraId="577FCC1A" w14:textId="77777777" w:rsidR="00393409" w:rsidRDefault="00393409">
            <w:pPr>
              <w:rPr>
                <w:rFonts w:ascii="Times New Roman" w:eastAsia="Times New Roman" w:hAnsi="Times New Roman" w:cs="Times New Roman"/>
                <w:sz w:val="20"/>
                <w:szCs w:val="20"/>
                <w:lang w:eastAsia="en-GB"/>
              </w:rPr>
            </w:pPr>
          </w:p>
        </w:tc>
        <w:tc>
          <w:tcPr>
            <w:tcW w:w="1100" w:type="dxa"/>
            <w:noWrap/>
            <w:tcMar>
              <w:top w:w="0" w:type="dxa"/>
              <w:left w:w="108" w:type="dxa"/>
              <w:bottom w:w="0" w:type="dxa"/>
              <w:right w:w="108" w:type="dxa"/>
            </w:tcMar>
            <w:vAlign w:val="bottom"/>
            <w:hideMark/>
          </w:tcPr>
          <w:p w14:paraId="5CC5EF37" w14:textId="77777777" w:rsidR="00393409" w:rsidRDefault="00393409">
            <w:pPr>
              <w:rPr>
                <w:rFonts w:ascii="Times New Roman" w:eastAsia="Times New Roman" w:hAnsi="Times New Roman" w:cs="Times New Roman"/>
                <w:sz w:val="20"/>
                <w:szCs w:val="20"/>
                <w:lang w:eastAsia="en-GB"/>
              </w:rPr>
            </w:pPr>
          </w:p>
        </w:tc>
        <w:tc>
          <w:tcPr>
            <w:tcW w:w="5381" w:type="dxa"/>
            <w:gridSpan w:val="2"/>
            <w:tcBorders>
              <w:top w:val="single" w:sz="8" w:space="0" w:color="808080"/>
              <w:left w:val="nil"/>
              <w:bottom w:val="single" w:sz="8" w:space="0" w:color="808080"/>
              <w:right w:val="single" w:sz="8" w:space="0" w:color="808080"/>
            </w:tcBorders>
            <w:shd w:val="clear" w:color="auto" w:fill="ACB9CA"/>
            <w:noWrap/>
            <w:tcMar>
              <w:top w:w="0" w:type="dxa"/>
              <w:left w:w="108" w:type="dxa"/>
              <w:bottom w:w="0" w:type="dxa"/>
              <w:right w:w="108" w:type="dxa"/>
            </w:tcMar>
            <w:vAlign w:val="bottom"/>
            <w:hideMark/>
          </w:tcPr>
          <w:p w14:paraId="3076EECB" w14:textId="77777777" w:rsidR="00393409" w:rsidRDefault="00393409">
            <w:pPr>
              <w:jc w:val="center"/>
              <w:rPr>
                <w:rFonts w:ascii="Calibri" w:hAnsi="Calibri" w:cs="Calibri"/>
                <w:b/>
                <w:bCs/>
                <w:color w:val="FFFFFF"/>
                <w:sz w:val="18"/>
                <w:szCs w:val="18"/>
                <w:lang w:eastAsia="en-GB"/>
              </w:rPr>
            </w:pPr>
            <w:r>
              <w:rPr>
                <w:b/>
                <w:bCs/>
                <w:color w:val="FFFFFF"/>
                <w:sz w:val="18"/>
                <w:szCs w:val="18"/>
                <w:lang w:eastAsia="en-GB"/>
              </w:rPr>
              <w:t>Influenza</w:t>
            </w:r>
          </w:p>
        </w:tc>
      </w:tr>
      <w:tr w:rsidR="00393409" w14:paraId="5B38F585" w14:textId="77777777" w:rsidTr="00393409">
        <w:trPr>
          <w:trHeight w:val="480"/>
        </w:trPr>
        <w:tc>
          <w:tcPr>
            <w:tcW w:w="1100" w:type="dxa"/>
            <w:tcBorders>
              <w:top w:val="single" w:sz="8" w:space="0" w:color="808080"/>
              <w:left w:val="single" w:sz="8" w:space="0" w:color="808080"/>
              <w:bottom w:val="single" w:sz="8" w:space="0" w:color="808080"/>
              <w:right w:val="nil"/>
            </w:tcBorders>
            <w:shd w:val="clear" w:color="auto" w:fill="ACB9CA"/>
            <w:tcMar>
              <w:top w:w="0" w:type="dxa"/>
              <w:left w:w="108" w:type="dxa"/>
              <w:bottom w:w="0" w:type="dxa"/>
              <w:right w:w="108" w:type="dxa"/>
            </w:tcMar>
            <w:vAlign w:val="center"/>
            <w:hideMark/>
          </w:tcPr>
          <w:p w14:paraId="4FD1E1F6" w14:textId="77777777" w:rsidR="00393409" w:rsidRDefault="00393409">
            <w:pPr>
              <w:rPr>
                <w:b/>
                <w:bCs/>
                <w:sz w:val="18"/>
                <w:szCs w:val="18"/>
                <w:lang w:eastAsia="en-GB"/>
              </w:rPr>
            </w:pPr>
            <w:r>
              <w:rPr>
                <w:b/>
                <w:bCs/>
                <w:color w:val="000000"/>
                <w:sz w:val="18"/>
                <w:szCs w:val="18"/>
                <w:lang w:eastAsia="en-GB"/>
              </w:rPr>
              <w:t>Directorate</w:t>
            </w:r>
          </w:p>
        </w:tc>
        <w:tc>
          <w:tcPr>
            <w:tcW w:w="1100" w:type="dxa"/>
            <w:tcBorders>
              <w:top w:val="single" w:sz="8" w:space="0" w:color="808080"/>
              <w:left w:val="nil"/>
              <w:bottom w:val="single" w:sz="8" w:space="0" w:color="808080"/>
              <w:right w:val="nil"/>
            </w:tcBorders>
            <w:shd w:val="clear" w:color="auto" w:fill="ACB9CA"/>
            <w:tcMar>
              <w:top w:w="0" w:type="dxa"/>
              <w:left w:w="108" w:type="dxa"/>
              <w:bottom w:w="0" w:type="dxa"/>
              <w:right w:w="108" w:type="dxa"/>
            </w:tcMar>
            <w:vAlign w:val="center"/>
            <w:hideMark/>
          </w:tcPr>
          <w:p w14:paraId="41D67C73" w14:textId="77777777" w:rsidR="00393409" w:rsidRDefault="00393409">
            <w:pPr>
              <w:rPr>
                <w:b/>
                <w:bCs/>
                <w:sz w:val="18"/>
                <w:szCs w:val="18"/>
                <w:lang w:eastAsia="en-GB"/>
              </w:rPr>
            </w:pPr>
            <w:r>
              <w:rPr>
                <w:b/>
                <w:bCs/>
                <w:color w:val="000000"/>
                <w:sz w:val="18"/>
                <w:szCs w:val="18"/>
                <w:lang w:eastAsia="en-GB"/>
              </w:rPr>
              <w:t> </w:t>
            </w:r>
          </w:p>
        </w:tc>
        <w:tc>
          <w:tcPr>
            <w:tcW w:w="1100" w:type="dxa"/>
            <w:tcBorders>
              <w:top w:val="single" w:sz="8" w:space="0" w:color="808080"/>
              <w:left w:val="nil"/>
              <w:bottom w:val="single" w:sz="8" w:space="0" w:color="808080"/>
              <w:right w:val="single" w:sz="8" w:space="0" w:color="808080"/>
            </w:tcBorders>
            <w:shd w:val="clear" w:color="auto" w:fill="ACB9CA"/>
            <w:tcMar>
              <w:top w:w="0" w:type="dxa"/>
              <w:left w:w="108" w:type="dxa"/>
              <w:bottom w:w="0" w:type="dxa"/>
              <w:right w:w="108" w:type="dxa"/>
            </w:tcMar>
            <w:vAlign w:val="center"/>
            <w:hideMark/>
          </w:tcPr>
          <w:p w14:paraId="5C7118B3" w14:textId="77777777" w:rsidR="00393409" w:rsidRDefault="00393409">
            <w:pPr>
              <w:rPr>
                <w:b/>
                <w:bCs/>
                <w:sz w:val="18"/>
                <w:szCs w:val="18"/>
                <w:lang w:eastAsia="en-GB"/>
              </w:rPr>
            </w:pPr>
            <w:r>
              <w:rPr>
                <w:b/>
                <w:bCs/>
                <w:color w:val="000000"/>
                <w:sz w:val="18"/>
                <w:szCs w:val="18"/>
                <w:lang w:eastAsia="en-GB"/>
              </w:rPr>
              <w:t> </w:t>
            </w:r>
          </w:p>
        </w:tc>
        <w:tc>
          <w:tcPr>
            <w:tcW w:w="1100" w:type="dxa"/>
            <w:tcBorders>
              <w:top w:val="single" w:sz="8" w:space="0" w:color="808080"/>
              <w:left w:val="nil"/>
              <w:bottom w:val="single" w:sz="8" w:space="0" w:color="808080"/>
              <w:right w:val="single" w:sz="8" w:space="0" w:color="808080"/>
            </w:tcBorders>
            <w:shd w:val="clear" w:color="auto" w:fill="ACB9CA"/>
            <w:tcMar>
              <w:top w:w="0" w:type="dxa"/>
              <w:left w:w="108" w:type="dxa"/>
              <w:bottom w:w="0" w:type="dxa"/>
              <w:right w:w="108" w:type="dxa"/>
            </w:tcMar>
            <w:vAlign w:val="center"/>
            <w:hideMark/>
          </w:tcPr>
          <w:p w14:paraId="79CD6B75" w14:textId="77777777" w:rsidR="00393409" w:rsidRDefault="00393409">
            <w:pPr>
              <w:jc w:val="center"/>
              <w:rPr>
                <w:b/>
                <w:bCs/>
                <w:color w:val="000000"/>
                <w:sz w:val="18"/>
                <w:szCs w:val="18"/>
                <w:lang w:eastAsia="en-GB"/>
              </w:rPr>
            </w:pPr>
            <w:r>
              <w:rPr>
                <w:b/>
                <w:bCs/>
                <w:color w:val="000000"/>
                <w:sz w:val="18"/>
                <w:szCs w:val="18"/>
                <w:lang w:eastAsia="en-GB"/>
              </w:rPr>
              <w:t>No. staff</w:t>
            </w:r>
          </w:p>
        </w:tc>
        <w:tc>
          <w:tcPr>
            <w:tcW w:w="1100" w:type="dxa"/>
            <w:tcBorders>
              <w:top w:val="nil"/>
              <w:left w:val="nil"/>
              <w:bottom w:val="single" w:sz="8" w:space="0" w:color="808080"/>
              <w:right w:val="single" w:sz="8" w:space="0" w:color="808080"/>
            </w:tcBorders>
            <w:shd w:val="clear" w:color="auto" w:fill="ACB9CA"/>
            <w:tcMar>
              <w:top w:w="0" w:type="dxa"/>
              <w:left w:w="108" w:type="dxa"/>
              <w:bottom w:w="0" w:type="dxa"/>
              <w:right w:w="108" w:type="dxa"/>
            </w:tcMar>
            <w:vAlign w:val="center"/>
            <w:hideMark/>
          </w:tcPr>
          <w:p w14:paraId="58A05EF0" w14:textId="77777777" w:rsidR="00393409" w:rsidRDefault="00393409">
            <w:pPr>
              <w:jc w:val="center"/>
              <w:rPr>
                <w:b/>
                <w:bCs/>
                <w:color w:val="000000"/>
                <w:sz w:val="18"/>
                <w:szCs w:val="18"/>
                <w:lang w:eastAsia="en-GB"/>
              </w:rPr>
            </w:pPr>
            <w:r>
              <w:rPr>
                <w:b/>
                <w:bCs/>
                <w:color w:val="000000"/>
                <w:sz w:val="18"/>
                <w:szCs w:val="18"/>
                <w:lang w:eastAsia="en-GB"/>
              </w:rPr>
              <w:t>1 dose</w:t>
            </w:r>
          </w:p>
        </w:tc>
        <w:tc>
          <w:tcPr>
            <w:tcW w:w="4281" w:type="dxa"/>
            <w:tcBorders>
              <w:top w:val="nil"/>
              <w:left w:val="nil"/>
              <w:bottom w:val="single" w:sz="8" w:space="0" w:color="808080"/>
              <w:right w:val="single" w:sz="8" w:space="0" w:color="808080"/>
            </w:tcBorders>
            <w:shd w:val="clear" w:color="auto" w:fill="ACB9CA"/>
            <w:tcMar>
              <w:top w:w="0" w:type="dxa"/>
              <w:left w:w="108" w:type="dxa"/>
              <w:bottom w:w="0" w:type="dxa"/>
              <w:right w:w="108" w:type="dxa"/>
            </w:tcMar>
            <w:vAlign w:val="center"/>
            <w:hideMark/>
          </w:tcPr>
          <w:p w14:paraId="1B670BB6" w14:textId="77777777" w:rsidR="00393409" w:rsidRDefault="00393409">
            <w:pPr>
              <w:jc w:val="center"/>
              <w:rPr>
                <w:b/>
                <w:bCs/>
                <w:color w:val="000000"/>
                <w:sz w:val="18"/>
                <w:szCs w:val="18"/>
                <w:lang w:eastAsia="en-GB"/>
              </w:rPr>
            </w:pPr>
            <w:r>
              <w:rPr>
                <w:b/>
                <w:bCs/>
                <w:color w:val="000000"/>
                <w:sz w:val="18"/>
                <w:szCs w:val="18"/>
                <w:lang w:eastAsia="en-GB"/>
              </w:rPr>
              <w:t>Vaccine Uptake (%)</w:t>
            </w:r>
          </w:p>
        </w:tc>
      </w:tr>
      <w:tr w:rsidR="00393409" w14:paraId="08D0C808" w14:textId="77777777" w:rsidTr="00393409">
        <w:trPr>
          <w:trHeight w:val="290"/>
        </w:trPr>
        <w:tc>
          <w:tcPr>
            <w:tcW w:w="1100" w:type="dxa"/>
            <w:tcBorders>
              <w:top w:val="nil"/>
              <w:left w:val="single" w:sz="8" w:space="0" w:color="808080"/>
              <w:bottom w:val="single" w:sz="8" w:space="0" w:color="808080"/>
              <w:right w:val="nil"/>
            </w:tcBorders>
            <w:shd w:val="clear" w:color="auto" w:fill="FFFFFF"/>
            <w:noWrap/>
            <w:tcMar>
              <w:top w:w="0" w:type="dxa"/>
              <w:left w:w="108" w:type="dxa"/>
              <w:bottom w:w="0" w:type="dxa"/>
              <w:right w:w="108" w:type="dxa"/>
            </w:tcMar>
            <w:vAlign w:val="center"/>
            <w:hideMark/>
          </w:tcPr>
          <w:p w14:paraId="332FD632" w14:textId="77777777" w:rsidR="00393409" w:rsidRDefault="00393409">
            <w:pPr>
              <w:rPr>
                <w:color w:val="000000"/>
                <w:sz w:val="18"/>
                <w:szCs w:val="18"/>
                <w:lang w:eastAsia="en-GB"/>
              </w:rPr>
            </w:pPr>
            <w:r>
              <w:rPr>
                <w:color w:val="000000"/>
                <w:sz w:val="18"/>
                <w:szCs w:val="18"/>
                <w:lang w:eastAsia="en-GB"/>
              </w:rPr>
              <w:t>Bank</w:t>
            </w:r>
          </w:p>
        </w:tc>
        <w:tc>
          <w:tcPr>
            <w:tcW w:w="1100" w:type="dxa"/>
            <w:tcBorders>
              <w:top w:val="nil"/>
              <w:left w:val="nil"/>
              <w:bottom w:val="single" w:sz="8" w:space="0" w:color="808080"/>
              <w:right w:val="nil"/>
            </w:tcBorders>
            <w:shd w:val="clear" w:color="auto" w:fill="FFFFFF"/>
            <w:noWrap/>
            <w:tcMar>
              <w:top w:w="0" w:type="dxa"/>
              <w:left w:w="108" w:type="dxa"/>
              <w:bottom w:w="0" w:type="dxa"/>
              <w:right w:w="108" w:type="dxa"/>
            </w:tcMar>
            <w:vAlign w:val="center"/>
            <w:hideMark/>
          </w:tcPr>
          <w:p w14:paraId="4D38FEB3" w14:textId="77777777" w:rsidR="00393409" w:rsidRDefault="00393409">
            <w:pPr>
              <w:rPr>
                <w:color w:val="000000"/>
                <w:sz w:val="18"/>
                <w:szCs w:val="18"/>
                <w:lang w:eastAsia="en-GB"/>
              </w:rPr>
            </w:pPr>
            <w:r>
              <w:rPr>
                <w:color w:val="000000"/>
                <w:sz w:val="18"/>
                <w:szCs w:val="18"/>
                <w:lang w:eastAsia="en-GB"/>
              </w:rPr>
              <w:t> </w:t>
            </w:r>
          </w:p>
        </w:tc>
        <w:tc>
          <w:tcPr>
            <w:tcW w:w="1100"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1E8FFE42" w14:textId="77777777" w:rsidR="00393409" w:rsidRDefault="00393409">
            <w:pPr>
              <w:rPr>
                <w:color w:val="000000"/>
                <w:sz w:val="18"/>
                <w:szCs w:val="18"/>
                <w:lang w:eastAsia="en-GB"/>
              </w:rPr>
            </w:pPr>
            <w:r>
              <w:rPr>
                <w:color w:val="000000"/>
                <w:sz w:val="18"/>
                <w:szCs w:val="18"/>
                <w:lang w:eastAsia="en-GB"/>
              </w:rPr>
              <w:t> </w:t>
            </w:r>
          </w:p>
        </w:tc>
        <w:tc>
          <w:tcPr>
            <w:tcW w:w="1100"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1519ECAA" w14:textId="77777777" w:rsidR="00393409" w:rsidRDefault="00393409">
            <w:pPr>
              <w:jc w:val="center"/>
              <w:rPr>
                <w:color w:val="000000"/>
                <w:sz w:val="18"/>
                <w:szCs w:val="18"/>
                <w:lang w:eastAsia="en-GB"/>
              </w:rPr>
            </w:pPr>
            <w:r>
              <w:rPr>
                <w:color w:val="000000"/>
                <w:sz w:val="18"/>
                <w:szCs w:val="18"/>
                <w:lang w:eastAsia="en-GB"/>
              </w:rPr>
              <w:t>1077</w:t>
            </w:r>
          </w:p>
        </w:tc>
        <w:tc>
          <w:tcPr>
            <w:tcW w:w="1100"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1E990290" w14:textId="77777777" w:rsidR="00393409" w:rsidRDefault="00393409">
            <w:pPr>
              <w:jc w:val="center"/>
              <w:rPr>
                <w:color w:val="000000"/>
                <w:sz w:val="18"/>
                <w:szCs w:val="18"/>
                <w:lang w:eastAsia="en-GB"/>
              </w:rPr>
            </w:pPr>
            <w:r>
              <w:rPr>
                <w:color w:val="000000"/>
                <w:sz w:val="18"/>
                <w:szCs w:val="18"/>
                <w:lang w:eastAsia="en-GB"/>
              </w:rPr>
              <w:t>491</w:t>
            </w:r>
          </w:p>
        </w:tc>
        <w:tc>
          <w:tcPr>
            <w:tcW w:w="4281"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6F0408C1" w14:textId="77777777" w:rsidR="00393409" w:rsidRDefault="00393409">
            <w:pPr>
              <w:jc w:val="center"/>
              <w:rPr>
                <w:color w:val="000000"/>
                <w:sz w:val="18"/>
                <w:szCs w:val="18"/>
                <w:lang w:eastAsia="en-GB"/>
              </w:rPr>
            </w:pPr>
            <w:r>
              <w:rPr>
                <w:color w:val="000000"/>
                <w:sz w:val="18"/>
                <w:szCs w:val="18"/>
                <w:lang w:eastAsia="en-GB"/>
              </w:rPr>
              <w:t>45.6%</w:t>
            </w:r>
          </w:p>
        </w:tc>
      </w:tr>
      <w:tr w:rsidR="00393409" w14:paraId="0B208FD2" w14:textId="77777777" w:rsidTr="00393409">
        <w:trPr>
          <w:trHeight w:val="290"/>
        </w:trPr>
        <w:tc>
          <w:tcPr>
            <w:tcW w:w="1100" w:type="dxa"/>
            <w:tcBorders>
              <w:top w:val="nil"/>
              <w:left w:val="single" w:sz="8" w:space="0" w:color="808080"/>
              <w:bottom w:val="single" w:sz="8" w:space="0" w:color="808080"/>
              <w:right w:val="nil"/>
            </w:tcBorders>
            <w:shd w:val="clear" w:color="auto" w:fill="FFFFFF"/>
            <w:noWrap/>
            <w:tcMar>
              <w:top w:w="0" w:type="dxa"/>
              <w:left w:w="108" w:type="dxa"/>
              <w:bottom w:w="0" w:type="dxa"/>
              <w:right w:w="108" w:type="dxa"/>
            </w:tcMar>
            <w:vAlign w:val="center"/>
            <w:hideMark/>
          </w:tcPr>
          <w:p w14:paraId="4C968E62" w14:textId="77777777" w:rsidR="00393409" w:rsidRDefault="00393409">
            <w:pPr>
              <w:rPr>
                <w:color w:val="000000"/>
                <w:sz w:val="18"/>
                <w:szCs w:val="18"/>
                <w:lang w:eastAsia="en-GB"/>
              </w:rPr>
            </w:pPr>
            <w:r>
              <w:rPr>
                <w:color w:val="000000"/>
                <w:sz w:val="18"/>
                <w:szCs w:val="18"/>
                <w:lang w:eastAsia="en-GB"/>
              </w:rPr>
              <w:t>CHS</w:t>
            </w:r>
          </w:p>
        </w:tc>
        <w:tc>
          <w:tcPr>
            <w:tcW w:w="1100" w:type="dxa"/>
            <w:tcBorders>
              <w:top w:val="nil"/>
              <w:left w:val="nil"/>
              <w:bottom w:val="single" w:sz="8" w:space="0" w:color="808080"/>
              <w:right w:val="nil"/>
            </w:tcBorders>
            <w:shd w:val="clear" w:color="auto" w:fill="FFFFFF"/>
            <w:noWrap/>
            <w:tcMar>
              <w:top w:w="0" w:type="dxa"/>
              <w:left w:w="108" w:type="dxa"/>
              <w:bottom w:w="0" w:type="dxa"/>
              <w:right w:w="108" w:type="dxa"/>
            </w:tcMar>
            <w:vAlign w:val="center"/>
            <w:hideMark/>
          </w:tcPr>
          <w:p w14:paraId="46E11746" w14:textId="77777777" w:rsidR="00393409" w:rsidRDefault="00393409">
            <w:pPr>
              <w:rPr>
                <w:color w:val="000000"/>
                <w:sz w:val="18"/>
                <w:szCs w:val="18"/>
                <w:lang w:eastAsia="en-GB"/>
              </w:rPr>
            </w:pPr>
            <w:r>
              <w:rPr>
                <w:color w:val="000000"/>
                <w:sz w:val="18"/>
                <w:szCs w:val="18"/>
                <w:lang w:eastAsia="en-GB"/>
              </w:rPr>
              <w:t> </w:t>
            </w:r>
          </w:p>
        </w:tc>
        <w:tc>
          <w:tcPr>
            <w:tcW w:w="1100"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4446B1D2" w14:textId="77777777" w:rsidR="00393409" w:rsidRDefault="00393409">
            <w:pPr>
              <w:rPr>
                <w:color w:val="000000"/>
                <w:sz w:val="18"/>
                <w:szCs w:val="18"/>
                <w:lang w:eastAsia="en-GB"/>
              </w:rPr>
            </w:pPr>
            <w:r>
              <w:rPr>
                <w:color w:val="000000"/>
                <w:sz w:val="18"/>
                <w:szCs w:val="18"/>
                <w:lang w:eastAsia="en-GB"/>
              </w:rPr>
              <w:t> </w:t>
            </w:r>
          </w:p>
        </w:tc>
        <w:tc>
          <w:tcPr>
            <w:tcW w:w="1100"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67209383" w14:textId="77777777" w:rsidR="00393409" w:rsidRDefault="00393409">
            <w:pPr>
              <w:jc w:val="center"/>
              <w:rPr>
                <w:color w:val="000000"/>
                <w:sz w:val="18"/>
                <w:szCs w:val="18"/>
                <w:lang w:eastAsia="en-GB"/>
              </w:rPr>
            </w:pPr>
            <w:r>
              <w:rPr>
                <w:color w:val="000000"/>
                <w:sz w:val="18"/>
                <w:szCs w:val="18"/>
                <w:lang w:eastAsia="en-GB"/>
              </w:rPr>
              <w:t>1713</w:t>
            </w:r>
          </w:p>
        </w:tc>
        <w:tc>
          <w:tcPr>
            <w:tcW w:w="1100"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67C7FAB4" w14:textId="77777777" w:rsidR="00393409" w:rsidRDefault="00393409">
            <w:pPr>
              <w:jc w:val="center"/>
              <w:rPr>
                <w:color w:val="000000"/>
                <w:sz w:val="18"/>
                <w:szCs w:val="18"/>
                <w:lang w:eastAsia="en-GB"/>
              </w:rPr>
            </w:pPr>
            <w:r>
              <w:rPr>
                <w:color w:val="000000"/>
                <w:sz w:val="18"/>
                <w:szCs w:val="18"/>
                <w:lang w:eastAsia="en-GB"/>
              </w:rPr>
              <w:t>1149</w:t>
            </w:r>
          </w:p>
        </w:tc>
        <w:tc>
          <w:tcPr>
            <w:tcW w:w="4281"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7DE9BDBA" w14:textId="77777777" w:rsidR="00393409" w:rsidRDefault="00393409">
            <w:pPr>
              <w:jc w:val="center"/>
              <w:rPr>
                <w:color w:val="000000"/>
                <w:sz w:val="18"/>
                <w:szCs w:val="18"/>
                <w:lang w:eastAsia="en-GB"/>
              </w:rPr>
            </w:pPr>
            <w:r>
              <w:rPr>
                <w:color w:val="000000"/>
                <w:sz w:val="18"/>
                <w:szCs w:val="18"/>
                <w:lang w:eastAsia="en-GB"/>
              </w:rPr>
              <w:t>67.1%</w:t>
            </w:r>
          </w:p>
        </w:tc>
      </w:tr>
      <w:tr w:rsidR="00393409" w14:paraId="704A7EE5" w14:textId="77777777" w:rsidTr="00393409">
        <w:trPr>
          <w:trHeight w:val="290"/>
        </w:trPr>
        <w:tc>
          <w:tcPr>
            <w:tcW w:w="2200" w:type="dxa"/>
            <w:gridSpan w:val="2"/>
            <w:tcBorders>
              <w:top w:val="nil"/>
              <w:left w:val="single" w:sz="8" w:space="0" w:color="808080"/>
              <w:bottom w:val="single" w:sz="8" w:space="0" w:color="808080"/>
              <w:right w:val="nil"/>
            </w:tcBorders>
            <w:shd w:val="clear" w:color="auto" w:fill="FFFFFF"/>
            <w:noWrap/>
            <w:tcMar>
              <w:top w:w="0" w:type="dxa"/>
              <w:left w:w="108" w:type="dxa"/>
              <w:bottom w:w="0" w:type="dxa"/>
              <w:right w:w="108" w:type="dxa"/>
            </w:tcMar>
            <w:vAlign w:val="center"/>
            <w:hideMark/>
          </w:tcPr>
          <w:p w14:paraId="7B3A1984" w14:textId="77777777" w:rsidR="00393409" w:rsidRDefault="00393409">
            <w:pPr>
              <w:rPr>
                <w:color w:val="000000"/>
                <w:sz w:val="18"/>
                <w:szCs w:val="18"/>
                <w:lang w:eastAsia="en-GB"/>
              </w:rPr>
            </w:pPr>
            <w:r>
              <w:rPr>
                <w:color w:val="000000"/>
                <w:sz w:val="18"/>
                <w:szCs w:val="18"/>
                <w:lang w:eastAsia="en-GB"/>
              </w:rPr>
              <w:t>Enabling Services</w:t>
            </w:r>
          </w:p>
        </w:tc>
        <w:tc>
          <w:tcPr>
            <w:tcW w:w="1100"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7EF1DFED" w14:textId="77777777" w:rsidR="00393409" w:rsidRDefault="00393409">
            <w:pPr>
              <w:rPr>
                <w:color w:val="000000"/>
                <w:sz w:val="18"/>
                <w:szCs w:val="18"/>
                <w:lang w:eastAsia="en-GB"/>
              </w:rPr>
            </w:pPr>
            <w:r>
              <w:rPr>
                <w:color w:val="000000"/>
                <w:sz w:val="18"/>
                <w:szCs w:val="18"/>
                <w:lang w:eastAsia="en-GB"/>
              </w:rPr>
              <w:t> </w:t>
            </w:r>
          </w:p>
        </w:tc>
        <w:tc>
          <w:tcPr>
            <w:tcW w:w="1100"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2028746C" w14:textId="77777777" w:rsidR="00393409" w:rsidRDefault="00393409">
            <w:pPr>
              <w:jc w:val="center"/>
              <w:rPr>
                <w:color w:val="000000"/>
                <w:sz w:val="18"/>
                <w:szCs w:val="18"/>
                <w:lang w:eastAsia="en-GB"/>
              </w:rPr>
            </w:pPr>
            <w:r>
              <w:rPr>
                <w:color w:val="000000"/>
                <w:sz w:val="18"/>
                <w:szCs w:val="18"/>
                <w:lang w:eastAsia="en-GB"/>
              </w:rPr>
              <w:t>581</w:t>
            </w:r>
          </w:p>
        </w:tc>
        <w:tc>
          <w:tcPr>
            <w:tcW w:w="1100"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4B07074F" w14:textId="77777777" w:rsidR="00393409" w:rsidRDefault="00393409">
            <w:pPr>
              <w:jc w:val="center"/>
              <w:rPr>
                <w:color w:val="000000"/>
                <w:sz w:val="18"/>
                <w:szCs w:val="18"/>
                <w:lang w:eastAsia="en-GB"/>
              </w:rPr>
            </w:pPr>
            <w:r>
              <w:rPr>
                <w:color w:val="000000"/>
                <w:sz w:val="18"/>
                <w:szCs w:val="18"/>
                <w:lang w:eastAsia="en-GB"/>
              </w:rPr>
              <w:t>390</w:t>
            </w:r>
          </w:p>
        </w:tc>
        <w:tc>
          <w:tcPr>
            <w:tcW w:w="4281"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67B044C1" w14:textId="77777777" w:rsidR="00393409" w:rsidRDefault="00393409">
            <w:pPr>
              <w:jc w:val="center"/>
              <w:rPr>
                <w:color w:val="000000"/>
                <w:sz w:val="18"/>
                <w:szCs w:val="18"/>
                <w:lang w:eastAsia="en-GB"/>
              </w:rPr>
            </w:pPr>
            <w:r>
              <w:rPr>
                <w:color w:val="000000"/>
                <w:sz w:val="18"/>
                <w:szCs w:val="18"/>
                <w:lang w:eastAsia="en-GB"/>
              </w:rPr>
              <w:t>67.1%</w:t>
            </w:r>
          </w:p>
        </w:tc>
      </w:tr>
      <w:tr w:rsidR="00393409" w14:paraId="7A59E6B6" w14:textId="77777777" w:rsidTr="00393409">
        <w:trPr>
          <w:trHeight w:val="290"/>
        </w:trPr>
        <w:tc>
          <w:tcPr>
            <w:tcW w:w="1100" w:type="dxa"/>
            <w:tcBorders>
              <w:top w:val="nil"/>
              <w:left w:val="single" w:sz="8" w:space="0" w:color="808080"/>
              <w:bottom w:val="single" w:sz="8" w:space="0" w:color="808080"/>
              <w:right w:val="nil"/>
            </w:tcBorders>
            <w:shd w:val="clear" w:color="auto" w:fill="FFFFFF"/>
            <w:noWrap/>
            <w:tcMar>
              <w:top w:w="0" w:type="dxa"/>
              <w:left w:w="108" w:type="dxa"/>
              <w:bottom w:w="0" w:type="dxa"/>
              <w:right w:w="108" w:type="dxa"/>
            </w:tcMar>
            <w:vAlign w:val="center"/>
            <w:hideMark/>
          </w:tcPr>
          <w:p w14:paraId="74F30EC6" w14:textId="77777777" w:rsidR="00393409" w:rsidRDefault="00393409">
            <w:pPr>
              <w:rPr>
                <w:color w:val="000000"/>
                <w:sz w:val="18"/>
                <w:szCs w:val="18"/>
                <w:lang w:eastAsia="en-GB"/>
              </w:rPr>
            </w:pPr>
            <w:r>
              <w:rPr>
                <w:color w:val="000000"/>
                <w:sz w:val="18"/>
                <w:szCs w:val="18"/>
                <w:lang w:eastAsia="en-GB"/>
              </w:rPr>
              <w:t>FYPC.LD</w:t>
            </w:r>
          </w:p>
        </w:tc>
        <w:tc>
          <w:tcPr>
            <w:tcW w:w="1100" w:type="dxa"/>
            <w:tcBorders>
              <w:top w:val="nil"/>
              <w:left w:val="nil"/>
              <w:bottom w:val="single" w:sz="8" w:space="0" w:color="808080"/>
              <w:right w:val="nil"/>
            </w:tcBorders>
            <w:shd w:val="clear" w:color="auto" w:fill="FFFFFF"/>
            <w:noWrap/>
            <w:tcMar>
              <w:top w:w="0" w:type="dxa"/>
              <w:left w:w="108" w:type="dxa"/>
              <w:bottom w:w="0" w:type="dxa"/>
              <w:right w:w="108" w:type="dxa"/>
            </w:tcMar>
            <w:vAlign w:val="center"/>
            <w:hideMark/>
          </w:tcPr>
          <w:p w14:paraId="2B8ABE3D" w14:textId="77777777" w:rsidR="00393409" w:rsidRDefault="00393409">
            <w:pPr>
              <w:rPr>
                <w:color w:val="000000"/>
                <w:sz w:val="18"/>
                <w:szCs w:val="18"/>
                <w:lang w:eastAsia="en-GB"/>
              </w:rPr>
            </w:pPr>
            <w:r>
              <w:rPr>
                <w:color w:val="000000"/>
                <w:sz w:val="18"/>
                <w:szCs w:val="18"/>
                <w:lang w:eastAsia="en-GB"/>
              </w:rPr>
              <w:t> </w:t>
            </w:r>
          </w:p>
        </w:tc>
        <w:tc>
          <w:tcPr>
            <w:tcW w:w="1100"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04B0EAD4" w14:textId="77777777" w:rsidR="00393409" w:rsidRDefault="00393409">
            <w:pPr>
              <w:rPr>
                <w:color w:val="000000"/>
                <w:sz w:val="18"/>
                <w:szCs w:val="18"/>
                <w:lang w:eastAsia="en-GB"/>
              </w:rPr>
            </w:pPr>
            <w:r>
              <w:rPr>
                <w:color w:val="000000"/>
                <w:sz w:val="18"/>
                <w:szCs w:val="18"/>
                <w:lang w:eastAsia="en-GB"/>
              </w:rPr>
              <w:t> </w:t>
            </w:r>
          </w:p>
        </w:tc>
        <w:tc>
          <w:tcPr>
            <w:tcW w:w="1100"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122D7121" w14:textId="77777777" w:rsidR="00393409" w:rsidRDefault="00393409">
            <w:pPr>
              <w:jc w:val="center"/>
              <w:rPr>
                <w:color w:val="000000"/>
                <w:sz w:val="18"/>
                <w:szCs w:val="18"/>
                <w:lang w:eastAsia="en-GB"/>
              </w:rPr>
            </w:pPr>
            <w:r>
              <w:rPr>
                <w:color w:val="000000"/>
                <w:sz w:val="18"/>
                <w:szCs w:val="18"/>
                <w:lang w:eastAsia="en-GB"/>
              </w:rPr>
              <w:t>1572</w:t>
            </w:r>
          </w:p>
        </w:tc>
        <w:tc>
          <w:tcPr>
            <w:tcW w:w="1100"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7459B59C" w14:textId="77777777" w:rsidR="00393409" w:rsidRDefault="00393409">
            <w:pPr>
              <w:jc w:val="center"/>
              <w:rPr>
                <w:color w:val="000000"/>
                <w:sz w:val="18"/>
                <w:szCs w:val="18"/>
                <w:lang w:eastAsia="en-GB"/>
              </w:rPr>
            </w:pPr>
            <w:r>
              <w:rPr>
                <w:color w:val="000000"/>
                <w:sz w:val="18"/>
                <w:szCs w:val="18"/>
                <w:lang w:eastAsia="en-GB"/>
              </w:rPr>
              <w:t>993</w:t>
            </w:r>
          </w:p>
        </w:tc>
        <w:tc>
          <w:tcPr>
            <w:tcW w:w="4281"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30990B79" w14:textId="77777777" w:rsidR="00393409" w:rsidRDefault="00393409">
            <w:pPr>
              <w:jc w:val="center"/>
              <w:rPr>
                <w:color w:val="000000"/>
                <w:sz w:val="18"/>
                <w:szCs w:val="18"/>
                <w:lang w:eastAsia="en-GB"/>
              </w:rPr>
            </w:pPr>
            <w:r>
              <w:rPr>
                <w:color w:val="000000"/>
                <w:sz w:val="18"/>
                <w:szCs w:val="18"/>
                <w:lang w:eastAsia="en-GB"/>
              </w:rPr>
              <w:t>63.2%</w:t>
            </w:r>
          </w:p>
        </w:tc>
      </w:tr>
      <w:tr w:rsidR="00393409" w14:paraId="26739F4B" w14:textId="77777777" w:rsidTr="00393409">
        <w:trPr>
          <w:trHeight w:val="290"/>
        </w:trPr>
        <w:tc>
          <w:tcPr>
            <w:tcW w:w="2200" w:type="dxa"/>
            <w:gridSpan w:val="2"/>
            <w:tcBorders>
              <w:top w:val="nil"/>
              <w:left w:val="single" w:sz="8" w:space="0" w:color="808080"/>
              <w:bottom w:val="single" w:sz="8" w:space="0" w:color="808080"/>
              <w:right w:val="nil"/>
            </w:tcBorders>
            <w:shd w:val="clear" w:color="auto" w:fill="FFFFFF"/>
            <w:noWrap/>
            <w:tcMar>
              <w:top w:w="0" w:type="dxa"/>
              <w:left w:w="108" w:type="dxa"/>
              <w:bottom w:w="0" w:type="dxa"/>
              <w:right w:w="108" w:type="dxa"/>
            </w:tcMar>
            <w:vAlign w:val="center"/>
            <w:hideMark/>
          </w:tcPr>
          <w:p w14:paraId="65F4D870" w14:textId="77777777" w:rsidR="00393409" w:rsidRDefault="00393409">
            <w:pPr>
              <w:rPr>
                <w:color w:val="000000"/>
                <w:sz w:val="18"/>
                <w:szCs w:val="18"/>
                <w:lang w:eastAsia="en-GB"/>
              </w:rPr>
            </w:pPr>
            <w:r>
              <w:rPr>
                <w:color w:val="000000"/>
                <w:sz w:val="18"/>
                <w:szCs w:val="18"/>
                <w:lang w:eastAsia="en-GB"/>
              </w:rPr>
              <w:t>Hosted Services</w:t>
            </w:r>
          </w:p>
        </w:tc>
        <w:tc>
          <w:tcPr>
            <w:tcW w:w="1100"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7D20387F" w14:textId="77777777" w:rsidR="00393409" w:rsidRDefault="00393409">
            <w:pPr>
              <w:rPr>
                <w:color w:val="000000"/>
                <w:sz w:val="18"/>
                <w:szCs w:val="18"/>
                <w:lang w:eastAsia="en-GB"/>
              </w:rPr>
            </w:pPr>
            <w:r>
              <w:rPr>
                <w:color w:val="000000"/>
                <w:sz w:val="18"/>
                <w:szCs w:val="18"/>
                <w:lang w:eastAsia="en-GB"/>
              </w:rPr>
              <w:t> </w:t>
            </w:r>
          </w:p>
        </w:tc>
        <w:tc>
          <w:tcPr>
            <w:tcW w:w="1100"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58244AFC" w14:textId="77777777" w:rsidR="00393409" w:rsidRDefault="00393409">
            <w:pPr>
              <w:jc w:val="center"/>
              <w:rPr>
                <w:color w:val="000000"/>
                <w:sz w:val="18"/>
                <w:szCs w:val="18"/>
                <w:lang w:eastAsia="en-GB"/>
              </w:rPr>
            </w:pPr>
            <w:r>
              <w:rPr>
                <w:color w:val="000000"/>
                <w:sz w:val="18"/>
                <w:szCs w:val="18"/>
                <w:lang w:eastAsia="en-GB"/>
              </w:rPr>
              <w:t>220</w:t>
            </w:r>
          </w:p>
        </w:tc>
        <w:tc>
          <w:tcPr>
            <w:tcW w:w="1100"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035D804A" w14:textId="77777777" w:rsidR="00393409" w:rsidRDefault="00393409">
            <w:pPr>
              <w:jc w:val="center"/>
              <w:rPr>
                <w:color w:val="000000"/>
                <w:sz w:val="18"/>
                <w:szCs w:val="18"/>
                <w:lang w:eastAsia="en-GB"/>
              </w:rPr>
            </w:pPr>
            <w:r>
              <w:rPr>
                <w:color w:val="000000"/>
                <w:sz w:val="18"/>
                <w:szCs w:val="18"/>
                <w:lang w:eastAsia="en-GB"/>
              </w:rPr>
              <w:t>131</w:t>
            </w:r>
          </w:p>
        </w:tc>
        <w:tc>
          <w:tcPr>
            <w:tcW w:w="4281"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350F4916" w14:textId="77777777" w:rsidR="00393409" w:rsidRDefault="00393409">
            <w:pPr>
              <w:jc w:val="center"/>
              <w:rPr>
                <w:color w:val="000000"/>
                <w:sz w:val="18"/>
                <w:szCs w:val="18"/>
                <w:lang w:eastAsia="en-GB"/>
              </w:rPr>
            </w:pPr>
            <w:r>
              <w:rPr>
                <w:color w:val="000000"/>
                <w:sz w:val="18"/>
                <w:szCs w:val="18"/>
                <w:lang w:eastAsia="en-GB"/>
              </w:rPr>
              <w:t>59.5%</w:t>
            </w:r>
          </w:p>
        </w:tc>
      </w:tr>
      <w:tr w:rsidR="00393409" w14:paraId="5A192F42" w14:textId="77777777" w:rsidTr="00393409">
        <w:trPr>
          <w:trHeight w:val="290"/>
        </w:trPr>
        <w:tc>
          <w:tcPr>
            <w:tcW w:w="2200" w:type="dxa"/>
            <w:gridSpan w:val="2"/>
            <w:tcBorders>
              <w:top w:val="nil"/>
              <w:left w:val="single" w:sz="8" w:space="0" w:color="808080"/>
              <w:bottom w:val="single" w:sz="8" w:space="0" w:color="808080"/>
              <w:right w:val="nil"/>
            </w:tcBorders>
            <w:shd w:val="clear" w:color="auto" w:fill="FFFFFF"/>
            <w:noWrap/>
            <w:tcMar>
              <w:top w:w="0" w:type="dxa"/>
              <w:left w:w="108" w:type="dxa"/>
              <w:bottom w:w="0" w:type="dxa"/>
              <w:right w:w="108" w:type="dxa"/>
            </w:tcMar>
            <w:vAlign w:val="center"/>
            <w:hideMark/>
          </w:tcPr>
          <w:p w14:paraId="3CB2D2F8" w14:textId="77777777" w:rsidR="00393409" w:rsidRDefault="00393409">
            <w:pPr>
              <w:rPr>
                <w:color w:val="000000"/>
                <w:sz w:val="18"/>
                <w:szCs w:val="18"/>
                <w:lang w:eastAsia="en-GB"/>
              </w:rPr>
            </w:pPr>
            <w:r>
              <w:rPr>
                <w:color w:val="000000"/>
                <w:sz w:val="18"/>
                <w:szCs w:val="18"/>
                <w:lang w:eastAsia="en-GB"/>
              </w:rPr>
              <w:t>Mental Health Services</w:t>
            </w:r>
          </w:p>
        </w:tc>
        <w:tc>
          <w:tcPr>
            <w:tcW w:w="1100"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33543BF3" w14:textId="77777777" w:rsidR="00393409" w:rsidRDefault="00393409">
            <w:pPr>
              <w:rPr>
                <w:color w:val="000000"/>
                <w:sz w:val="18"/>
                <w:szCs w:val="18"/>
                <w:lang w:eastAsia="en-GB"/>
              </w:rPr>
            </w:pPr>
            <w:r>
              <w:rPr>
                <w:color w:val="000000"/>
                <w:sz w:val="18"/>
                <w:szCs w:val="18"/>
                <w:lang w:eastAsia="en-GB"/>
              </w:rPr>
              <w:t> </w:t>
            </w:r>
          </w:p>
        </w:tc>
        <w:tc>
          <w:tcPr>
            <w:tcW w:w="1100"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418CBA89" w14:textId="77777777" w:rsidR="00393409" w:rsidRDefault="00393409">
            <w:pPr>
              <w:jc w:val="center"/>
              <w:rPr>
                <w:color w:val="000000"/>
                <w:sz w:val="18"/>
                <w:szCs w:val="18"/>
                <w:lang w:eastAsia="en-GB"/>
              </w:rPr>
            </w:pPr>
            <w:r>
              <w:rPr>
                <w:color w:val="000000"/>
                <w:sz w:val="18"/>
                <w:szCs w:val="18"/>
                <w:lang w:eastAsia="en-GB"/>
              </w:rPr>
              <w:t>1605</w:t>
            </w:r>
          </w:p>
        </w:tc>
        <w:tc>
          <w:tcPr>
            <w:tcW w:w="1100"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4EDCEAC4" w14:textId="77777777" w:rsidR="00393409" w:rsidRDefault="00393409">
            <w:pPr>
              <w:jc w:val="center"/>
              <w:rPr>
                <w:color w:val="000000"/>
                <w:sz w:val="18"/>
                <w:szCs w:val="18"/>
                <w:lang w:eastAsia="en-GB"/>
              </w:rPr>
            </w:pPr>
            <w:r>
              <w:rPr>
                <w:color w:val="000000"/>
                <w:sz w:val="18"/>
                <w:szCs w:val="18"/>
                <w:lang w:eastAsia="en-GB"/>
              </w:rPr>
              <w:t>928</w:t>
            </w:r>
          </w:p>
        </w:tc>
        <w:tc>
          <w:tcPr>
            <w:tcW w:w="4281"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0C27489C" w14:textId="77777777" w:rsidR="00393409" w:rsidRDefault="00393409">
            <w:pPr>
              <w:jc w:val="center"/>
              <w:rPr>
                <w:color w:val="000000"/>
                <w:sz w:val="18"/>
                <w:szCs w:val="18"/>
                <w:lang w:eastAsia="en-GB"/>
              </w:rPr>
            </w:pPr>
            <w:r>
              <w:rPr>
                <w:color w:val="000000"/>
                <w:sz w:val="18"/>
                <w:szCs w:val="18"/>
                <w:lang w:eastAsia="en-GB"/>
              </w:rPr>
              <w:t>57.8%</w:t>
            </w:r>
          </w:p>
        </w:tc>
      </w:tr>
      <w:tr w:rsidR="00393409" w14:paraId="4EF88D43" w14:textId="77777777" w:rsidTr="00393409">
        <w:trPr>
          <w:trHeight w:val="290"/>
        </w:trPr>
        <w:tc>
          <w:tcPr>
            <w:tcW w:w="2200" w:type="dxa"/>
            <w:gridSpan w:val="2"/>
            <w:tcBorders>
              <w:top w:val="nil"/>
              <w:left w:val="single" w:sz="8" w:space="0" w:color="808080"/>
              <w:bottom w:val="single" w:sz="8" w:space="0" w:color="808080"/>
              <w:right w:val="nil"/>
            </w:tcBorders>
            <w:shd w:val="clear" w:color="auto" w:fill="FFFFFF"/>
            <w:noWrap/>
            <w:tcMar>
              <w:top w:w="0" w:type="dxa"/>
              <w:left w:w="108" w:type="dxa"/>
              <w:bottom w:w="0" w:type="dxa"/>
              <w:right w:w="108" w:type="dxa"/>
            </w:tcMar>
            <w:vAlign w:val="center"/>
            <w:hideMark/>
          </w:tcPr>
          <w:p w14:paraId="1336E5B9" w14:textId="77777777" w:rsidR="00393409" w:rsidRDefault="00393409">
            <w:pPr>
              <w:rPr>
                <w:color w:val="000000"/>
                <w:sz w:val="18"/>
                <w:szCs w:val="18"/>
                <w:lang w:eastAsia="en-GB"/>
              </w:rPr>
            </w:pPr>
            <w:r>
              <w:rPr>
                <w:color w:val="000000"/>
                <w:sz w:val="18"/>
                <w:szCs w:val="18"/>
                <w:lang w:eastAsia="en-GB"/>
              </w:rPr>
              <w:t>Workforce Bureau</w:t>
            </w:r>
          </w:p>
        </w:tc>
        <w:tc>
          <w:tcPr>
            <w:tcW w:w="1100"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3C17AF84" w14:textId="77777777" w:rsidR="00393409" w:rsidRDefault="00393409">
            <w:pPr>
              <w:rPr>
                <w:color w:val="000000"/>
                <w:sz w:val="18"/>
                <w:szCs w:val="18"/>
                <w:lang w:eastAsia="en-GB"/>
              </w:rPr>
            </w:pPr>
            <w:r>
              <w:rPr>
                <w:color w:val="000000"/>
                <w:sz w:val="18"/>
                <w:szCs w:val="18"/>
                <w:lang w:eastAsia="en-GB"/>
              </w:rPr>
              <w:t> </w:t>
            </w:r>
          </w:p>
        </w:tc>
        <w:tc>
          <w:tcPr>
            <w:tcW w:w="1100"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73B53577" w14:textId="77777777" w:rsidR="00393409" w:rsidRDefault="00393409">
            <w:pPr>
              <w:jc w:val="center"/>
              <w:rPr>
                <w:color w:val="000000"/>
                <w:sz w:val="18"/>
                <w:szCs w:val="18"/>
                <w:lang w:eastAsia="en-GB"/>
              </w:rPr>
            </w:pPr>
            <w:r>
              <w:rPr>
                <w:color w:val="000000"/>
                <w:sz w:val="18"/>
                <w:szCs w:val="18"/>
                <w:lang w:eastAsia="en-GB"/>
              </w:rPr>
              <w:t>625</w:t>
            </w:r>
          </w:p>
        </w:tc>
        <w:tc>
          <w:tcPr>
            <w:tcW w:w="1100"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09D10042" w14:textId="77777777" w:rsidR="00393409" w:rsidRDefault="00393409">
            <w:pPr>
              <w:jc w:val="center"/>
              <w:rPr>
                <w:color w:val="000000"/>
                <w:sz w:val="18"/>
                <w:szCs w:val="18"/>
                <w:lang w:eastAsia="en-GB"/>
              </w:rPr>
            </w:pPr>
            <w:r>
              <w:rPr>
                <w:color w:val="000000"/>
                <w:sz w:val="18"/>
                <w:szCs w:val="18"/>
                <w:lang w:eastAsia="en-GB"/>
              </w:rPr>
              <w:t>339</w:t>
            </w:r>
          </w:p>
        </w:tc>
        <w:tc>
          <w:tcPr>
            <w:tcW w:w="4281"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3203985A" w14:textId="77777777" w:rsidR="00393409" w:rsidRDefault="00393409">
            <w:pPr>
              <w:jc w:val="center"/>
              <w:rPr>
                <w:color w:val="000000"/>
                <w:sz w:val="18"/>
                <w:szCs w:val="18"/>
                <w:lang w:eastAsia="en-GB"/>
              </w:rPr>
            </w:pPr>
            <w:r>
              <w:rPr>
                <w:color w:val="000000"/>
                <w:sz w:val="18"/>
                <w:szCs w:val="18"/>
                <w:lang w:eastAsia="en-GB"/>
              </w:rPr>
              <w:t>54.2%</w:t>
            </w:r>
          </w:p>
        </w:tc>
      </w:tr>
      <w:tr w:rsidR="00393409" w14:paraId="41C5A9F4" w14:textId="77777777" w:rsidTr="00393409">
        <w:trPr>
          <w:trHeight w:val="290"/>
        </w:trPr>
        <w:tc>
          <w:tcPr>
            <w:tcW w:w="1100" w:type="dxa"/>
            <w:tcBorders>
              <w:top w:val="nil"/>
              <w:left w:val="single" w:sz="8" w:space="0" w:color="808080"/>
              <w:bottom w:val="single" w:sz="8" w:space="0" w:color="808080"/>
              <w:right w:val="nil"/>
            </w:tcBorders>
            <w:shd w:val="clear" w:color="auto" w:fill="FFFFFF"/>
            <w:noWrap/>
            <w:tcMar>
              <w:top w:w="0" w:type="dxa"/>
              <w:left w:w="108" w:type="dxa"/>
              <w:bottom w:w="0" w:type="dxa"/>
              <w:right w:w="108" w:type="dxa"/>
            </w:tcMar>
            <w:vAlign w:val="center"/>
            <w:hideMark/>
          </w:tcPr>
          <w:p w14:paraId="305011A4" w14:textId="77777777" w:rsidR="00393409" w:rsidRDefault="00393409">
            <w:pPr>
              <w:rPr>
                <w:b/>
                <w:bCs/>
                <w:color w:val="000000"/>
                <w:sz w:val="18"/>
                <w:szCs w:val="18"/>
                <w:lang w:eastAsia="en-GB"/>
              </w:rPr>
            </w:pPr>
            <w:r>
              <w:rPr>
                <w:b/>
                <w:bCs/>
                <w:color w:val="000000"/>
                <w:sz w:val="18"/>
                <w:szCs w:val="18"/>
                <w:lang w:eastAsia="en-GB"/>
              </w:rPr>
              <w:t>TOTAL</w:t>
            </w:r>
          </w:p>
        </w:tc>
        <w:tc>
          <w:tcPr>
            <w:tcW w:w="1100" w:type="dxa"/>
            <w:tcBorders>
              <w:top w:val="nil"/>
              <w:left w:val="nil"/>
              <w:bottom w:val="single" w:sz="8" w:space="0" w:color="808080"/>
              <w:right w:val="nil"/>
            </w:tcBorders>
            <w:shd w:val="clear" w:color="auto" w:fill="FFFFFF"/>
            <w:noWrap/>
            <w:tcMar>
              <w:top w:w="0" w:type="dxa"/>
              <w:left w:w="108" w:type="dxa"/>
              <w:bottom w:w="0" w:type="dxa"/>
              <w:right w:w="108" w:type="dxa"/>
            </w:tcMar>
            <w:vAlign w:val="center"/>
            <w:hideMark/>
          </w:tcPr>
          <w:p w14:paraId="0AC1934D" w14:textId="77777777" w:rsidR="00393409" w:rsidRDefault="00393409">
            <w:pPr>
              <w:rPr>
                <w:b/>
                <w:bCs/>
                <w:color w:val="000000"/>
                <w:sz w:val="18"/>
                <w:szCs w:val="18"/>
                <w:lang w:eastAsia="en-GB"/>
              </w:rPr>
            </w:pPr>
            <w:r>
              <w:rPr>
                <w:b/>
                <w:bCs/>
                <w:color w:val="000000"/>
                <w:sz w:val="18"/>
                <w:szCs w:val="18"/>
                <w:lang w:eastAsia="en-GB"/>
              </w:rPr>
              <w:t> </w:t>
            </w:r>
          </w:p>
        </w:tc>
        <w:tc>
          <w:tcPr>
            <w:tcW w:w="1100"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3F3CB8D4" w14:textId="77777777" w:rsidR="00393409" w:rsidRDefault="00393409">
            <w:pPr>
              <w:rPr>
                <w:b/>
                <w:bCs/>
                <w:color w:val="000000"/>
                <w:sz w:val="18"/>
                <w:szCs w:val="18"/>
                <w:lang w:eastAsia="en-GB"/>
              </w:rPr>
            </w:pPr>
            <w:r>
              <w:rPr>
                <w:b/>
                <w:bCs/>
                <w:color w:val="000000"/>
                <w:sz w:val="18"/>
                <w:szCs w:val="18"/>
                <w:lang w:eastAsia="en-GB"/>
              </w:rPr>
              <w:t> </w:t>
            </w:r>
          </w:p>
        </w:tc>
        <w:tc>
          <w:tcPr>
            <w:tcW w:w="1100"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178B7E46" w14:textId="77777777" w:rsidR="00393409" w:rsidRDefault="00393409">
            <w:pPr>
              <w:jc w:val="center"/>
              <w:rPr>
                <w:b/>
                <w:bCs/>
                <w:color w:val="000000"/>
                <w:sz w:val="18"/>
                <w:szCs w:val="18"/>
                <w:lang w:eastAsia="en-GB"/>
              </w:rPr>
            </w:pPr>
            <w:r>
              <w:rPr>
                <w:b/>
                <w:bCs/>
                <w:color w:val="000000"/>
                <w:sz w:val="18"/>
                <w:szCs w:val="18"/>
                <w:lang w:eastAsia="en-GB"/>
              </w:rPr>
              <w:t>7393</w:t>
            </w:r>
          </w:p>
        </w:tc>
        <w:tc>
          <w:tcPr>
            <w:tcW w:w="1100"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5D78146D" w14:textId="77777777" w:rsidR="00393409" w:rsidRDefault="00393409">
            <w:pPr>
              <w:jc w:val="center"/>
              <w:rPr>
                <w:b/>
                <w:bCs/>
                <w:color w:val="000000"/>
                <w:sz w:val="18"/>
                <w:szCs w:val="18"/>
                <w:lang w:eastAsia="en-GB"/>
              </w:rPr>
            </w:pPr>
            <w:r>
              <w:rPr>
                <w:b/>
                <w:bCs/>
                <w:color w:val="000000"/>
                <w:sz w:val="18"/>
                <w:szCs w:val="18"/>
                <w:lang w:eastAsia="en-GB"/>
              </w:rPr>
              <w:t>4421</w:t>
            </w:r>
          </w:p>
        </w:tc>
        <w:tc>
          <w:tcPr>
            <w:tcW w:w="4281" w:type="dxa"/>
            <w:tcBorders>
              <w:top w:val="nil"/>
              <w:left w:val="nil"/>
              <w:bottom w:val="single" w:sz="8" w:space="0" w:color="808080"/>
              <w:right w:val="single" w:sz="8" w:space="0" w:color="808080"/>
            </w:tcBorders>
            <w:shd w:val="clear" w:color="auto" w:fill="FFFFFF"/>
            <w:noWrap/>
            <w:tcMar>
              <w:top w:w="0" w:type="dxa"/>
              <w:left w:w="108" w:type="dxa"/>
              <w:bottom w:w="0" w:type="dxa"/>
              <w:right w:w="108" w:type="dxa"/>
            </w:tcMar>
            <w:vAlign w:val="center"/>
            <w:hideMark/>
          </w:tcPr>
          <w:p w14:paraId="62B480FF" w14:textId="77777777" w:rsidR="00393409" w:rsidRDefault="00393409">
            <w:pPr>
              <w:jc w:val="center"/>
              <w:rPr>
                <w:b/>
                <w:bCs/>
                <w:color w:val="000000"/>
                <w:sz w:val="18"/>
                <w:szCs w:val="18"/>
                <w:lang w:eastAsia="en-GB"/>
              </w:rPr>
            </w:pPr>
            <w:r>
              <w:rPr>
                <w:b/>
                <w:bCs/>
                <w:color w:val="000000"/>
                <w:sz w:val="18"/>
                <w:szCs w:val="18"/>
                <w:lang w:eastAsia="en-GB"/>
              </w:rPr>
              <w:t>59.8%</w:t>
            </w:r>
          </w:p>
        </w:tc>
      </w:tr>
    </w:tbl>
    <w:p w14:paraId="5715BE05" w14:textId="77777777" w:rsidR="00393409" w:rsidRDefault="00393409" w:rsidP="00393409">
      <w:pPr>
        <w:spacing w:after="120"/>
        <w:ind w:left="720" w:hanging="720"/>
        <w:rPr>
          <w:rFonts w:ascii="Calibri" w:hAnsi="Calibri" w:cs="Calibri"/>
          <w:sz w:val="24"/>
          <w:szCs w:val="24"/>
        </w:rPr>
      </w:pPr>
    </w:p>
    <w:p w14:paraId="7827B17C" w14:textId="4C335812" w:rsidR="00393409" w:rsidRDefault="00393409" w:rsidP="00393409">
      <w:pPr>
        <w:spacing w:after="120"/>
        <w:ind w:left="720" w:hanging="720"/>
        <w:rPr>
          <w:sz w:val="24"/>
          <w:szCs w:val="24"/>
        </w:rPr>
      </w:pPr>
      <w:r>
        <w:rPr>
          <w:sz w:val="24"/>
          <w:szCs w:val="24"/>
        </w:rPr>
        <w:t>4.</w:t>
      </w:r>
      <w:r w:rsidR="008E4FD0">
        <w:rPr>
          <w:sz w:val="24"/>
          <w:szCs w:val="24"/>
        </w:rPr>
        <w:t>8</w:t>
      </w:r>
      <w:r>
        <w:rPr>
          <w:sz w:val="24"/>
          <w:szCs w:val="24"/>
        </w:rPr>
        <w:t xml:space="preserve">        Trust uptake data is further analysed including high and low uptake teams, teams with higher staff numbers with low uptake with a greater potential to improve/impact overall Trust performance. </w:t>
      </w:r>
    </w:p>
    <w:p w14:paraId="25D0E2ED" w14:textId="62C388AA" w:rsidR="00393409" w:rsidRDefault="00393409" w:rsidP="00393409">
      <w:pPr>
        <w:spacing w:after="120"/>
        <w:ind w:left="720" w:hanging="720"/>
        <w:rPr>
          <w:sz w:val="24"/>
          <w:szCs w:val="24"/>
        </w:rPr>
      </w:pPr>
      <w:r>
        <w:rPr>
          <w:sz w:val="24"/>
          <w:szCs w:val="24"/>
        </w:rPr>
        <w:t>4.</w:t>
      </w:r>
      <w:r w:rsidR="008E4FD0">
        <w:rPr>
          <w:sz w:val="24"/>
          <w:szCs w:val="24"/>
        </w:rPr>
        <w:t>9</w:t>
      </w:r>
      <w:r>
        <w:rPr>
          <w:sz w:val="24"/>
          <w:szCs w:val="24"/>
        </w:rPr>
        <w:t xml:space="preserve">        Reasons for higher vaccination uptake triangulated with national data include key influencers within teams, committed leadership to the flu programme, flexibility and availability of flu clinics across LPT sites and a strong roving and peer vaccinator team.  </w:t>
      </w:r>
    </w:p>
    <w:p w14:paraId="2C192A24" w14:textId="1BCAFE1A" w:rsidR="00393409" w:rsidRDefault="00393409" w:rsidP="00393409">
      <w:pPr>
        <w:spacing w:after="120"/>
        <w:ind w:left="720" w:hanging="720"/>
        <w:rPr>
          <w:sz w:val="24"/>
          <w:szCs w:val="24"/>
        </w:rPr>
      </w:pPr>
      <w:r>
        <w:rPr>
          <w:sz w:val="24"/>
          <w:szCs w:val="24"/>
        </w:rPr>
        <w:t>4.</w:t>
      </w:r>
      <w:r w:rsidR="008E4FD0">
        <w:rPr>
          <w:sz w:val="24"/>
          <w:szCs w:val="24"/>
        </w:rPr>
        <w:t>10</w:t>
      </w:r>
      <w:r>
        <w:rPr>
          <w:sz w:val="24"/>
          <w:szCs w:val="24"/>
        </w:rPr>
        <w:t xml:space="preserve">       Analysis of the reasons for not having the flu vaccine reported by staff are: too many vaccines in the previous 12 months (many staff have had x3 COVID vaccinations), low levels of circulating flu in the community and therefore not seen as a personal risk, lack of </w:t>
      </w:r>
      <w:r w:rsidR="00D406B5">
        <w:rPr>
          <w:sz w:val="24"/>
          <w:szCs w:val="24"/>
        </w:rPr>
        <w:t>availability</w:t>
      </w:r>
      <w:r>
        <w:rPr>
          <w:sz w:val="24"/>
          <w:szCs w:val="24"/>
        </w:rPr>
        <w:t xml:space="preserve"> of a vegetarian/ vegan flu vaccine, concerns about allergies and therefore reluctance to have another vaccine and that flu is seen as having more serious consequences for older people and this is reflected </w:t>
      </w:r>
      <w:r w:rsidR="00D406B5">
        <w:rPr>
          <w:sz w:val="24"/>
          <w:szCs w:val="24"/>
        </w:rPr>
        <w:t>in</w:t>
      </w:r>
      <w:r>
        <w:rPr>
          <w:sz w:val="24"/>
          <w:szCs w:val="24"/>
        </w:rPr>
        <w:t xml:space="preserve"> the age correlation of the flu vaccine uptake (lowest in the age group 18 – 30 and highest in the 65+ age group.</w:t>
      </w:r>
    </w:p>
    <w:bookmarkEnd w:id="2"/>
    <w:p w14:paraId="3496011E" w14:textId="660B4DE1" w:rsidR="001527C1" w:rsidRPr="000E645A" w:rsidRDefault="00D05622" w:rsidP="000E645A">
      <w:pPr>
        <w:pStyle w:val="Heading1"/>
        <w:spacing w:before="0" w:after="120"/>
        <w:ind w:left="720" w:hanging="720"/>
        <w:rPr>
          <w:rFonts w:asciiTheme="minorHAnsi" w:hAnsiTheme="minorHAnsi" w:cs="Arial"/>
          <w:color w:val="auto"/>
          <w:sz w:val="24"/>
          <w:szCs w:val="24"/>
        </w:rPr>
      </w:pPr>
      <w:r>
        <w:rPr>
          <w:rFonts w:asciiTheme="minorHAnsi" w:hAnsiTheme="minorHAnsi" w:cs="Arial"/>
          <w:color w:val="auto"/>
          <w:sz w:val="24"/>
          <w:szCs w:val="24"/>
        </w:rPr>
        <w:t>5</w:t>
      </w:r>
      <w:r w:rsidR="00FF0EF4" w:rsidRPr="000E645A">
        <w:rPr>
          <w:rFonts w:asciiTheme="minorHAnsi" w:hAnsiTheme="minorHAnsi" w:cs="Arial"/>
          <w:color w:val="auto"/>
          <w:sz w:val="24"/>
          <w:szCs w:val="24"/>
        </w:rPr>
        <w:t>.</w:t>
      </w:r>
      <w:r w:rsidR="00200E99">
        <w:rPr>
          <w:rFonts w:asciiTheme="minorHAnsi" w:hAnsiTheme="minorHAnsi" w:cs="Arial"/>
          <w:color w:val="auto"/>
          <w:sz w:val="24"/>
          <w:szCs w:val="24"/>
        </w:rPr>
        <w:tab/>
        <w:t>Reporting and m</w:t>
      </w:r>
      <w:r w:rsidR="001527C1" w:rsidRPr="000E645A">
        <w:rPr>
          <w:rFonts w:asciiTheme="minorHAnsi" w:hAnsiTheme="minorHAnsi" w:cs="Arial"/>
          <w:color w:val="auto"/>
          <w:sz w:val="24"/>
          <w:szCs w:val="24"/>
        </w:rPr>
        <w:t>onitoring of HCAI Infections</w:t>
      </w:r>
    </w:p>
    <w:p w14:paraId="79B5AC12" w14:textId="01185EE9" w:rsidR="001527C1" w:rsidRPr="000E645A" w:rsidRDefault="00D05622" w:rsidP="000E645A">
      <w:pPr>
        <w:autoSpaceDE w:val="0"/>
        <w:autoSpaceDN w:val="0"/>
        <w:adjustRightInd w:val="0"/>
        <w:spacing w:after="120"/>
        <w:ind w:left="720" w:hanging="720"/>
        <w:rPr>
          <w:sz w:val="24"/>
          <w:szCs w:val="24"/>
        </w:rPr>
      </w:pPr>
      <w:r>
        <w:rPr>
          <w:sz w:val="24"/>
          <w:szCs w:val="24"/>
        </w:rPr>
        <w:t>5</w:t>
      </w:r>
      <w:r w:rsidR="001527C1" w:rsidRPr="000E645A">
        <w:rPr>
          <w:sz w:val="24"/>
          <w:szCs w:val="24"/>
        </w:rPr>
        <w:t>.1</w:t>
      </w:r>
      <w:r w:rsidR="001527C1" w:rsidRPr="000E645A">
        <w:rPr>
          <w:sz w:val="24"/>
          <w:szCs w:val="24"/>
        </w:rPr>
        <w:tab/>
        <w:t>There are four infections that are mandatory for reporting purposes:</w:t>
      </w:r>
    </w:p>
    <w:p w14:paraId="49971604" w14:textId="77777777" w:rsidR="001527C1" w:rsidRPr="000E645A" w:rsidRDefault="001527C1" w:rsidP="00B410E4">
      <w:pPr>
        <w:pStyle w:val="ListParagraph"/>
        <w:numPr>
          <w:ilvl w:val="0"/>
          <w:numId w:val="3"/>
        </w:numPr>
        <w:autoSpaceDE w:val="0"/>
        <w:autoSpaceDN w:val="0"/>
        <w:adjustRightInd w:val="0"/>
        <w:spacing w:after="0"/>
        <w:contextualSpacing w:val="0"/>
        <w:rPr>
          <w:sz w:val="24"/>
          <w:szCs w:val="24"/>
        </w:rPr>
      </w:pPr>
      <w:r w:rsidRPr="000E645A">
        <w:rPr>
          <w:sz w:val="24"/>
          <w:szCs w:val="24"/>
        </w:rPr>
        <w:t>Meticillin Resistant Staphylococcus Aureus (MRSA) bloodstream infections.</w:t>
      </w:r>
    </w:p>
    <w:p w14:paraId="44346B73" w14:textId="77777777" w:rsidR="001527C1" w:rsidRPr="000E645A" w:rsidRDefault="001527C1" w:rsidP="00B410E4">
      <w:pPr>
        <w:pStyle w:val="ListParagraph"/>
        <w:numPr>
          <w:ilvl w:val="0"/>
          <w:numId w:val="3"/>
        </w:numPr>
        <w:autoSpaceDE w:val="0"/>
        <w:autoSpaceDN w:val="0"/>
        <w:adjustRightInd w:val="0"/>
        <w:spacing w:after="0"/>
        <w:contextualSpacing w:val="0"/>
        <w:rPr>
          <w:sz w:val="24"/>
          <w:szCs w:val="24"/>
        </w:rPr>
      </w:pPr>
      <w:r w:rsidRPr="000E645A">
        <w:rPr>
          <w:iCs/>
          <w:sz w:val="24"/>
          <w:szCs w:val="24"/>
        </w:rPr>
        <w:t>Clostridioides difficile</w:t>
      </w:r>
      <w:r w:rsidRPr="000E645A">
        <w:rPr>
          <w:sz w:val="24"/>
          <w:szCs w:val="24"/>
        </w:rPr>
        <w:t xml:space="preserve"> infection (previously known as Clostridium difficile) </w:t>
      </w:r>
    </w:p>
    <w:p w14:paraId="2A0AE602" w14:textId="77777777" w:rsidR="001527C1" w:rsidRPr="000E645A" w:rsidRDefault="001527C1" w:rsidP="00B410E4">
      <w:pPr>
        <w:pStyle w:val="ListParagraph"/>
        <w:numPr>
          <w:ilvl w:val="0"/>
          <w:numId w:val="3"/>
        </w:numPr>
        <w:autoSpaceDE w:val="0"/>
        <w:autoSpaceDN w:val="0"/>
        <w:adjustRightInd w:val="0"/>
        <w:spacing w:after="0"/>
        <w:contextualSpacing w:val="0"/>
        <w:rPr>
          <w:sz w:val="24"/>
          <w:szCs w:val="24"/>
        </w:rPr>
      </w:pPr>
      <w:r w:rsidRPr="000E645A">
        <w:rPr>
          <w:sz w:val="24"/>
          <w:szCs w:val="24"/>
        </w:rPr>
        <w:t>Meticillin Sensitive Staphylococcus Aureus (MSSA) bloodstream infections.</w:t>
      </w:r>
    </w:p>
    <w:p w14:paraId="7F269C49" w14:textId="065B8C3E" w:rsidR="002038FA" w:rsidRDefault="001527C1" w:rsidP="00B410E4">
      <w:pPr>
        <w:pStyle w:val="ListParagraph"/>
        <w:numPr>
          <w:ilvl w:val="0"/>
          <w:numId w:val="3"/>
        </w:numPr>
        <w:autoSpaceDE w:val="0"/>
        <w:autoSpaceDN w:val="0"/>
        <w:adjustRightInd w:val="0"/>
        <w:spacing w:after="0" w:line="360" w:lineRule="auto"/>
        <w:contextualSpacing w:val="0"/>
        <w:rPr>
          <w:sz w:val="24"/>
          <w:szCs w:val="24"/>
        </w:rPr>
      </w:pPr>
      <w:r w:rsidRPr="000E645A">
        <w:rPr>
          <w:sz w:val="24"/>
          <w:szCs w:val="24"/>
        </w:rPr>
        <w:t>Gram Negative bloodstream infections (GNBSI)</w:t>
      </w:r>
    </w:p>
    <w:p w14:paraId="07469A41" w14:textId="76D21276" w:rsidR="001527C1" w:rsidRPr="000E645A" w:rsidRDefault="00D05622" w:rsidP="002038FA">
      <w:pPr>
        <w:autoSpaceDE w:val="0"/>
        <w:autoSpaceDN w:val="0"/>
        <w:adjustRightInd w:val="0"/>
        <w:spacing w:after="120"/>
        <w:ind w:left="720" w:hanging="720"/>
        <w:rPr>
          <w:b/>
          <w:sz w:val="24"/>
          <w:szCs w:val="24"/>
        </w:rPr>
      </w:pPr>
      <w:r>
        <w:rPr>
          <w:sz w:val="24"/>
          <w:szCs w:val="24"/>
        </w:rPr>
        <w:t>5</w:t>
      </w:r>
      <w:r w:rsidR="001527C1" w:rsidRPr="000E645A">
        <w:rPr>
          <w:sz w:val="24"/>
          <w:szCs w:val="24"/>
        </w:rPr>
        <w:t>.2</w:t>
      </w:r>
      <w:r w:rsidR="001527C1" w:rsidRPr="000E645A">
        <w:rPr>
          <w:b/>
          <w:sz w:val="24"/>
          <w:szCs w:val="24"/>
        </w:rPr>
        <w:tab/>
        <w:t>MRSA Blood stream infection rates</w:t>
      </w:r>
    </w:p>
    <w:p w14:paraId="3A985B4C" w14:textId="1313D8B9" w:rsidR="00696716" w:rsidRDefault="001527C1" w:rsidP="002038FA">
      <w:pPr>
        <w:spacing w:after="120"/>
        <w:ind w:left="720"/>
        <w:rPr>
          <w:sz w:val="24"/>
          <w:szCs w:val="24"/>
        </w:rPr>
      </w:pPr>
      <w:r w:rsidRPr="000E645A">
        <w:rPr>
          <w:sz w:val="24"/>
          <w:szCs w:val="24"/>
        </w:rPr>
        <w:t xml:space="preserve">The </w:t>
      </w:r>
      <w:r w:rsidR="005565D5">
        <w:rPr>
          <w:sz w:val="24"/>
          <w:szCs w:val="24"/>
        </w:rPr>
        <w:t>n</w:t>
      </w:r>
      <w:r w:rsidRPr="000E645A">
        <w:rPr>
          <w:sz w:val="24"/>
          <w:szCs w:val="24"/>
        </w:rPr>
        <w:t xml:space="preserve">ational trajectory is set at zero. </w:t>
      </w:r>
      <w:r w:rsidR="003A0C7F">
        <w:rPr>
          <w:sz w:val="24"/>
          <w:szCs w:val="24"/>
        </w:rPr>
        <w:t>The Trust</w:t>
      </w:r>
      <w:r w:rsidRPr="000E645A">
        <w:rPr>
          <w:sz w:val="24"/>
          <w:szCs w:val="24"/>
        </w:rPr>
        <w:t xml:space="preserve"> performance for MRSA bacteraemia from </w:t>
      </w:r>
      <w:r w:rsidR="008C49FC" w:rsidRPr="000E645A">
        <w:rPr>
          <w:sz w:val="24"/>
          <w:szCs w:val="24"/>
        </w:rPr>
        <w:t>April 202</w:t>
      </w:r>
      <w:r w:rsidR="00653CC2">
        <w:rPr>
          <w:sz w:val="24"/>
          <w:szCs w:val="24"/>
        </w:rPr>
        <w:t>1</w:t>
      </w:r>
      <w:r w:rsidR="008C49FC" w:rsidRPr="000E645A">
        <w:rPr>
          <w:sz w:val="24"/>
          <w:szCs w:val="24"/>
        </w:rPr>
        <w:t xml:space="preserve"> to </w:t>
      </w:r>
      <w:r w:rsidR="000E20E0">
        <w:rPr>
          <w:sz w:val="24"/>
          <w:szCs w:val="24"/>
        </w:rPr>
        <w:t>March 2022</w:t>
      </w:r>
      <w:r w:rsidR="00841E07" w:rsidRPr="000E645A">
        <w:rPr>
          <w:sz w:val="24"/>
          <w:szCs w:val="24"/>
        </w:rPr>
        <w:t xml:space="preserve"> </w:t>
      </w:r>
      <w:r w:rsidR="00653CC2">
        <w:rPr>
          <w:sz w:val="24"/>
          <w:szCs w:val="24"/>
        </w:rPr>
        <w:t>is</w:t>
      </w:r>
      <w:r w:rsidR="00841E07" w:rsidRPr="000E645A">
        <w:rPr>
          <w:sz w:val="24"/>
          <w:szCs w:val="24"/>
        </w:rPr>
        <w:t xml:space="preserve"> </w:t>
      </w:r>
      <w:r w:rsidR="00883DA2">
        <w:rPr>
          <w:sz w:val="24"/>
          <w:szCs w:val="24"/>
        </w:rPr>
        <w:t>zero.</w:t>
      </w:r>
    </w:p>
    <w:p w14:paraId="7B6DFADC" w14:textId="453DC478" w:rsidR="00CC123C" w:rsidRDefault="00CC123C" w:rsidP="002038FA">
      <w:pPr>
        <w:spacing w:after="120"/>
        <w:ind w:left="720"/>
        <w:rPr>
          <w:sz w:val="24"/>
          <w:szCs w:val="24"/>
        </w:rPr>
      </w:pPr>
    </w:p>
    <w:p w14:paraId="6DA6F919" w14:textId="77777777" w:rsidR="00CC123C" w:rsidRPr="000E645A" w:rsidRDefault="00CC123C" w:rsidP="002038FA">
      <w:pPr>
        <w:spacing w:after="120"/>
        <w:ind w:left="720"/>
        <w:rPr>
          <w:sz w:val="24"/>
          <w:szCs w:val="24"/>
        </w:rPr>
      </w:pPr>
    </w:p>
    <w:p w14:paraId="01F3487B" w14:textId="20169D52" w:rsidR="001527C1" w:rsidRPr="000E645A" w:rsidRDefault="00D05622" w:rsidP="000E645A">
      <w:pPr>
        <w:spacing w:after="120"/>
        <w:ind w:left="720" w:hanging="720"/>
        <w:rPr>
          <w:b/>
          <w:sz w:val="24"/>
          <w:szCs w:val="24"/>
        </w:rPr>
      </w:pPr>
      <w:r>
        <w:rPr>
          <w:sz w:val="24"/>
          <w:szCs w:val="24"/>
        </w:rPr>
        <w:lastRenderedPageBreak/>
        <w:t>5</w:t>
      </w:r>
      <w:r w:rsidR="001527C1" w:rsidRPr="000E645A">
        <w:rPr>
          <w:sz w:val="24"/>
          <w:szCs w:val="24"/>
        </w:rPr>
        <w:t>.3</w:t>
      </w:r>
      <w:r w:rsidR="001527C1" w:rsidRPr="000E645A">
        <w:rPr>
          <w:sz w:val="24"/>
          <w:szCs w:val="24"/>
        </w:rPr>
        <w:tab/>
      </w:r>
      <w:r w:rsidR="001527C1" w:rsidRPr="000E645A">
        <w:rPr>
          <w:b/>
          <w:sz w:val="24"/>
          <w:szCs w:val="24"/>
        </w:rPr>
        <w:t>Clostridium difficile infection</w:t>
      </w:r>
      <w:r w:rsidR="00273B95">
        <w:rPr>
          <w:b/>
          <w:sz w:val="24"/>
          <w:szCs w:val="24"/>
        </w:rPr>
        <w:t xml:space="preserve"> (CDI)</w:t>
      </w:r>
      <w:r w:rsidR="001527C1" w:rsidRPr="000E645A">
        <w:rPr>
          <w:b/>
          <w:sz w:val="24"/>
          <w:szCs w:val="24"/>
        </w:rPr>
        <w:t xml:space="preserve"> rates</w:t>
      </w:r>
    </w:p>
    <w:p w14:paraId="56E0E2D0" w14:textId="1EE91653" w:rsidR="00653CC2" w:rsidRDefault="001527C1" w:rsidP="00653CC2">
      <w:pPr>
        <w:spacing w:after="120"/>
        <w:ind w:left="720"/>
        <w:rPr>
          <w:sz w:val="24"/>
          <w:szCs w:val="24"/>
        </w:rPr>
      </w:pPr>
      <w:r w:rsidRPr="000E645A">
        <w:rPr>
          <w:sz w:val="24"/>
          <w:szCs w:val="24"/>
        </w:rPr>
        <w:t>The agreed trajectory for 20</w:t>
      </w:r>
      <w:r w:rsidR="008C49FC" w:rsidRPr="000E645A">
        <w:rPr>
          <w:sz w:val="24"/>
          <w:szCs w:val="24"/>
        </w:rPr>
        <w:t>2</w:t>
      </w:r>
      <w:r w:rsidR="0046761D">
        <w:rPr>
          <w:sz w:val="24"/>
          <w:szCs w:val="24"/>
        </w:rPr>
        <w:t>1</w:t>
      </w:r>
      <w:r w:rsidRPr="000E645A">
        <w:rPr>
          <w:sz w:val="24"/>
          <w:szCs w:val="24"/>
        </w:rPr>
        <w:t>/2</w:t>
      </w:r>
      <w:r w:rsidR="0046761D">
        <w:rPr>
          <w:sz w:val="24"/>
          <w:szCs w:val="24"/>
        </w:rPr>
        <w:t>2</w:t>
      </w:r>
      <w:r w:rsidRPr="000E645A">
        <w:rPr>
          <w:sz w:val="24"/>
          <w:szCs w:val="24"/>
        </w:rPr>
        <w:t xml:space="preserve"> was 12 and is set internally by the C</w:t>
      </w:r>
      <w:r w:rsidR="003A0C7F">
        <w:rPr>
          <w:sz w:val="24"/>
          <w:szCs w:val="24"/>
        </w:rPr>
        <w:t xml:space="preserve">linical </w:t>
      </w:r>
      <w:r w:rsidRPr="000E645A">
        <w:rPr>
          <w:sz w:val="24"/>
          <w:szCs w:val="24"/>
        </w:rPr>
        <w:t>C</w:t>
      </w:r>
      <w:r w:rsidR="003A0C7F">
        <w:rPr>
          <w:sz w:val="24"/>
          <w:szCs w:val="24"/>
        </w:rPr>
        <w:t xml:space="preserve">ommissioning </w:t>
      </w:r>
      <w:r w:rsidRPr="000E645A">
        <w:rPr>
          <w:sz w:val="24"/>
          <w:szCs w:val="24"/>
        </w:rPr>
        <w:t>G</w:t>
      </w:r>
      <w:r w:rsidR="003A0C7F">
        <w:rPr>
          <w:sz w:val="24"/>
          <w:szCs w:val="24"/>
        </w:rPr>
        <w:t>roup (CCG)</w:t>
      </w:r>
      <w:r w:rsidRPr="000E645A">
        <w:rPr>
          <w:sz w:val="24"/>
          <w:szCs w:val="24"/>
        </w:rPr>
        <w:t xml:space="preserve"> (identified as EIA toxin positive CDI)</w:t>
      </w:r>
      <w:r w:rsidR="00273B95">
        <w:rPr>
          <w:sz w:val="24"/>
          <w:szCs w:val="24"/>
        </w:rPr>
        <w:t xml:space="preserve">. </w:t>
      </w:r>
      <w:r w:rsidR="00653CC2">
        <w:rPr>
          <w:sz w:val="24"/>
          <w:szCs w:val="24"/>
        </w:rPr>
        <w:t xml:space="preserve"> There have been </w:t>
      </w:r>
      <w:r w:rsidR="000E20E0">
        <w:rPr>
          <w:sz w:val="24"/>
          <w:szCs w:val="24"/>
        </w:rPr>
        <w:t>11</w:t>
      </w:r>
      <w:r w:rsidR="00653CC2">
        <w:rPr>
          <w:sz w:val="24"/>
          <w:szCs w:val="24"/>
        </w:rPr>
        <w:t xml:space="preserve"> cases of health care associated infection of CDI between April 2021 and </w:t>
      </w:r>
      <w:r w:rsidR="000E20E0">
        <w:rPr>
          <w:sz w:val="24"/>
          <w:szCs w:val="24"/>
        </w:rPr>
        <w:t>March 2022</w:t>
      </w:r>
      <w:r w:rsidR="00B61605">
        <w:rPr>
          <w:sz w:val="24"/>
          <w:szCs w:val="24"/>
        </w:rPr>
        <w:t>. This slight increase reflects the national picture</w:t>
      </w:r>
    </w:p>
    <w:p w14:paraId="52BE7FB3" w14:textId="3703514B" w:rsidR="00653CC2" w:rsidRPr="00195864" w:rsidRDefault="00653CC2" w:rsidP="00195864">
      <w:pPr>
        <w:pStyle w:val="ListParagraph"/>
        <w:numPr>
          <w:ilvl w:val="0"/>
          <w:numId w:val="31"/>
        </w:numPr>
        <w:spacing w:after="120"/>
        <w:rPr>
          <w:sz w:val="24"/>
          <w:szCs w:val="24"/>
        </w:rPr>
      </w:pPr>
      <w:r w:rsidRPr="00195864">
        <w:rPr>
          <w:sz w:val="24"/>
          <w:szCs w:val="24"/>
        </w:rPr>
        <w:t>July</w:t>
      </w:r>
      <w:r w:rsidR="00A87965">
        <w:rPr>
          <w:sz w:val="24"/>
          <w:szCs w:val="24"/>
        </w:rPr>
        <w:t xml:space="preserve"> 2021</w:t>
      </w:r>
      <w:r w:rsidRPr="00195864">
        <w:rPr>
          <w:sz w:val="24"/>
          <w:szCs w:val="24"/>
        </w:rPr>
        <w:t xml:space="preserve"> – St Lukes, Ward 3</w:t>
      </w:r>
    </w:p>
    <w:p w14:paraId="2BD10537" w14:textId="32206A8E" w:rsidR="00653CC2" w:rsidRPr="00195864" w:rsidRDefault="00653CC2" w:rsidP="00195864">
      <w:pPr>
        <w:pStyle w:val="ListParagraph"/>
        <w:numPr>
          <w:ilvl w:val="0"/>
          <w:numId w:val="31"/>
        </w:numPr>
        <w:spacing w:after="120"/>
        <w:rPr>
          <w:sz w:val="24"/>
          <w:szCs w:val="24"/>
        </w:rPr>
      </w:pPr>
      <w:r w:rsidRPr="00195864">
        <w:rPr>
          <w:sz w:val="24"/>
          <w:szCs w:val="24"/>
        </w:rPr>
        <w:t>September</w:t>
      </w:r>
      <w:r w:rsidR="00A87965">
        <w:rPr>
          <w:sz w:val="24"/>
          <w:szCs w:val="24"/>
        </w:rPr>
        <w:t xml:space="preserve"> 2021</w:t>
      </w:r>
      <w:r w:rsidRPr="00195864">
        <w:rPr>
          <w:sz w:val="24"/>
          <w:szCs w:val="24"/>
        </w:rPr>
        <w:t xml:space="preserve"> – Evington Centre, Beechwood Ward</w:t>
      </w:r>
    </w:p>
    <w:p w14:paraId="1D69919B" w14:textId="076B314A" w:rsidR="00653CC2" w:rsidRPr="00195864" w:rsidRDefault="00653CC2" w:rsidP="00D05622">
      <w:pPr>
        <w:pStyle w:val="ListParagraph"/>
        <w:spacing w:after="120"/>
        <w:ind w:left="1440"/>
        <w:rPr>
          <w:sz w:val="24"/>
          <w:szCs w:val="24"/>
        </w:rPr>
      </w:pPr>
      <w:r w:rsidRPr="00195864">
        <w:rPr>
          <w:sz w:val="24"/>
          <w:szCs w:val="24"/>
        </w:rPr>
        <w:t xml:space="preserve">September </w:t>
      </w:r>
      <w:r w:rsidR="00A87965">
        <w:rPr>
          <w:sz w:val="24"/>
          <w:szCs w:val="24"/>
        </w:rPr>
        <w:t>2021</w:t>
      </w:r>
      <w:r w:rsidRPr="00195864">
        <w:rPr>
          <w:sz w:val="24"/>
          <w:szCs w:val="24"/>
        </w:rPr>
        <w:t>– Loughborough Hospital, Swithland Ward</w:t>
      </w:r>
    </w:p>
    <w:p w14:paraId="2C106685" w14:textId="43841B99" w:rsidR="00653CC2" w:rsidRDefault="00653CC2" w:rsidP="00195864">
      <w:pPr>
        <w:pStyle w:val="ListParagraph"/>
        <w:numPr>
          <w:ilvl w:val="0"/>
          <w:numId w:val="31"/>
        </w:numPr>
        <w:spacing w:after="120"/>
        <w:rPr>
          <w:sz w:val="24"/>
          <w:szCs w:val="24"/>
        </w:rPr>
      </w:pPr>
      <w:r w:rsidRPr="00195864">
        <w:rPr>
          <w:sz w:val="24"/>
          <w:szCs w:val="24"/>
        </w:rPr>
        <w:t>October</w:t>
      </w:r>
      <w:r w:rsidR="00A87965">
        <w:rPr>
          <w:sz w:val="24"/>
          <w:szCs w:val="24"/>
        </w:rPr>
        <w:t>2021</w:t>
      </w:r>
      <w:r w:rsidRPr="00195864">
        <w:rPr>
          <w:sz w:val="24"/>
          <w:szCs w:val="24"/>
        </w:rPr>
        <w:t xml:space="preserve"> – Melton Hospital, Dalgleish Ward</w:t>
      </w:r>
    </w:p>
    <w:p w14:paraId="3E23996B" w14:textId="4244CE8B" w:rsidR="000E20E0" w:rsidRDefault="000E20E0" w:rsidP="00195864">
      <w:pPr>
        <w:pStyle w:val="ListParagraph"/>
        <w:numPr>
          <w:ilvl w:val="0"/>
          <w:numId w:val="31"/>
        </w:numPr>
        <w:spacing w:after="120"/>
        <w:rPr>
          <w:sz w:val="24"/>
          <w:szCs w:val="24"/>
        </w:rPr>
      </w:pPr>
      <w:r>
        <w:rPr>
          <w:sz w:val="24"/>
          <w:szCs w:val="24"/>
        </w:rPr>
        <w:t>December 2021 – St Lukes, Ward 3</w:t>
      </w:r>
    </w:p>
    <w:p w14:paraId="38F77642" w14:textId="7D2B9E91" w:rsidR="000E20E0" w:rsidRDefault="000E20E0" w:rsidP="00195864">
      <w:pPr>
        <w:pStyle w:val="ListParagraph"/>
        <w:numPr>
          <w:ilvl w:val="0"/>
          <w:numId w:val="31"/>
        </w:numPr>
        <w:spacing w:after="120"/>
        <w:rPr>
          <w:sz w:val="24"/>
          <w:szCs w:val="24"/>
        </w:rPr>
      </w:pPr>
      <w:r>
        <w:rPr>
          <w:sz w:val="24"/>
          <w:szCs w:val="24"/>
        </w:rPr>
        <w:t>December 2021 – Hinckley &amp; Bosworth, North Ward</w:t>
      </w:r>
    </w:p>
    <w:p w14:paraId="09366237" w14:textId="61958D24" w:rsidR="000E20E0" w:rsidRDefault="000E20E0" w:rsidP="00195864">
      <w:pPr>
        <w:pStyle w:val="ListParagraph"/>
        <w:numPr>
          <w:ilvl w:val="0"/>
          <w:numId w:val="31"/>
        </w:numPr>
        <w:spacing w:after="120"/>
        <w:rPr>
          <w:sz w:val="24"/>
          <w:szCs w:val="24"/>
        </w:rPr>
      </w:pPr>
      <w:r>
        <w:rPr>
          <w:sz w:val="24"/>
          <w:szCs w:val="24"/>
        </w:rPr>
        <w:t xml:space="preserve">January 2022 </w:t>
      </w:r>
      <w:r w:rsidR="006C1845">
        <w:rPr>
          <w:sz w:val="24"/>
          <w:szCs w:val="24"/>
        </w:rPr>
        <w:t>–</w:t>
      </w:r>
      <w:r>
        <w:rPr>
          <w:sz w:val="24"/>
          <w:szCs w:val="24"/>
        </w:rPr>
        <w:t xml:space="preserve"> </w:t>
      </w:r>
      <w:r w:rsidR="006C1845">
        <w:rPr>
          <w:sz w:val="24"/>
          <w:szCs w:val="24"/>
        </w:rPr>
        <w:t>Hinckley &amp; Bosworth, East Ward</w:t>
      </w:r>
    </w:p>
    <w:p w14:paraId="41549597" w14:textId="0FB6E421" w:rsidR="006C1845" w:rsidRDefault="006C1845" w:rsidP="00195864">
      <w:pPr>
        <w:pStyle w:val="ListParagraph"/>
        <w:numPr>
          <w:ilvl w:val="0"/>
          <w:numId w:val="31"/>
        </w:numPr>
        <w:spacing w:after="120"/>
        <w:rPr>
          <w:sz w:val="24"/>
          <w:szCs w:val="24"/>
        </w:rPr>
      </w:pPr>
      <w:r>
        <w:rPr>
          <w:sz w:val="24"/>
          <w:szCs w:val="24"/>
        </w:rPr>
        <w:t>February 2022 – Evington Centre, Clarendon Ward</w:t>
      </w:r>
    </w:p>
    <w:p w14:paraId="765A8599" w14:textId="1FE3238F" w:rsidR="006C1845" w:rsidRDefault="006C1845" w:rsidP="00195864">
      <w:pPr>
        <w:pStyle w:val="ListParagraph"/>
        <w:numPr>
          <w:ilvl w:val="0"/>
          <w:numId w:val="31"/>
        </w:numPr>
        <w:spacing w:after="120"/>
        <w:rPr>
          <w:sz w:val="24"/>
          <w:szCs w:val="24"/>
        </w:rPr>
      </w:pPr>
      <w:r>
        <w:rPr>
          <w:sz w:val="24"/>
          <w:szCs w:val="24"/>
        </w:rPr>
        <w:t>February 2022 – Evington Centre, Clarendon Ward</w:t>
      </w:r>
    </w:p>
    <w:p w14:paraId="67D7E696" w14:textId="601AF333" w:rsidR="006C1845" w:rsidRDefault="006C1845" w:rsidP="00195864">
      <w:pPr>
        <w:pStyle w:val="ListParagraph"/>
        <w:numPr>
          <w:ilvl w:val="0"/>
          <w:numId w:val="31"/>
        </w:numPr>
        <w:spacing w:after="120"/>
        <w:rPr>
          <w:sz w:val="24"/>
          <w:szCs w:val="24"/>
        </w:rPr>
      </w:pPr>
      <w:r>
        <w:rPr>
          <w:sz w:val="24"/>
          <w:szCs w:val="24"/>
        </w:rPr>
        <w:t>February 2022 – Bennion Centre, Langley Ward</w:t>
      </w:r>
    </w:p>
    <w:p w14:paraId="04F0C66B" w14:textId="0E34FF19" w:rsidR="006C1845" w:rsidRPr="00195864" w:rsidRDefault="006C1845" w:rsidP="00195864">
      <w:pPr>
        <w:pStyle w:val="ListParagraph"/>
        <w:numPr>
          <w:ilvl w:val="0"/>
          <w:numId w:val="31"/>
        </w:numPr>
        <w:spacing w:after="120"/>
        <w:rPr>
          <w:sz w:val="24"/>
          <w:szCs w:val="24"/>
        </w:rPr>
      </w:pPr>
      <w:r>
        <w:rPr>
          <w:sz w:val="24"/>
          <w:szCs w:val="24"/>
        </w:rPr>
        <w:t xml:space="preserve">March 2022 – Loughborough Hospital, Swithland Ward </w:t>
      </w:r>
    </w:p>
    <w:p w14:paraId="248A0FF7" w14:textId="56BE0B20" w:rsidR="001533B5" w:rsidRPr="000E645A" w:rsidRDefault="00D05622" w:rsidP="002B6695">
      <w:pPr>
        <w:spacing w:after="120"/>
        <w:ind w:left="720" w:hanging="720"/>
        <w:rPr>
          <w:sz w:val="24"/>
          <w:szCs w:val="24"/>
        </w:rPr>
      </w:pPr>
      <w:r>
        <w:rPr>
          <w:sz w:val="24"/>
          <w:szCs w:val="24"/>
        </w:rPr>
        <w:t>5</w:t>
      </w:r>
      <w:r w:rsidR="001527C1" w:rsidRPr="000E645A">
        <w:rPr>
          <w:sz w:val="24"/>
          <w:szCs w:val="24"/>
        </w:rPr>
        <w:t>.4</w:t>
      </w:r>
      <w:r w:rsidR="001527C1" w:rsidRPr="000E645A">
        <w:rPr>
          <w:sz w:val="24"/>
          <w:szCs w:val="24"/>
        </w:rPr>
        <w:tab/>
        <w:t xml:space="preserve">All episodes of MRSA bacteraemia and CDI are identified and are subject to a Root Cause Analysis </w:t>
      </w:r>
      <w:r w:rsidR="009B1276">
        <w:rPr>
          <w:sz w:val="24"/>
          <w:szCs w:val="24"/>
        </w:rPr>
        <w:t xml:space="preserve">(RCA) </w:t>
      </w:r>
      <w:r w:rsidR="001527C1" w:rsidRPr="000E645A">
        <w:rPr>
          <w:sz w:val="24"/>
          <w:szCs w:val="24"/>
        </w:rPr>
        <w:t>investigation</w:t>
      </w:r>
      <w:r w:rsidR="001527C1" w:rsidRPr="009A5DD3">
        <w:rPr>
          <w:sz w:val="24"/>
          <w:szCs w:val="24"/>
        </w:rPr>
        <w:t>.  All action plans developed as part of this process are presented t</w:t>
      </w:r>
      <w:r w:rsidR="00A87965" w:rsidRPr="009A5DD3">
        <w:rPr>
          <w:sz w:val="24"/>
          <w:szCs w:val="24"/>
        </w:rPr>
        <w:t xml:space="preserve">o the </w:t>
      </w:r>
      <w:r w:rsidR="002B6695" w:rsidRPr="009A5DD3">
        <w:rPr>
          <w:sz w:val="24"/>
          <w:szCs w:val="24"/>
        </w:rPr>
        <w:t>Trust IPC</w:t>
      </w:r>
      <w:r w:rsidR="001527C1" w:rsidRPr="009A5DD3">
        <w:rPr>
          <w:sz w:val="24"/>
          <w:szCs w:val="24"/>
        </w:rPr>
        <w:t xml:space="preserve"> meeting which support</w:t>
      </w:r>
      <w:r w:rsidR="00A87965" w:rsidRPr="009A5DD3">
        <w:rPr>
          <w:sz w:val="24"/>
          <w:szCs w:val="24"/>
        </w:rPr>
        <w:t>s</w:t>
      </w:r>
      <w:r w:rsidR="001527C1" w:rsidRPr="009A5DD3">
        <w:rPr>
          <w:sz w:val="24"/>
          <w:szCs w:val="24"/>
        </w:rPr>
        <w:t xml:space="preserve"> the sign off of completed actions</w:t>
      </w:r>
      <w:r w:rsidR="00A87965">
        <w:rPr>
          <w:sz w:val="24"/>
          <w:szCs w:val="24"/>
        </w:rPr>
        <w:t xml:space="preserve"> and an opportunity to share learning</w:t>
      </w:r>
      <w:r w:rsidR="001527C1" w:rsidRPr="000E645A">
        <w:rPr>
          <w:sz w:val="24"/>
          <w:szCs w:val="24"/>
        </w:rPr>
        <w:t xml:space="preserve">.  </w:t>
      </w:r>
      <w:r w:rsidR="001533B5">
        <w:rPr>
          <w:sz w:val="24"/>
          <w:szCs w:val="24"/>
        </w:rPr>
        <w:t>Delayed sampling was identified as one of the learning points, and the need to consider infections other than Covid-19</w:t>
      </w:r>
      <w:r w:rsidR="00731133">
        <w:rPr>
          <w:sz w:val="24"/>
          <w:szCs w:val="24"/>
        </w:rPr>
        <w:t xml:space="preserve">. </w:t>
      </w:r>
      <w:r w:rsidR="00B61605">
        <w:rPr>
          <w:sz w:val="24"/>
          <w:szCs w:val="24"/>
        </w:rPr>
        <w:t>Learning boards continue to be developed to share the findings across the directorates</w:t>
      </w:r>
    </w:p>
    <w:p w14:paraId="2BA40E2E" w14:textId="7B8BAE52" w:rsidR="001527C1" w:rsidRPr="000E645A" w:rsidRDefault="00D05622" w:rsidP="000E645A">
      <w:pPr>
        <w:spacing w:after="120"/>
        <w:ind w:left="720" w:hanging="720"/>
        <w:rPr>
          <w:b/>
          <w:sz w:val="24"/>
          <w:szCs w:val="24"/>
        </w:rPr>
      </w:pPr>
      <w:r>
        <w:rPr>
          <w:sz w:val="24"/>
          <w:szCs w:val="24"/>
        </w:rPr>
        <w:t>5</w:t>
      </w:r>
      <w:r w:rsidR="001527C1" w:rsidRPr="000E645A">
        <w:rPr>
          <w:sz w:val="24"/>
          <w:szCs w:val="24"/>
        </w:rPr>
        <w:t>.5</w:t>
      </w:r>
      <w:r w:rsidR="001527C1" w:rsidRPr="000E645A">
        <w:rPr>
          <w:b/>
          <w:sz w:val="24"/>
          <w:szCs w:val="24"/>
        </w:rPr>
        <w:tab/>
        <w:t>MSSA Blood stream infection rates</w:t>
      </w:r>
    </w:p>
    <w:p w14:paraId="4FC0BF45" w14:textId="6DC98814" w:rsidR="00FF0EF4" w:rsidRPr="000E645A" w:rsidRDefault="001527C1" w:rsidP="002038FA">
      <w:pPr>
        <w:spacing w:after="120"/>
        <w:ind w:left="720" w:hanging="720"/>
        <w:rPr>
          <w:sz w:val="24"/>
          <w:szCs w:val="24"/>
        </w:rPr>
      </w:pPr>
      <w:r w:rsidRPr="000E645A">
        <w:rPr>
          <w:sz w:val="24"/>
          <w:szCs w:val="24"/>
        </w:rPr>
        <w:tab/>
        <w:t xml:space="preserve">There is no identified </w:t>
      </w:r>
      <w:r w:rsidR="00A87965">
        <w:rPr>
          <w:sz w:val="24"/>
          <w:szCs w:val="24"/>
        </w:rPr>
        <w:t xml:space="preserve">Trust </w:t>
      </w:r>
      <w:r w:rsidR="002B6695" w:rsidRPr="000E645A">
        <w:rPr>
          <w:sz w:val="24"/>
          <w:szCs w:val="24"/>
        </w:rPr>
        <w:t>trajectory for</w:t>
      </w:r>
      <w:r w:rsidRPr="000E645A">
        <w:rPr>
          <w:sz w:val="24"/>
          <w:szCs w:val="24"/>
        </w:rPr>
        <w:t xml:space="preserve"> MSSA, with national requirements focused on acute trust services only.  </w:t>
      </w:r>
      <w:r w:rsidR="00A87965" w:rsidRPr="000E645A">
        <w:rPr>
          <w:sz w:val="24"/>
          <w:szCs w:val="24"/>
        </w:rPr>
        <w:t>However,</w:t>
      </w:r>
      <w:r w:rsidRPr="000E645A">
        <w:rPr>
          <w:sz w:val="24"/>
          <w:szCs w:val="24"/>
        </w:rPr>
        <w:t xml:space="preserve"> the monthly data for this infection rate is submitted to the Clinical Quality Reporting Group </w:t>
      </w:r>
      <w:r w:rsidR="00AA48FE">
        <w:rPr>
          <w:sz w:val="24"/>
          <w:szCs w:val="24"/>
        </w:rPr>
        <w:t xml:space="preserve">(CQRG) </w:t>
      </w:r>
      <w:r w:rsidRPr="000E645A">
        <w:rPr>
          <w:sz w:val="24"/>
          <w:szCs w:val="24"/>
        </w:rPr>
        <w:t>as part of the quality schedule, this supports the overview of the infection rates and the potential of an increase which may need further review and investigation</w:t>
      </w:r>
    </w:p>
    <w:p w14:paraId="30769BA0" w14:textId="4E8B931F" w:rsidR="001527C1" w:rsidRPr="000E645A" w:rsidRDefault="00D05622" w:rsidP="000E645A">
      <w:pPr>
        <w:autoSpaceDE w:val="0"/>
        <w:autoSpaceDN w:val="0"/>
        <w:adjustRightInd w:val="0"/>
        <w:spacing w:after="120"/>
        <w:ind w:left="720" w:hanging="720"/>
        <w:rPr>
          <w:b/>
          <w:sz w:val="24"/>
          <w:szCs w:val="24"/>
        </w:rPr>
      </w:pPr>
      <w:r>
        <w:rPr>
          <w:sz w:val="24"/>
          <w:szCs w:val="24"/>
        </w:rPr>
        <w:t>5</w:t>
      </w:r>
      <w:r w:rsidR="001527C1" w:rsidRPr="000E645A">
        <w:rPr>
          <w:sz w:val="24"/>
          <w:szCs w:val="24"/>
        </w:rPr>
        <w:t>.6</w:t>
      </w:r>
      <w:r w:rsidR="001527C1" w:rsidRPr="000E645A">
        <w:rPr>
          <w:b/>
          <w:sz w:val="24"/>
          <w:szCs w:val="24"/>
        </w:rPr>
        <w:tab/>
        <w:t>Gram Negative Blood Stream Infection (GNBSI) rates</w:t>
      </w:r>
    </w:p>
    <w:p w14:paraId="0BFA074C" w14:textId="311E3A11" w:rsidR="001C475B" w:rsidRPr="001C475B" w:rsidRDefault="001527C1" w:rsidP="001C475B">
      <w:pPr>
        <w:pStyle w:val="ListParagraph"/>
        <w:tabs>
          <w:tab w:val="left" w:pos="1380"/>
        </w:tabs>
        <w:spacing w:after="120"/>
        <w:ind w:hanging="720"/>
        <w:rPr>
          <w:lang w:val="en-US"/>
        </w:rPr>
      </w:pPr>
      <w:r w:rsidRPr="000E645A">
        <w:rPr>
          <w:rFonts w:eastAsia="Arial"/>
          <w:sz w:val="24"/>
          <w:szCs w:val="24"/>
        </w:rPr>
        <w:tab/>
        <w:t xml:space="preserve">In 2017 the Secretary of State for Health launched an important ambition to reduce </w:t>
      </w:r>
      <w:r w:rsidR="008C49FC" w:rsidRPr="000E645A">
        <w:rPr>
          <w:rFonts w:eastAsia="Arial"/>
          <w:sz w:val="24"/>
          <w:szCs w:val="24"/>
        </w:rPr>
        <w:t>h</w:t>
      </w:r>
      <w:r w:rsidRPr="000E645A">
        <w:rPr>
          <w:rFonts w:eastAsia="Arial"/>
          <w:sz w:val="24"/>
          <w:szCs w:val="24"/>
        </w:rPr>
        <w:t>ealthcare associated Gram-negative bloodstream infections by 50% by 2021 and reduce inappropriate antimicrobial prescribing by 50% by 2021.</w:t>
      </w:r>
      <w:r w:rsidR="00DE015A" w:rsidRPr="00DE015A">
        <w:rPr>
          <w:lang w:val="en-US"/>
        </w:rPr>
        <w:t xml:space="preserve"> </w:t>
      </w:r>
      <w:r w:rsidR="00DE015A" w:rsidRPr="001C475B">
        <w:rPr>
          <w:sz w:val="24"/>
          <w:szCs w:val="24"/>
          <w:lang w:val="en-US"/>
        </w:rPr>
        <w:t xml:space="preserve">Furthermore, the NHS Long Term Plan supports a 50% reduction in Gram-negative bloodstream infections (GNBSIs) by 2024/25. </w:t>
      </w:r>
      <w:r w:rsidR="001C475B" w:rsidRPr="001C475B">
        <w:rPr>
          <w:rFonts w:eastAsia="Times New Roman" w:cs="Times New Roman"/>
          <w:sz w:val="24"/>
          <w:szCs w:val="24"/>
          <w:lang w:val="en-US" w:eastAsia="en-GB"/>
        </w:rPr>
        <w:t xml:space="preserve">To help NHS systems achieve this, NHS England have developed a GNBSI reduction toolkit: a collection of guidance notes, </w:t>
      </w:r>
      <w:proofErr w:type="gramStart"/>
      <w:r w:rsidR="001C475B" w:rsidRPr="001C475B">
        <w:rPr>
          <w:rFonts w:eastAsia="Times New Roman" w:cs="Times New Roman"/>
          <w:sz w:val="24"/>
          <w:szCs w:val="24"/>
          <w:lang w:val="en-US" w:eastAsia="en-GB"/>
        </w:rPr>
        <w:t>actions</w:t>
      </w:r>
      <w:proofErr w:type="gramEnd"/>
      <w:r w:rsidR="001C475B" w:rsidRPr="001C475B">
        <w:rPr>
          <w:rFonts w:eastAsia="Times New Roman" w:cs="Times New Roman"/>
          <w:sz w:val="24"/>
          <w:szCs w:val="24"/>
          <w:lang w:val="en-US" w:eastAsia="en-GB"/>
        </w:rPr>
        <w:t xml:space="preserve"> and resources to support reducing GNBSI.</w:t>
      </w:r>
    </w:p>
    <w:p w14:paraId="513D0FA2" w14:textId="5BE4B656" w:rsidR="001527C1" w:rsidRPr="001C475B" w:rsidRDefault="001527C1" w:rsidP="000E645A">
      <w:pPr>
        <w:pStyle w:val="ListParagraph"/>
        <w:tabs>
          <w:tab w:val="left" w:pos="1380"/>
        </w:tabs>
        <w:spacing w:after="120"/>
        <w:ind w:hanging="720"/>
        <w:rPr>
          <w:sz w:val="24"/>
          <w:szCs w:val="24"/>
        </w:rPr>
      </w:pPr>
    </w:p>
    <w:p w14:paraId="2E8D90C5" w14:textId="76098AA3" w:rsidR="001527C1" w:rsidRPr="000E645A" w:rsidRDefault="001527C1" w:rsidP="000E645A">
      <w:pPr>
        <w:autoSpaceDE w:val="0"/>
        <w:autoSpaceDN w:val="0"/>
        <w:adjustRightInd w:val="0"/>
        <w:spacing w:after="120"/>
        <w:ind w:left="720" w:hanging="720"/>
        <w:rPr>
          <w:sz w:val="24"/>
          <w:szCs w:val="24"/>
        </w:rPr>
      </w:pPr>
      <w:r w:rsidRPr="000E645A">
        <w:rPr>
          <w:sz w:val="24"/>
          <w:szCs w:val="24"/>
        </w:rPr>
        <w:tab/>
        <w:t xml:space="preserve">From April 2018 the </w:t>
      </w:r>
      <w:r w:rsidR="00D406B5" w:rsidRPr="000E645A">
        <w:rPr>
          <w:sz w:val="24"/>
          <w:szCs w:val="24"/>
        </w:rPr>
        <w:t>Gram-Negative</w:t>
      </w:r>
      <w:r w:rsidRPr="000E645A">
        <w:rPr>
          <w:sz w:val="24"/>
          <w:szCs w:val="24"/>
        </w:rPr>
        <w:t xml:space="preserve"> Bloodstream Infection rates include:</w:t>
      </w:r>
    </w:p>
    <w:p w14:paraId="07F7A405" w14:textId="77777777" w:rsidR="001527C1" w:rsidRPr="000E645A" w:rsidRDefault="001527C1" w:rsidP="00B410E4">
      <w:pPr>
        <w:pStyle w:val="ListParagraph"/>
        <w:numPr>
          <w:ilvl w:val="0"/>
          <w:numId w:val="1"/>
        </w:numPr>
        <w:autoSpaceDE w:val="0"/>
        <w:autoSpaceDN w:val="0"/>
        <w:adjustRightInd w:val="0"/>
        <w:spacing w:after="0"/>
        <w:contextualSpacing w:val="0"/>
        <w:rPr>
          <w:sz w:val="24"/>
          <w:szCs w:val="24"/>
        </w:rPr>
      </w:pPr>
      <w:r w:rsidRPr="000E645A">
        <w:rPr>
          <w:sz w:val="24"/>
          <w:szCs w:val="24"/>
        </w:rPr>
        <w:t>E-Coli</w:t>
      </w:r>
    </w:p>
    <w:p w14:paraId="425C0E1C" w14:textId="77777777" w:rsidR="001527C1" w:rsidRPr="000E645A" w:rsidRDefault="001527C1" w:rsidP="00B410E4">
      <w:pPr>
        <w:pStyle w:val="ListParagraph"/>
        <w:numPr>
          <w:ilvl w:val="0"/>
          <w:numId w:val="1"/>
        </w:numPr>
        <w:autoSpaceDE w:val="0"/>
        <w:autoSpaceDN w:val="0"/>
        <w:adjustRightInd w:val="0"/>
        <w:spacing w:after="0"/>
        <w:contextualSpacing w:val="0"/>
        <w:rPr>
          <w:sz w:val="24"/>
          <w:szCs w:val="24"/>
        </w:rPr>
      </w:pPr>
      <w:r w:rsidRPr="000E645A">
        <w:rPr>
          <w:sz w:val="24"/>
          <w:szCs w:val="24"/>
        </w:rPr>
        <w:t>Klebsiella pneumonia</w:t>
      </w:r>
    </w:p>
    <w:p w14:paraId="60962E26" w14:textId="77777777" w:rsidR="002038FA" w:rsidRDefault="001527C1" w:rsidP="00B410E4">
      <w:pPr>
        <w:pStyle w:val="ListParagraph"/>
        <w:numPr>
          <w:ilvl w:val="0"/>
          <w:numId w:val="1"/>
        </w:numPr>
        <w:autoSpaceDE w:val="0"/>
        <w:autoSpaceDN w:val="0"/>
        <w:adjustRightInd w:val="0"/>
        <w:spacing w:after="0"/>
        <w:contextualSpacing w:val="0"/>
        <w:rPr>
          <w:sz w:val="24"/>
          <w:szCs w:val="24"/>
        </w:rPr>
      </w:pPr>
      <w:r w:rsidRPr="000E645A">
        <w:rPr>
          <w:sz w:val="24"/>
          <w:szCs w:val="24"/>
        </w:rPr>
        <w:t>Pseudomonas aeruginosa</w:t>
      </w:r>
    </w:p>
    <w:p w14:paraId="7C7549CF" w14:textId="77777777" w:rsidR="00200E99" w:rsidRPr="002038FA" w:rsidRDefault="00200E99" w:rsidP="00200E99">
      <w:pPr>
        <w:pStyle w:val="ListParagraph"/>
        <w:autoSpaceDE w:val="0"/>
        <w:autoSpaceDN w:val="0"/>
        <w:adjustRightInd w:val="0"/>
        <w:spacing w:after="0"/>
        <w:ind w:left="1440"/>
        <w:contextualSpacing w:val="0"/>
        <w:rPr>
          <w:sz w:val="24"/>
          <w:szCs w:val="24"/>
        </w:rPr>
      </w:pPr>
    </w:p>
    <w:p w14:paraId="5B46D962" w14:textId="77777777" w:rsidR="001C475B" w:rsidRDefault="00D05622" w:rsidP="002B6695">
      <w:pPr>
        <w:spacing w:after="120"/>
        <w:ind w:left="720" w:hanging="720"/>
        <w:rPr>
          <w:sz w:val="24"/>
          <w:szCs w:val="24"/>
        </w:rPr>
      </w:pPr>
      <w:r>
        <w:rPr>
          <w:sz w:val="24"/>
          <w:szCs w:val="24"/>
        </w:rPr>
        <w:lastRenderedPageBreak/>
        <w:t>5</w:t>
      </w:r>
      <w:r w:rsidR="001527C1" w:rsidRPr="000E645A">
        <w:rPr>
          <w:sz w:val="24"/>
          <w:szCs w:val="24"/>
        </w:rPr>
        <w:t>.7</w:t>
      </w:r>
      <w:r w:rsidR="001527C1" w:rsidRPr="000E645A">
        <w:rPr>
          <w:sz w:val="24"/>
          <w:szCs w:val="24"/>
        </w:rPr>
        <w:tab/>
        <w:t xml:space="preserve">There is no </w:t>
      </w:r>
      <w:r w:rsidR="00A87965">
        <w:rPr>
          <w:sz w:val="24"/>
          <w:szCs w:val="24"/>
        </w:rPr>
        <w:t>Trust</w:t>
      </w:r>
      <w:r w:rsidR="001527C1" w:rsidRPr="000E645A">
        <w:rPr>
          <w:sz w:val="24"/>
          <w:szCs w:val="24"/>
        </w:rPr>
        <w:t xml:space="preserve"> trajectory for GNBSI, however monthly data for this infection rate is submitted to the Clinical Quality Report Group (CQRG) as part of the quality schedule reporting (Please note this captures E-Coli infection rates only).</w:t>
      </w:r>
      <w:r w:rsidR="00731133">
        <w:rPr>
          <w:sz w:val="24"/>
          <w:szCs w:val="24"/>
        </w:rPr>
        <w:t xml:space="preserve"> </w:t>
      </w:r>
    </w:p>
    <w:p w14:paraId="1E4071CC" w14:textId="7ADA3905" w:rsidR="000550D7" w:rsidRPr="000E645A" w:rsidRDefault="001C475B" w:rsidP="002B6695">
      <w:pPr>
        <w:spacing w:after="120"/>
        <w:ind w:left="720" w:hanging="720"/>
        <w:rPr>
          <w:sz w:val="24"/>
          <w:szCs w:val="24"/>
        </w:rPr>
      </w:pPr>
      <w:r>
        <w:rPr>
          <w:sz w:val="24"/>
          <w:szCs w:val="24"/>
        </w:rPr>
        <w:t>5.8</w:t>
      </w:r>
      <w:r>
        <w:rPr>
          <w:sz w:val="24"/>
          <w:szCs w:val="24"/>
        </w:rPr>
        <w:tab/>
      </w:r>
      <w:r w:rsidR="00731133">
        <w:rPr>
          <w:sz w:val="24"/>
          <w:szCs w:val="24"/>
        </w:rPr>
        <w:t>Due to the pandemic a number of planned workstreams to look at improving the reduction in rates had halted, work is now underway to re-establish the working groups.</w:t>
      </w:r>
    </w:p>
    <w:p w14:paraId="295A6685" w14:textId="6DF6B86D" w:rsidR="001527C1" w:rsidRPr="00ED0FEE" w:rsidRDefault="00D05622" w:rsidP="000C23C9">
      <w:pPr>
        <w:pStyle w:val="Default"/>
        <w:tabs>
          <w:tab w:val="left" w:pos="9072"/>
        </w:tabs>
        <w:spacing w:after="120" w:line="276" w:lineRule="auto"/>
        <w:ind w:left="720" w:hanging="720"/>
      </w:pPr>
      <w:r w:rsidRPr="002B6695">
        <w:rPr>
          <w:rFonts w:asciiTheme="minorHAnsi" w:hAnsiTheme="minorHAnsi"/>
          <w:b/>
          <w:bCs/>
        </w:rPr>
        <w:t>6</w:t>
      </w:r>
      <w:r w:rsidR="00FF0EF4" w:rsidRPr="002B6695">
        <w:rPr>
          <w:rFonts w:asciiTheme="minorHAnsi" w:hAnsiTheme="minorHAnsi"/>
          <w:b/>
          <w:bCs/>
        </w:rPr>
        <w:t>.</w:t>
      </w:r>
      <w:r w:rsidR="001527C1" w:rsidRPr="000E645A">
        <w:rPr>
          <w:rFonts w:asciiTheme="minorHAnsi" w:hAnsiTheme="minorHAnsi"/>
        </w:rPr>
        <w:tab/>
      </w:r>
      <w:r w:rsidR="00FE4DF6">
        <w:rPr>
          <w:rFonts w:asciiTheme="minorHAnsi" w:hAnsiTheme="minorHAnsi"/>
          <w:b/>
        </w:rPr>
        <w:t xml:space="preserve">Ventilation </w:t>
      </w:r>
      <w:r w:rsidR="001527C1" w:rsidRPr="000E645A">
        <w:rPr>
          <w:rFonts w:asciiTheme="minorHAnsi" w:hAnsiTheme="minorHAnsi"/>
          <w:highlight w:val="yellow"/>
        </w:rPr>
        <w:t xml:space="preserve"> </w:t>
      </w:r>
    </w:p>
    <w:p w14:paraId="0C1BB3C4" w14:textId="0210336C" w:rsidR="00FF0EF4" w:rsidRPr="00F90BBC" w:rsidRDefault="00D05622" w:rsidP="000C23C9">
      <w:pPr>
        <w:spacing w:after="120"/>
        <w:ind w:left="720" w:hanging="720"/>
        <w:rPr>
          <w:rFonts w:cstheme="minorHAnsi"/>
          <w:sz w:val="24"/>
          <w:szCs w:val="24"/>
        </w:rPr>
      </w:pPr>
      <w:r>
        <w:rPr>
          <w:rFonts w:eastAsia="Arial"/>
          <w:spacing w:val="-1"/>
          <w:sz w:val="24"/>
          <w:szCs w:val="24"/>
        </w:rPr>
        <w:t>6</w:t>
      </w:r>
      <w:r w:rsidR="001527C1" w:rsidRPr="000E645A">
        <w:rPr>
          <w:rFonts w:eastAsia="Arial"/>
          <w:spacing w:val="-1"/>
          <w:sz w:val="24"/>
          <w:szCs w:val="24"/>
        </w:rPr>
        <w:t>.1</w:t>
      </w:r>
      <w:r w:rsidR="001527C1" w:rsidRPr="000E645A">
        <w:rPr>
          <w:rFonts w:eastAsia="Arial"/>
          <w:spacing w:val="-1"/>
          <w:sz w:val="24"/>
          <w:szCs w:val="24"/>
        </w:rPr>
        <w:tab/>
      </w:r>
      <w:bookmarkStart w:id="3" w:name="_Hlk89418562"/>
      <w:r w:rsidR="00841E07" w:rsidRPr="000E645A">
        <w:rPr>
          <w:rFonts w:eastAsia="Arial" w:cstheme="minorHAnsi"/>
          <w:spacing w:val="-1"/>
          <w:sz w:val="24"/>
          <w:szCs w:val="24"/>
        </w:rPr>
        <w:t xml:space="preserve">As </w:t>
      </w:r>
      <w:r w:rsidR="00841E07" w:rsidRPr="000E645A">
        <w:rPr>
          <w:rFonts w:cstheme="minorHAnsi"/>
          <w:sz w:val="24"/>
          <w:szCs w:val="24"/>
        </w:rPr>
        <w:t>part of the F</w:t>
      </w:r>
      <w:r w:rsidR="00B3429D">
        <w:rPr>
          <w:rFonts w:cstheme="minorHAnsi"/>
          <w:sz w:val="24"/>
          <w:szCs w:val="24"/>
        </w:rPr>
        <w:t xml:space="preserve">acilities </w:t>
      </w:r>
      <w:r w:rsidR="00841E07" w:rsidRPr="000E645A">
        <w:rPr>
          <w:rFonts w:cstheme="minorHAnsi"/>
          <w:sz w:val="24"/>
          <w:szCs w:val="24"/>
        </w:rPr>
        <w:t>M</w:t>
      </w:r>
      <w:r w:rsidR="00B3429D">
        <w:rPr>
          <w:rFonts w:cstheme="minorHAnsi"/>
          <w:sz w:val="24"/>
          <w:szCs w:val="24"/>
        </w:rPr>
        <w:t>anagement (FM)</w:t>
      </w:r>
      <w:r w:rsidR="00841E07" w:rsidRPr="000E645A">
        <w:rPr>
          <w:rFonts w:cstheme="minorHAnsi"/>
          <w:sz w:val="24"/>
          <w:szCs w:val="24"/>
        </w:rPr>
        <w:t xml:space="preserve"> transformation planning and in light of the ventilation requirements/restrictions relating to COVID</w:t>
      </w:r>
      <w:r w:rsidR="00A87965">
        <w:rPr>
          <w:rFonts w:cstheme="minorHAnsi"/>
          <w:sz w:val="24"/>
          <w:szCs w:val="24"/>
        </w:rPr>
        <w:t>-19</w:t>
      </w:r>
      <w:r w:rsidR="00841E07" w:rsidRPr="000E645A">
        <w:rPr>
          <w:rFonts w:cstheme="minorHAnsi"/>
          <w:sz w:val="24"/>
          <w:szCs w:val="24"/>
        </w:rPr>
        <w:t>, the Trust appointed an Authorising Engineer (AE)</w:t>
      </w:r>
      <w:r w:rsidR="00E423B6">
        <w:rPr>
          <w:rFonts w:cstheme="minorHAnsi"/>
          <w:sz w:val="24"/>
          <w:szCs w:val="24"/>
        </w:rPr>
        <w:t xml:space="preserve"> for ventilation</w:t>
      </w:r>
      <w:r w:rsidR="00841E07" w:rsidRPr="000E645A">
        <w:rPr>
          <w:rFonts w:cstheme="minorHAnsi"/>
          <w:sz w:val="24"/>
          <w:szCs w:val="24"/>
        </w:rPr>
        <w:t xml:space="preserve"> direct</w:t>
      </w:r>
      <w:r w:rsidR="00E423B6">
        <w:rPr>
          <w:rFonts w:cstheme="minorHAnsi"/>
          <w:sz w:val="24"/>
          <w:szCs w:val="24"/>
        </w:rPr>
        <w:t>ly</w:t>
      </w:r>
      <w:r w:rsidR="00841E07" w:rsidRPr="000E645A">
        <w:rPr>
          <w:rFonts w:cstheme="minorHAnsi"/>
          <w:sz w:val="24"/>
          <w:szCs w:val="24"/>
        </w:rPr>
        <w:t xml:space="preserve"> rather than using the shared service (hosted by U</w:t>
      </w:r>
      <w:r w:rsidR="003022E5">
        <w:rPr>
          <w:rFonts w:cstheme="minorHAnsi"/>
          <w:sz w:val="24"/>
          <w:szCs w:val="24"/>
        </w:rPr>
        <w:t xml:space="preserve">niversity </w:t>
      </w:r>
      <w:r w:rsidR="00841E07" w:rsidRPr="000E645A">
        <w:rPr>
          <w:rFonts w:cstheme="minorHAnsi"/>
          <w:sz w:val="24"/>
          <w:szCs w:val="24"/>
        </w:rPr>
        <w:t>H</w:t>
      </w:r>
      <w:r w:rsidR="003022E5">
        <w:rPr>
          <w:rFonts w:cstheme="minorHAnsi"/>
          <w:sz w:val="24"/>
          <w:szCs w:val="24"/>
        </w:rPr>
        <w:t xml:space="preserve">ospitals of </w:t>
      </w:r>
      <w:r w:rsidR="00841E07" w:rsidRPr="000E645A">
        <w:rPr>
          <w:rFonts w:cstheme="minorHAnsi"/>
          <w:sz w:val="24"/>
          <w:szCs w:val="24"/>
        </w:rPr>
        <w:t>L</w:t>
      </w:r>
      <w:r w:rsidR="003022E5">
        <w:rPr>
          <w:rFonts w:cstheme="minorHAnsi"/>
          <w:sz w:val="24"/>
          <w:szCs w:val="24"/>
        </w:rPr>
        <w:t xml:space="preserve">eicester </w:t>
      </w:r>
      <w:r w:rsidR="003022E5" w:rsidRPr="00F90BBC">
        <w:rPr>
          <w:rFonts w:cstheme="minorHAnsi"/>
          <w:sz w:val="24"/>
          <w:szCs w:val="24"/>
        </w:rPr>
        <w:t>(UHL</w:t>
      </w:r>
      <w:r w:rsidR="00841E07" w:rsidRPr="00F90BBC">
        <w:rPr>
          <w:rFonts w:cstheme="minorHAnsi"/>
          <w:sz w:val="24"/>
          <w:szCs w:val="24"/>
        </w:rPr>
        <w:t>).</w:t>
      </w:r>
    </w:p>
    <w:p w14:paraId="4879B112" w14:textId="6746D088" w:rsidR="00F90BBC" w:rsidRPr="00F90BBC" w:rsidRDefault="00D05622" w:rsidP="00F90BBC">
      <w:pPr>
        <w:spacing w:after="120"/>
        <w:ind w:left="720" w:hanging="720"/>
        <w:rPr>
          <w:sz w:val="24"/>
          <w:szCs w:val="24"/>
        </w:rPr>
      </w:pPr>
      <w:r>
        <w:rPr>
          <w:rFonts w:cstheme="minorHAnsi"/>
          <w:sz w:val="24"/>
          <w:szCs w:val="24"/>
        </w:rPr>
        <w:t>6</w:t>
      </w:r>
      <w:r w:rsidR="00FF0EF4" w:rsidRPr="00F90BBC">
        <w:rPr>
          <w:rFonts w:cstheme="minorHAnsi"/>
          <w:sz w:val="24"/>
          <w:szCs w:val="24"/>
        </w:rPr>
        <w:t>.2</w:t>
      </w:r>
      <w:r w:rsidR="00FF0EF4" w:rsidRPr="00F90BBC">
        <w:rPr>
          <w:rFonts w:cstheme="minorHAnsi"/>
          <w:sz w:val="24"/>
          <w:szCs w:val="24"/>
        </w:rPr>
        <w:tab/>
      </w:r>
      <w:r w:rsidR="00F90BBC" w:rsidRPr="00F90BBC">
        <w:rPr>
          <w:sz w:val="24"/>
          <w:szCs w:val="24"/>
        </w:rPr>
        <w:t xml:space="preserve">Following the appointment of the AE (V) in April 2021, they are working with the </w:t>
      </w:r>
      <w:r w:rsidR="00A87965">
        <w:rPr>
          <w:sz w:val="24"/>
          <w:szCs w:val="24"/>
        </w:rPr>
        <w:t xml:space="preserve">Trust </w:t>
      </w:r>
      <w:r w:rsidR="00F90BBC" w:rsidRPr="00F90BBC">
        <w:rPr>
          <w:sz w:val="24"/>
          <w:szCs w:val="24"/>
        </w:rPr>
        <w:t>ventilation group to progress arising issues, asset and compliance data checks, reviewing management processes and organisational governance arrangements.</w:t>
      </w:r>
    </w:p>
    <w:p w14:paraId="3C635E77" w14:textId="698CA134" w:rsidR="00841E07" w:rsidRPr="00F90BBC" w:rsidRDefault="00D05622" w:rsidP="000C23C9">
      <w:pPr>
        <w:spacing w:after="120"/>
        <w:ind w:left="720" w:hanging="720"/>
        <w:rPr>
          <w:rFonts w:cstheme="minorHAnsi"/>
          <w:sz w:val="24"/>
          <w:szCs w:val="24"/>
        </w:rPr>
      </w:pPr>
      <w:r>
        <w:rPr>
          <w:rFonts w:cstheme="minorHAnsi"/>
          <w:sz w:val="24"/>
          <w:szCs w:val="24"/>
        </w:rPr>
        <w:t>6</w:t>
      </w:r>
      <w:r w:rsidR="00FF0EF4" w:rsidRPr="00F90BBC">
        <w:rPr>
          <w:rFonts w:cstheme="minorHAnsi"/>
          <w:sz w:val="24"/>
          <w:szCs w:val="24"/>
        </w:rPr>
        <w:t>.3</w:t>
      </w:r>
      <w:r w:rsidR="00FF0EF4" w:rsidRPr="00F90BBC">
        <w:rPr>
          <w:rFonts w:cstheme="minorHAnsi"/>
          <w:sz w:val="24"/>
          <w:szCs w:val="24"/>
        </w:rPr>
        <w:tab/>
      </w:r>
      <w:r w:rsidR="00841E07" w:rsidRPr="00F90BBC">
        <w:rPr>
          <w:rFonts w:cstheme="minorHAnsi"/>
          <w:sz w:val="24"/>
          <w:szCs w:val="24"/>
        </w:rPr>
        <w:t>An initial Ventilation Safety Group too</w:t>
      </w:r>
      <w:r w:rsidR="00B3429D" w:rsidRPr="00F90BBC">
        <w:rPr>
          <w:rFonts w:cstheme="minorHAnsi"/>
          <w:sz w:val="24"/>
          <w:szCs w:val="24"/>
        </w:rPr>
        <w:t>k</w:t>
      </w:r>
      <w:r w:rsidR="00841E07" w:rsidRPr="00F90BBC">
        <w:rPr>
          <w:rFonts w:cstheme="minorHAnsi"/>
          <w:sz w:val="24"/>
          <w:szCs w:val="24"/>
        </w:rPr>
        <w:t xml:space="preserve"> place in </w:t>
      </w:r>
      <w:r w:rsidR="00936777" w:rsidRPr="00F90BBC">
        <w:rPr>
          <w:rFonts w:cstheme="minorHAnsi"/>
          <w:sz w:val="24"/>
          <w:szCs w:val="24"/>
        </w:rPr>
        <w:t>May 2021 and</w:t>
      </w:r>
      <w:r w:rsidR="00F90BBC" w:rsidRPr="00F90BBC">
        <w:rPr>
          <w:sz w:val="24"/>
          <w:szCs w:val="24"/>
        </w:rPr>
        <w:t xml:space="preserve"> has met subsequently at agreed intervals and the work plan continues to be developed</w:t>
      </w:r>
      <w:r w:rsidR="00A87965">
        <w:rPr>
          <w:sz w:val="24"/>
          <w:szCs w:val="24"/>
        </w:rPr>
        <w:t>.</w:t>
      </w:r>
      <w:r w:rsidR="00F90BBC" w:rsidRPr="00F90BBC">
        <w:rPr>
          <w:sz w:val="24"/>
          <w:szCs w:val="24"/>
        </w:rPr>
        <w:t xml:space="preserve"> </w:t>
      </w:r>
    </w:p>
    <w:p w14:paraId="4B2BDD50" w14:textId="58CB351B" w:rsidR="00841E07" w:rsidRPr="00F90BBC" w:rsidRDefault="00D05622" w:rsidP="000C23C9">
      <w:pPr>
        <w:spacing w:after="120"/>
        <w:ind w:left="720" w:hanging="720"/>
        <w:rPr>
          <w:rFonts w:cstheme="minorHAnsi"/>
          <w:sz w:val="24"/>
          <w:szCs w:val="24"/>
        </w:rPr>
      </w:pPr>
      <w:r>
        <w:rPr>
          <w:rFonts w:cstheme="minorHAnsi"/>
          <w:sz w:val="24"/>
          <w:szCs w:val="24"/>
        </w:rPr>
        <w:t>6</w:t>
      </w:r>
      <w:r w:rsidR="00FF0EF4" w:rsidRPr="00F90BBC">
        <w:rPr>
          <w:rFonts w:cstheme="minorHAnsi"/>
          <w:sz w:val="24"/>
          <w:szCs w:val="24"/>
        </w:rPr>
        <w:t>.4</w:t>
      </w:r>
      <w:r w:rsidR="00FF0EF4" w:rsidRPr="00F90BBC">
        <w:rPr>
          <w:rFonts w:cstheme="minorHAnsi"/>
          <w:sz w:val="24"/>
          <w:szCs w:val="24"/>
        </w:rPr>
        <w:tab/>
      </w:r>
      <w:r w:rsidR="00841E07" w:rsidRPr="00F90BBC">
        <w:rPr>
          <w:rFonts w:cstheme="minorHAnsi"/>
          <w:sz w:val="24"/>
          <w:szCs w:val="24"/>
        </w:rPr>
        <w:t xml:space="preserve">A full ventilation audit is </w:t>
      </w:r>
      <w:r w:rsidR="00F90BBC" w:rsidRPr="00F90BBC">
        <w:rPr>
          <w:rFonts w:cstheme="minorHAnsi"/>
          <w:sz w:val="24"/>
          <w:szCs w:val="24"/>
        </w:rPr>
        <w:t>required,</w:t>
      </w:r>
      <w:r w:rsidR="00841E07" w:rsidRPr="00F90BBC">
        <w:rPr>
          <w:rFonts w:cstheme="minorHAnsi"/>
          <w:sz w:val="24"/>
          <w:szCs w:val="24"/>
        </w:rPr>
        <w:t xml:space="preserve"> </w:t>
      </w:r>
      <w:r w:rsidR="00A87965">
        <w:rPr>
          <w:rFonts w:cstheme="minorHAnsi"/>
          <w:sz w:val="24"/>
          <w:szCs w:val="24"/>
        </w:rPr>
        <w:t>a</w:t>
      </w:r>
      <w:r w:rsidR="00841E07" w:rsidRPr="00F90BBC">
        <w:rPr>
          <w:rFonts w:cstheme="minorHAnsi"/>
          <w:sz w:val="24"/>
          <w:szCs w:val="24"/>
        </w:rPr>
        <w:t xml:space="preserve">nd a brief is being developed </w:t>
      </w:r>
      <w:r w:rsidR="00936777" w:rsidRPr="00F90BBC">
        <w:rPr>
          <w:rFonts w:cstheme="minorHAnsi"/>
          <w:sz w:val="24"/>
          <w:szCs w:val="24"/>
        </w:rPr>
        <w:t>to</w:t>
      </w:r>
      <w:r w:rsidR="00841E07" w:rsidRPr="00F90BBC">
        <w:rPr>
          <w:rFonts w:cstheme="minorHAnsi"/>
          <w:sz w:val="24"/>
          <w:szCs w:val="24"/>
        </w:rPr>
        <w:t xml:space="preserve"> obtain quotations.</w:t>
      </w:r>
      <w:r w:rsidR="00F90BBC" w:rsidRPr="00F90BBC">
        <w:rPr>
          <w:rFonts w:cstheme="minorHAnsi"/>
          <w:sz w:val="24"/>
          <w:szCs w:val="24"/>
        </w:rPr>
        <w:t xml:space="preserve"> </w:t>
      </w:r>
      <w:r w:rsidR="00F90BBC" w:rsidRPr="00F90BBC">
        <w:rPr>
          <w:sz w:val="24"/>
          <w:szCs w:val="24"/>
        </w:rPr>
        <w:t>This action is under review by the Vent</w:t>
      </w:r>
      <w:r w:rsidR="00A87965">
        <w:rPr>
          <w:sz w:val="24"/>
          <w:szCs w:val="24"/>
        </w:rPr>
        <w:t>ilation</w:t>
      </w:r>
      <w:r w:rsidR="00F90BBC" w:rsidRPr="00F90BBC">
        <w:rPr>
          <w:sz w:val="24"/>
          <w:szCs w:val="24"/>
        </w:rPr>
        <w:t xml:space="preserve"> group </w:t>
      </w:r>
      <w:r w:rsidR="00A87965">
        <w:rPr>
          <w:sz w:val="24"/>
          <w:szCs w:val="24"/>
        </w:rPr>
        <w:t>and</w:t>
      </w:r>
      <w:r w:rsidR="00731133">
        <w:rPr>
          <w:sz w:val="24"/>
          <w:szCs w:val="24"/>
        </w:rPr>
        <w:t xml:space="preserve"> </w:t>
      </w:r>
      <w:r w:rsidR="00F90BBC" w:rsidRPr="00F90BBC">
        <w:rPr>
          <w:sz w:val="24"/>
          <w:szCs w:val="24"/>
        </w:rPr>
        <w:t>forms part of the work being undertaken by T</w:t>
      </w:r>
      <w:r w:rsidR="009F010E">
        <w:rPr>
          <w:sz w:val="24"/>
          <w:szCs w:val="24"/>
        </w:rPr>
        <w:t xml:space="preserve">urner </w:t>
      </w:r>
      <w:r w:rsidR="00F90BBC" w:rsidRPr="00F90BBC">
        <w:rPr>
          <w:sz w:val="24"/>
          <w:szCs w:val="24"/>
        </w:rPr>
        <w:t>&amp;T</w:t>
      </w:r>
      <w:r w:rsidR="009F010E">
        <w:rPr>
          <w:sz w:val="24"/>
          <w:szCs w:val="24"/>
        </w:rPr>
        <w:t>ownsend, Facilities Management</w:t>
      </w:r>
      <w:r w:rsidR="00F90BBC" w:rsidRPr="00F90BBC">
        <w:rPr>
          <w:sz w:val="24"/>
          <w:szCs w:val="24"/>
        </w:rPr>
        <w:t xml:space="preserve"> in 7.5 below.</w:t>
      </w:r>
    </w:p>
    <w:p w14:paraId="6CD616FC" w14:textId="3950722E" w:rsidR="00841E07" w:rsidRPr="00F90BBC" w:rsidRDefault="001A042D" w:rsidP="000C23C9">
      <w:pPr>
        <w:spacing w:after="120"/>
        <w:ind w:left="720" w:hanging="720"/>
        <w:rPr>
          <w:rFonts w:cstheme="minorHAnsi"/>
          <w:sz w:val="24"/>
          <w:szCs w:val="24"/>
        </w:rPr>
      </w:pPr>
      <w:r>
        <w:rPr>
          <w:rFonts w:cstheme="minorHAnsi"/>
          <w:sz w:val="24"/>
          <w:szCs w:val="24"/>
        </w:rPr>
        <w:t>6</w:t>
      </w:r>
      <w:r w:rsidR="00FF0EF4" w:rsidRPr="00F90BBC">
        <w:rPr>
          <w:rFonts w:cstheme="minorHAnsi"/>
          <w:sz w:val="24"/>
          <w:szCs w:val="24"/>
        </w:rPr>
        <w:t>.5</w:t>
      </w:r>
      <w:r w:rsidR="00FF0EF4" w:rsidRPr="00F90BBC">
        <w:rPr>
          <w:rFonts w:cstheme="minorHAnsi"/>
          <w:sz w:val="24"/>
          <w:szCs w:val="24"/>
        </w:rPr>
        <w:tab/>
      </w:r>
      <w:r w:rsidR="00841E07" w:rsidRPr="00F90BBC">
        <w:rPr>
          <w:rFonts w:cstheme="minorHAnsi"/>
          <w:sz w:val="24"/>
          <w:szCs w:val="24"/>
        </w:rPr>
        <w:t xml:space="preserve">Information regarding the maintenance and management of systems from the shared service – hosted by UHL is being reviewed by the </w:t>
      </w:r>
      <w:r w:rsidR="00696716" w:rsidRPr="00F90BBC">
        <w:rPr>
          <w:rFonts w:cstheme="minorHAnsi"/>
          <w:sz w:val="24"/>
          <w:szCs w:val="24"/>
        </w:rPr>
        <w:t>AE</w:t>
      </w:r>
      <w:r w:rsidR="00841E07" w:rsidRPr="00F90BBC">
        <w:rPr>
          <w:rFonts w:cstheme="minorHAnsi"/>
          <w:sz w:val="24"/>
          <w:szCs w:val="24"/>
        </w:rPr>
        <w:t>.</w:t>
      </w:r>
    </w:p>
    <w:p w14:paraId="6C3CA1FA" w14:textId="44FDCBD9" w:rsidR="00841E07" w:rsidRPr="00F90BBC" w:rsidRDefault="001A042D" w:rsidP="000C23C9">
      <w:pPr>
        <w:spacing w:after="120"/>
        <w:ind w:left="720" w:hanging="720"/>
        <w:rPr>
          <w:rFonts w:cstheme="minorHAnsi"/>
          <w:sz w:val="24"/>
          <w:szCs w:val="24"/>
        </w:rPr>
      </w:pPr>
      <w:r>
        <w:rPr>
          <w:rFonts w:cstheme="minorHAnsi"/>
          <w:sz w:val="24"/>
          <w:szCs w:val="24"/>
        </w:rPr>
        <w:t>6</w:t>
      </w:r>
      <w:r w:rsidR="00FF0EF4" w:rsidRPr="00F90BBC">
        <w:rPr>
          <w:rFonts w:cstheme="minorHAnsi"/>
          <w:sz w:val="24"/>
          <w:szCs w:val="24"/>
        </w:rPr>
        <w:t>.6</w:t>
      </w:r>
      <w:r w:rsidR="00FF0EF4" w:rsidRPr="00F90BBC">
        <w:rPr>
          <w:rFonts w:cstheme="minorHAnsi"/>
          <w:sz w:val="24"/>
          <w:szCs w:val="24"/>
        </w:rPr>
        <w:tab/>
      </w:r>
      <w:r w:rsidR="00841E07" w:rsidRPr="00F90BBC">
        <w:rPr>
          <w:rFonts w:cstheme="minorHAnsi"/>
          <w:sz w:val="24"/>
          <w:szCs w:val="24"/>
        </w:rPr>
        <w:t xml:space="preserve">The </w:t>
      </w:r>
      <w:r w:rsidR="00883DA2" w:rsidRPr="00F90BBC">
        <w:rPr>
          <w:rFonts w:cstheme="minorHAnsi"/>
          <w:sz w:val="24"/>
          <w:szCs w:val="24"/>
        </w:rPr>
        <w:t>AE provides</w:t>
      </w:r>
      <w:r w:rsidR="00841E07" w:rsidRPr="00F90BBC">
        <w:rPr>
          <w:rFonts w:cstheme="minorHAnsi"/>
          <w:sz w:val="24"/>
          <w:szCs w:val="24"/>
        </w:rPr>
        <w:t xml:space="preserve"> advice and recommendations to individual queries raised and work has been undertaken at the E</w:t>
      </w:r>
      <w:r w:rsidR="00B3429D" w:rsidRPr="00F90BBC">
        <w:rPr>
          <w:rFonts w:cstheme="minorHAnsi"/>
          <w:sz w:val="24"/>
          <w:szCs w:val="24"/>
        </w:rPr>
        <w:t xml:space="preserve">lectro </w:t>
      </w:r>
      <w:r w:rsidR="00841E07" w:rsidRPr="00F90BBC">
        <w:rPr>
          <w:rFonts w:cstheme="minorHAnsi"/>
          <w:sz w:val="24"/>
          <w:szCs w:val="24"/>
        </w:rPr>
        <w:t>C</w:t>
      </w:r>
      <w:r w:rsidR="00B3429D" w:rsidRPr="00F90BBC">
        <w:rPr>
          <w:rFonts w:cstheme="minorHAnsi"/>
          <w:sz w:val="24"/>
          <w:szCs w:val="24"/>
        </w:rPr>
        <w:t xml:space="preserve">onvulsive </w:t>
      </w:r>
      <w:r w:rsidR="00841E07" w:rsidRPr="00F90BBC">
        <w:rPr>
          <w:rFonts w:cstheme="minorHAnsi"/>
          <w:sz w:val="24"/>
          <w:szCs w:val="24"/>
        </w:rPr>
        <w:t>T</w:t>
      </w:r>
      <w:r w:rsidR="00B3429D" w:rsidRPr="00F90BBC">
        <w:rPr>
          <w:rFonts w:cstheme="minorHAnsi"/>
          <w:sz w:val="24"/>
          <w:szCs w:val="24"/>
        </w:rPr>
        <w:t>herapy (ECT)</w:t>
      </w:r>
      <w:r w:rsidR="00841E07" w:rsidRPr="00F90BBC">
        <w:rPr>
          <w:rFonts w:cstheme="minorHAnsi"/>
          <w:sz w:val="24"/>
          <w:szCs w:val="24"/>
        </w:rPr>
        <w:t xml:space="preserve"> suite at the Bradgate Unit to ensure that services can continue in a COVID</w:t>
      </w:r>
      <w:r w:rsidR="00B3429D" w:rsidRPr="00F90BBC">
        <w:rPr>
          <w:rFonts w:cstheme="minorHAnsi"/>
          <w:sz w:val="24"/>
          <w:szCs w:val="24"/>
        </w:rPr>
        <w:t>-19</w:t>
      </w:r>
      <w:r w:rsidR="00841E07" w:rsidRPr="00F90BBC">
        <w:rPr>
          <w:rFonts w:cstheme="minorHAnsi"/>
          <w:sz w:val="24"/>
          <w:szCs w:val="24"/>
        </w:rPr>
        <w:t xml:space="preserve"> safe way.</w:t>
      </w:r>
      <w:r w:rsidR="00F90BBC" w:rsidRPr="00F90BBC">
        <w:rPr>
          <w:rFonts w:cstheme="minorHAnsi"/>
          <w:sz w:val="24"/>
          <w:szCs w:val="24"/>
        </w:rPr>
        <w:t xml:space="preserve">  </w:t>
      </w:r>
      <w:r w:rsidR="00F90BBC" w:rsidRPr="00F90BBC">
        <w:rPr>
          <w:sz w:val="24"/>
          <w:szCs w:val="24"/>
        </w:rPr>
        <w:t>Minor works complete</w:t>
      </w:r>
      <w:r w:rsidR="0036455C">
        <w:rPr>
          <w:sz w:val="24"/>
          <w:szCs w:val="24"/>
        </w:rPr>
        <w:t>d</w:t>
      </w:r>
      <w:r w:rsidR="00F90BBC" w:rsidRPr="00F90BBC">
        <w:rPr>
          <w:sz w:val="24"/>
          <w:szCs w:val="24"/>
        </w:rPr>
        <w:t xml:space="preserve"> and </w:t>
      </w:r>
      <w:r w:rsidR="0036455C">
        <w:rPr>
          <w:sz w:val="24"/>
          <w:szCs w:val="24"/>
        </w:rPr>
        <w:t xml:space="preserve">the </w:t>
      </w:r>
      <w:r w:rsidR="00F90BBC" w:rsidRPr="00F90BBC">
        <w:rPr>
          <w:sz w:val="24"/>
          <w:szCs w:val="24"/>
        </w:rPr>
        <w:t xml:space="preserve">area </w:t>
      </w:r>
      <w:r w:rsidR="0036455C">
        <w:rPr>
          <w:sz w:val="24"/>
          <w:szCs w:val="24"/>
        </w:rPr>
        <w:t xml:space="preserve">is </w:t>
      </w:r>
      <w:r w:rsidR="00F90BBC" w:rsidRPr="00F90BBC">
        <w:rPr>
          <w:sz w:val="24"/>
          <w:szCs w:val="24"/>
        </w:rPr>
        <w:t>compliant for ventilation</w:t>
      </w:r>
      <w:r w:rsidR="0036455C">
        <w:rPr>
          <w:sz w:val="24"/>
          <w:szCs w:val="24"/>
        </w:rPr>
        <w:t xml:space="preserve">, </w:t>
      </w:r>
      <w:r w:rsidR="00F90BBC" w:rsidRPr="00F90BBC">
        <w:rPr>
          <w:sz w:val="24"/>
          <w:szCs w:val="24"/>
        </w:rPr>
        <w:t>further works planned to increase space and upgrade vent</w:t>
      </w:r>
      <w:r w:rsidR="0036455C">
        <w:rPr>
          <w:sz w:val="24"/>
          <w:szCs w:val="24"/>
        </w:rPr>
        <w:t>ilation</w:t>
      </w:r>
      <w:r w:rsidR="00F90BBC" w:rsidRPr="00F90BBC">
        <w:rPr>
          <w:sz w:val="24"/>
          <w:szCs w:val="24"/>
        </w:rPr>
        <w:t xml:space="preserve"> services due to age/condition.</w:t>
      </w:r>
    </w:p>
    <w:p w14:paraId="7F13A1F4" w14:textId="5A24D89E" w:rsidR="008A6F39" w:rsidRPr="000E645A" w:rsidRDefault="001A042D" w:rsidP="002B6695">
      <w:pPr>
        <w:spacing w:after="120"/>
        <w:rPr>
          <w:rFonts w:cstheme="minorHAnsi"/>
          <w:sz w:val="24"/>
          <w:szCs w:val="24"/>
        </w:rPr>
      </w:pPr>
      <w:r>
        <w:rPr>
          <w:rFonts w:cstheme="minorHAnsi"/>
          <w:sz w:val="24"/>
          <w:szCs w:val="24"/>
        </w:rPr>
        <w:t>6</w:t>
      </w:r>
      <w:r w:rsidR="00883DA2">
        <w:rPr>
          <w:rFonts w:cstheme="minorHAnsi"/>
          <w:sz w:val="24"/>
          <w:szCs w:val="24"/>
        </w:rPr>
        <w:t>.7</w:t>
      </w:r>
      <w:r w:rsidR="00FF0EF4" w:rsidRPr="000E645A">
        <w:rPr>
          <w:rFonts w:cstheme="minorHAnsi"/>
          <w:sz w:val="24"/>
          <w:szCs w:val="24"/>
        </w:rPr>
        <w:tab/>
      </w:r>
      <w:r w:rsidR="00841E07" w:rsidRPr="000E645A">
        <w:rPr>
          <w:rFonts w:cstheme="minorHAnsi"/>
          <w:sz w:val="24"/>
          <w:szCs w:val="24"/>
        </w:rPr>
        <w:t>There are no emerging or immediate risks identified for action.</w:t>
      </w:r>
      <w:r w:rsidR="00FF0EF4" w:rsidRPr="000E645A">
        <w:rPr>
          <w:rFonts w:cstheme="minorHAnsi"/>
          <w:sz w:val="24"/>
          <w:szCs w:val="24"/>
        </w:rPr>
        <w:t xml:space="preserve"> </w:t>
      </w:r>
      <w:bookmarkEnd w:id="3"/>
    </w:p>
    <w:p w14:paraId="2F3914E3" w14:textId="43BA16F9" w:rsidR="000550D7" w:rsidRDefault="001A042D" w:rsidP="002038FA">
      <w:pPr>
        <w:spacing w:after="120"/>
        <w:ind w:left="720" w:hanging="720"/>
        <w:rPr>
          <w:b/>
          <w:sz w:val="24"/>
          <w:szCs w:val="24"/>
        </w:rPr>
      </w:pPr>
      <w:r>
        <w:rPr>
          <w:b/>
          <w:sz w:val="24"/>
          <w:szCs w:val="24"/>
        </w:rPr>
        <w:t>7</w:t>
      </w:r>
      <w:r w:rsidR="000550D7" w:rsidRPr="000E645A">
        <w:rPr>
          <w:b/>
          <w:sz w:val="24"/>
          <w:szCs w:val="24"/>
        </w:rPr>
        <w:t>.</w:t>
      </w:r>
      <w:r w:rsidR="000550D7" w:rsidRPr="000E645A">
        <w:rPr>
          <w:b/>
          <w:sz w:val="24"/>
          <w:szCs w:val="24"/>
        </w:rPr>
        <w:tab/>
      </w:r>
      <w:r w:rsidR="00841E07" w:rsidRPr="000E645A">
        <w:rPr>
          <w:b/>
          <w:sz w:val="24"/>
          <w:szCs w:val="24"/>
        </w:rPr>
        <w:t>Water Management</w:t>
      </w:r>
    </w:p>
    <w:p w14:paraId="55102167" w14:textId="41265C36" w:rsidR="007879DB" w:rsidRDefault="007879DB" w:rsidP="002038FA">
      <w:pPr>
        <w:spacing w:after="120"/>
        <w:ind w:left="720" w:hanging="720"/>
        <w:rPr>
          <w:bCs/>
          <w:sz w:val="24"/>
          <w:szCs w:val="24"/>
        </w:rPr>
      </w:pPr>
      <w:r>
        <w:rPr>
          <w:bCs/>
          <w:sz w:val="24"/>
          <w:szCs w:val="24"/>
        </w:rPr>
        <w:t>7.1</w:t>
      </w:r>
      <w:r>
        <w:rPr>
          <w:bCs/>
          <w:sz w:val="24"/>
          <w:szCs w:val="24"/>
        </w:rPr>
        <w:tab/>
        <w:t xml:space="preserve">The water </w:t>
      </w:r>
      <w:r w:rsidR="00D406B5">
        <w:rPr>
          <w:bCs/>
          <w:sz w:val="24"/>
          <w:szCs w:val="24"/>
        </w:rPr>
        <w:t>safety group</w:t>
      </w:r>
      <w:r w:rsidR="00B866A1">
        <w:rPr>
          <w:bCs/>
          <w:sz w:val="24"/>
          <w:szCs w:val="24"/>
        </w:rPr>
        <w:t xml:space="preserve"> (WSG)</w:t>
      </w:r>
      <w:r>
        <w:rPr>
          <w:bCs/>
          <w:sz w:val="24"/>
          <w:szCs w:val="24"/>
        </w:rPr>
        <w:t xml:space="preserve"> continue to meet on a quarterly basis.  The governance of the group is identified in the terms of reference, with an updated water safety group policy and water safety plan in place.</w:t>
      </w:r>
      <w:r w:rsidR="00B866A1">
        <w:rPr>
          <w:bCs/>
          <w:sz w:val="24"/>
          <w:szCs w:val="24"/>
        </w:rPr>
        <w:t xml:space="preserve"> The membership of the group has been independently confirmed by the Authorised Engineer for the trust (Hydrop).</w:t>
      </w:r>
    </w:p>
    <w:p w14:paraId="0258602C" w14:textId="52068A49" w:rsidR="007879DB" w:rsidRDefault="007879DB" w:rsidP="002038FA">
      <w:pPr>
        <w:spacing w:after="120"/>
        <w:ind w:left="720" w:hanging="720"/>
        <w:rPr>
          <w:bCs/>
          <w:sz w:val="24"/>
          <w:szCs w:val="24"/>
        </w:rPr>
      </w:pPr>
      <w:r>
        <w:rPr>
          <w:bCs/>
          <w:sz w:val="24"/>
          <w:szCs w:val="24"/>
        </w:rPr>
        <w:t>7.2</w:t>
      </w:r>
      <w:r>
        <w:rPr>
          <w:bCs/>
          <w:sz w:val="24"/>
          <w:szCs w:val="24"/>
        </w:rPr>
        <w:tab/>
        <w:t xml:space="preserve">Responsible person training identified within the water safety policy has been completed by the relevant staff employed within LPT and UHL.  Further training is being undertaken by UHL estates staff and the water safety group </w:t>
      </w:r>
      <w:r w:rsidR="00B866A1">
        <w:rPr>
          <w:bCs/>
          <w:sz w:val="24"/>
          <w:szCs w:val="24"/>
        </w:rPr>
        <w:t>have requested updates for each quarter.</w:t>
      </w:r>
      <w:r>
        <w:rPr>
          <w:bCs/>
          <w:sz w:val="24"/>
          <w:szCs w:val="24"/>
        </w:rPr>
        <w:t xml:space="preserve"> </w:t>
      </w:r>
    </w:p>
    <w:p w14:paraId="4D772EBC" w14:textId="744FF544" w:rsidR="00524753" w:rsidRDefault="00B866A1" w:rsidP="00577B8D">
      <w:pPr>
        <w:ind w:left="720" w:hanging="720"/>
        <w:rPr>
          <w:bCs/>
          <w:sz w:val="24"/>
          <w:szCs w:val="24"/>
        </w:rPr>
      </w:pPr>
      <w:r>
        <w:rPr>
          <w:bCs/>
          <w:sz w:val="24"/>
          <w:szCs w:val="24"/>
        </w:rPr>
        <w:t>7.3</w:t>
      </w:r>
      <w:r>
        <w:rPr>
          <w:bCs/>
          <w:sz w:val="24"/>
          <w:szCs w:val="24"/>
        </w:rPr>
        <w:tab/>
        <w:t>Overall water compliance has steadily improved, but ther</w:t>
      </w:r>
      <w:r w:rsidR="00CC3951">
        <w:rPr>
          <w:bCs/>
          <w:sz w:val="24"/>
          <w:szCs w:val="24"/>
        </w:rPr>
        <w:t>e</w:t>
      </w:r>
      <w:r>
        <w:rPr>
          <w:bCs/>
          <w:sz w:val="24"/>
          <w:szCs w:val="24"/>
        </w:rPr>
        <w:t xml:space="preserve"> remains a number of key areas the WSG</w:t>
      </w:r>
      <w:r w:rsidR="00524753">
        <w:rPr>
          <w:bCs/>
          <w:sz w:val="24"/>
          <w:szCs w:val="24"/>
        </w:rPr>
        <w:t xml:space="preserve"> continue to focus on with UHL required to rectify these issues. Those included with a level of improvement have </w:t>
      </w:r>
      <w:r w:rsidR="00BD5037">
        <w:rPr>
          <w:bCs/>
          <w:sz w:val="24"/>
          <w:szCs w:val="24"/>
        </w:rPr>
        <w:t>been.</w:t>
      </w:r>
    </w:p>
    <w:p w14:paraId="39A6B73C" w14:textId="77777777" w:rsidR="00524753" w:rsidRPr="00577B8D" w:rsidRDefault="00524753" w:rsidP="00FC745B">
      <w:pPr>
        <w:pStyle w:val="ListParagraph"/>
        <w:numPr>
          <w:ilvl w:val="0"/>
          <w:numId w:val="33"/>
        </w:numPr>
        <w:rPr>
          <w:rFonts w:cstheme="minorHAnsi"/>
          <w:sz w:val="24"/>
          <w:szCs w:val="24"/>
        </w:rPr>
      </w:pPr>
      <w:r w:rsidRPr="00577B8D">
        <w:rPr>
          <w:rFonts w:cstheme="minorHAnsi"/>
          <w:bCs/>
          <w:sz w:val="24"/>
          <w:szCs w:val="24"/>
        </w:rPr>
        <w:t>w</w:t>
      </w:r>
      <w:r w:rsidR="00B866A1" w:rsidRPr="00577B8D">
        <w:rPr>
          <w:rFonts w:cstheme="minorHAnsi"/>
          <w:sz w:val="24"/>
          <w:szCs w:val="24"/>
        </w:rPr>
        <w:t xml:space="preserve">ork by the WSG and monthly Water meetings with UHL </w:t>
      </w:r>
      <w:r w:rsidRPr="00577B8D">
        <w:rPr>
          <w:rFonts w:cstheme="minorHAnsi"/>
          <w:sz w:val="24"/>
          <w:szCs w:val="24"/>
        </w:rPr>
        <w:t xml:space="preserve">to </w:t>
      </w:r>
      <w:r w:rsidR="00B866A1" w:rsidRPr="00577B8D">
        <w:rPr>
          <w:rFonts w:cstheme="minorHAnsi"/>
          <w:sz w:val="24"/>
          <w:szCs w:val="24"/>
        </w:rPr>
        <w:t>improve the visibility of data</w:t>
      </w:r>
      <w:r w:rsidRPr="00577B8D">
        <w:rPr>
          <w:rFonts w:cstheme="minorHAnsi"/>
          <w:sz w:val="24"/>
          <w:szCs w:val="24"/>
        </w:rPr>
        <w:t>, enabling</w:t>
      </w:r>
      <w:r w:rsidR="00B866A1" w:rsidRPr="00577B8D">
        <w:rPr>
          <w:rFonts w:cstheme="minorHAnsi"/>
          <w:sz w:val="24"/>
          <w:szCs w:val="24"/>
        </w:rPr>
        <w:t xml:space="preserve"> the direction of tasks to be focused.  </w:t>
      </w:r>
    </w:p>
    <w:p w14:paraId="693C301A" w14:textId="5032BC9A" w:rsidR="00524753" w:rsidRPr="00577B8D" w:rsidRDefault="00B866A1" w:rsidP="00024661">
      <w:pPr>
        <w:pStyle w:val="ListParagraph"/>
        <w:numPr>
          <w:ilvl w:val="0"/>
          <w:numId w:val="33"/>
        </w:numPr>
        <w:rPr>
          <w:rFonts w:cstheme="minorHAnsi"/>
          <w:sz w:val="24"/>
          <w:szCs w:val="24"/>
        </w:rPr>
      </w:pPr>
      <w:r w:rsidRPr="00577B8D">
        <w:rPr>
          <w:rFonts w:cstheme="minorHAnsi"/>
          <w:sz w:val="24"/>
          <w:szCs w:val="24"/>
        </w:rPr>
        <w:lastRenderedPageBreak/>
        <w:t xml:space="preserve">Access to the </w:t>
      </w:r>
      <w:bookmarkStart w:id="4" w:name="_Hlk108084453"/>
      <w:r w:rsidR="00BD5037">
        <w:rPr>
          <w:rFonts w:cstheme="minorHAnsi"/>
          <w:sz w:val="24"/>
          <w:szCs w:val="24"/>
        </w:rPr>
        <w:t>system that holds the data for LPT</w:t>
      </w:r>
      <w:r w:rsidRPr="00577B8D">
        <w:rPr>
          <w:rFonts w:cstheme="minorHAnsi"/>
          <w:sz w:val="24"/>
          <w:szCs w:val="24"/>
        </w:rPr>
        <w:t xml:space="preserve"> has allowed scrutiny of P</w:t>
      </w:r>
      <w:r w:rsidR="00B61605">
        <w:rPr>
          <w:rFonts w:cstheme="minorHAnsi"/>
          <w:sz w:val="24"/>
          <w:szCs w:val="24"/>
        </w:rPr>
        <w:t xml:space="preserve">lanned </w:t>
      </w:r>
      <w:r w:rsidRPr="00577B8D">
        <w:rPr>
          <w:rFonts w:cstheme="minorHAnsi"/>
          <w:sz w:val="24"/>
          <w:szCs w:val="24"/>
        </w:rPr>
        <w:t>P</w:t>
      </w:r>
      <w:r w:rsidR="00B61605">
        <w:rPr>
          <w:rFonts w:cstheme="minorHAnsi"/>
          <w:sz w:val="24"/>
          <w:szCs w:val="24"/>
        </w:rPr>
        <w:t>reventative Maintenance</w:t>
      </w:r>
      <w:r w:rsidR="006F1426">
        <w:rPr>
          <w:rFonts w:cstheme="minorHAnsi"/>
          <w:sz w:val="24"/>
          <w:szCs w:val="24"/>
        </w:rPr>
        <w:t xml:space="preserve"> (</w:t>
      </w:r>
      <w:bookmarkEnd w:id="4"/>
      <w:r w:rsidR="00BD5037">
        <w:rPr>
          <w:rFonts w:cstheme="minorHAnsi"/>
          <w:sz w:val="24"/>
          <w:szCs w:val="24"/>
        </w:rPr>
        <w:t xml:space="preserve">PPM) </w:t>
      </w:r>
      <w:r w:rsidR="00BD5037" w:rsidRPr="00577B8D">
        <w:rPr>
          <w:rFonts w:cstheme="minorHAnsi"/>
          <w:sz w:val="24"/>
          <w:szCs w:val="24"/>
        </w:rPr>
        <w:t>work</w:t>
      </w:r>
      <w:r w:rsidR="00BD5037">
        <w:rPr>
          <w:rFonts w:cstheme="minorHAnsi"/>
          <w:sz w:val="24"/>
          <w:szCs w:val="24"/>
        </w:rPr>
        <w:t>, and therefore being able to identify.</w:t>
      </w:r>
      <w:r w:rsidRPr="00577B8D">
        <w:rPr>
          <w:rFonts w:cstheme="minorHAnsi"/>
          <w:sz w:val="24"/>
          <w:szCs w:val="24"/>
        </w:rPr>
        <w:t xml:space="preserve">  Overall data capture and compliance level is steadily improving.  </w:t>
      </w:r>
    </w:p>
    <w:p w14:paraId="6821D46C" w14:textId="3D02CB8C" w:rsidR="00524753" w:rsidRPr="00577B8D" w:rsidRDefault="00CC3951" w:rsidP="00E3370A">
      <w:pPr>
        <w:pStyle w:val="ListParagraph"/>
        <w:numPr>
          <w:ilvl w:val="0"/>
          <w:numId w:val="33"/>
        </w:numPr>
        <w:rPr>
          <w:rFonts w:cstheme="minorHAnsi"/>
          <w:sz w:val="24"/>
          <w:szCs w:val="24"/>
        </w:rPr>
      </w:pPr>
      <w:r>
        <w:rPr>
          <w:rFonts w:cstheme="minorHAnsi"/>
          <w:sz w:val="24"/>
          <w:szCs w:val="24"/>
        </w:rPr>
        <w:t>99% of Trust w</w:t>
      </w:r>
      <w:r w:rsidR="00B866A1" w:rsidRPr="00577B8D">
        <w:rPr>
          <w:rFonts w:cstheme="minorHAnsi"/>
          <w:sz w:val="24"/>
          <w:szCs w:val="24"/>
        </w:rPr>
        <w:t xml:space="preserve">ater </w:t>
      </w:r>
      <w:r>
        <w:rPr>
          <w:rFonts w:cstheme="minorHAnsi"/>
          <w:sz w:val="24"/>
          <w:szCs w:val="24"/>
        </w:rPr>
        <w:t>r</w:t>
      </w:r>
      <w:r w:rsidR="00B866A1" w:rsidRPr="00577B8D">
        <w:rPr>
          <w:rFonts w:cstheme="minorHAnsi"/>
          <w:sz w:val="24"/>
          <w:szCs w:val="24"/>
        </w:rPr>
        <w:t xml:space="preserve">isk </w:t>
      </w:r>
      <w:r>
        <w:rPr>
          <w:rFonts w:cstheme="minorHAnsi"/>
          <w:sz w:val="24"/>
          <w:szCs w:val="24"/>
        </w:rPr>
        <w:t>a</w:t>
      </w:r>
      <w:r w:rsidR="00B866A1" w:rsidRPr="00577B8D">
        <w:rPr>
          <w:rFonts w:cstheme="minorHAnsi"/>
          <w:sz w:val="24"/>
          <w:szCs w:val="24"/>
        </w:rPr>
        <w:t xml:space="preserve">ssessments are complete.  Actions from the assessments </w:t>
      </w:r>
      <w:r>
        <w:rPr>
          <w:rFonts w:cstheme="minorHAnsi"/>
          <w:sz w:val="24"/>
          <w:szCs w:val="24"/>
        </w:rPr>
        <w:t xml:space="preserve">are </w:t>
      </w:r>
      <w:r w:rsidR="00577B8D">
        <w:rPr>
          <w:rFonts w:cstheme="minorHAnsi"/>
          <w:sz w:val="24"/>
          <w:szCs w:val="24"/>
        </w:rPr>
        <w:t xml:space="preserve">currently situated with </w:t>
      </w:r>
      <w:r w:rsidR="00B866A1" w:rsidRPr="00577B8D">
        <w:rPr>
          <w:rFonts w:cstheme="minorHAnsi"/>
          <w:sz w:val="24"/>
          <w:szCs w:val="24"/>
        </w:rPr>
        <w:t>UHL to complete.</w:t>
      </w:r>
    </w:p>
    <w:p w14:paraId="7ECD2DC9" w14:textId="78E627E8" w:rsidR="00577B8D" w:rsidRPr="00577B8D" w:rsidRDefault="00B866A1" w:rsidP="00577B8D">
      <w:pPr>
        <w:pStyle w:val="ListParagraph"/>
        <w:numPr>
          <w:ilvl w:val="0"/>
          <w:numId w:val="33"/>
        </w:numPr>
        <w:rPr>
          <w:rFonts w:cstheme="minorHAnsi"/>
          <w:sz w:val="24"/>
          <w:szCs w:val="24"/>
        </w:rPr>
      </w:pPr>
      <w:r w:rsidRPr="00577B8D">
        <w:rPr>
          <w:rFonts w:cstheme="minorHAnsi"/>
          <w:sz w:val="24"/>
          <w:szCs w:val="24"/>
        </w:rPr>
        <w:t xml:space="preserve">Coalville </w:t>
      </w:r>
      <w:r w:rsidR="00524753" w:rsidRPr="00577B8D">
        <w:rPr>
          <w:rFonts w:cstheme="minorHAnsi"/>
          <w:sz w:val="24"/>
          <w:szCs w:val="24"/>
        </w:rPr>
        <w:t xml:space="preserve">Community Hospital actions associated with the legionella outbreak have been </w:t>
      </w:r>
      <w:r w:rsidRPr="00577B8D">
        <w:rPr>
          <w:rFonts w:cstheme="minorHAnsi"/>
          <w:sz w:val="24"/>
          <w:szCs w:val="24"/>
        </w:rPr>
        <w:t xml:space="preserve">completed with </w:t>
      </w:r>
      <w:r w:rsidR="00524753" w:rsidRPr="00577B8D">
        <w:rPr>
          <w:rFonts w:cstheme="minorHAnsi"/>
          <w:sz w:val="24"/>
          <w:szCs w:val="24"/>
        </w:rPr>
        <w:t xml:space="preserve">actions for the </w:t>
      </w:r>
      <w:r w:rsidRPr="00577B8D">
        <w:rPr>
          <w:rFonts w:cstheme="minorHAnsi"/>
          <w:sz w:val="24"/>
          <w:szCs w:val="24"/>
        </w:rPr>
        <w:t>Bradgate</w:t>
      </w:r>
      <w:r w:rsidR="00524753" w:rsidRPr="00577B8D">
        <w:rPr>
          <w:rFonts w:cstheme="minorHAnsi"/>
          <w:sz w:val="24"/>
          <w:szCs w:val="24"/>
        </w:rPr>
        <w:t xml:space="preserve"> Unit</w:t>
      </w:r>
      <w:r w:rsidR="00F97486">
        <w:rPr>
          <w:rFonts w:cstheme="minorHAnsi"/>
          <w:sz w:val="24"/>
          <w:szCs w:val="24"/>
        </w:rPr>
        <w:t xml:space="preserve"> complete </w:t>
      </w:r>
    </w:p>
    <w:p w14:paraId="6E37BA78" w14:textId="1DFFC99C" w:rsidR="00B866A1" w:rsidRDefault="00B866A1" w:rsidP="00577B8D">
      <w:pPr>
        <w:pStyle w:val="ListParagraph"/>
        <w:numPr>
          <w:ilvl w:val="0"/>
          <w:numId w:val="33"/>
        </w:numPr>
        <w:rPr>
          <w:rFonts w:cstheme="minorHAnsi"/>
          <w:sz w:val="24"/>
          <w:szCs w:val="24"/>
        </w:rPr>
      </w:pPr>
      <w:r w:rsidRPr="00577B8D">
        <w:rPr>
          <w:rFonts w:cstheme="minorHAnsi"/>
          <w:sz w:val="24"/>
          <w:szCs w:val="24"/>
        </w:rPr>
        <w:t>Monthly LPT/UHL Water Safety Action tracker m</w:t>
      </w:r>
      <w:r w:rsidR="00577B8D">
        <w:rPr>
          <w:rFonts w:cstheme="minorHAnsi"/>
          <w:sz w:val="24"/>
          <w:szCs w:val="24"/>
        </w:rPr>
        <w:t>eeting</w:t>
      </w:r>
      <w:r w:rsidRPr="00577B8D">
        <w:rPr>
          <w:rFonts w:cstheme="minorHAnsi"/>
          <w:sz w:val="24"/>
          <w:szCs w:val="24"/>
        </w:rPr>
        <w:t>s ha</w:t>
      </w:r>
      <w:r w:rsidR="00577B8D">
        <w:rPr>
          <w:rFonts w:cstheme="minorHAnsi"/>
          <w:sz w:val="24"/>
          <w:szCs w:val="24"/>
        </w:rPr>
        <w:t xml:space="preserve">ve created a </w:t>
      </w:r>
      <w:r w:rsidRPr="00577B8D">
        <w:rPr>
          <w:rFonts w:cstheme="minorHAnsi"/>
          <w:sz w:val="24"/>
          <w:szCs w:val="24"/>
        </w:rPr>
        <w:t xml:space="preserve">report with clear responsibilities assigned to tasks, as they emerge, </w:t>
      </w:r>
      <w:r w:rsidR="00D406B5" w:rsidRPr="00577B8D">
        <w:rPr>
          <w:rFonts w:cstheme="minorHAnsi"/>
          <w:sz w:val="24"/>
          <w:szCs w:val="24"/>
        </w:rPr>
        <w:t>e.g.,</w:t>
      </w:r>
      <w:r w:rsidRPr="00577B8D">
        <w:rPr>
          <w:rFonts w:cstheme="minorHAnsi"/>
          <w:sz w:val="24"/>
          <w:szCs w:val="24"/>
        </w:rPr>
        <w:t xml:space="preserve"> flushing, sampling, remedial actions to issues</w:t>
      </w:r>
      <w:r w:rsidR="00CC3951">
        <w:rPr>
          <w:rFonts w:cstheme="minorHAnsi"/>
          <w:sz w:val="24"/>
          <w:szCs w:val="24"/>
        </w:rPr>
        <w:t>.</w:t>
      </w:r>
    </w:p>
    <w:p w14:paraId="027156B0" w14:textId="6F2B77EA" w:rsidR="00577B8D" w:rsidRPr="00577B8D" w:rsidRDefault="00577B8D" w:rsidP="0062214A">
      <w:pPr>
        <w:ind w:left="720" w:hanging="720"/>
        <w:rPr>
          <w:rFonts w:cstheme="minorHAnsi"/>
          <w:sz w:val="24"/>
          <w:szCs w:val="24"/>
        </w:rPr>
      </w:pPr>
      <w:r>
        <w:rPr>
          <w:rFonts w:cstheme="minorHAnsi"/>
          <w:sz w:val="24"/>
          <w:szCs w:val="24"/>
        </w:rPr>
        <w:t>7.4</w:t>
      </w:r>
      <w:r>
        <w:rPr>
          <w:rFonts w:cstheme="minorHAnsi"/>
          <w:sz w:val="24"/>
          <w:szCs w:val="24"/>
        </w:rPr>
        <w:tab/>
        <w:t xml:space="preserve">LPT has not undertaken water risk assessments previously.  An action to survey all sites is near completion to support this further work.  A task and finish group has been established and will focus on the prioritisation </w:t>
      </w:r>
      <w:r w:rsidR="0062214A">
        <w:rPr>
          <w:rFonts w:cstheme="minorHAnsi"/>
          <w:sz w:val="24"/>
          <w:szCs w:val="24"/>
        </w:rPr>
        <w:t xml:space="preserve">of the actions in the risk assessments, with an external company assigned to </w:t>
      </w:r>
      <w:r w:rsidR="00D406B5">
        <w:rPr>
          <w:rFonts w:cstheme="minorHAnsi"/>
          <w:sz w:val="24"/>
          <w:szCs w:val="24"/>
        </w:rPr>
        <w:t>high-risk</w:t>
      </w:r>
      <w:r w:rsidR="0062214A">
        <w:rPr>
          <w:rFonts w:cstheme="minorHAnsi"/>
          <w:sz w:val="24"/>
          <w:szCs w:val="24"/>
        </w:rPr>
        <w:t xml:space="preserve"> priorities.</w:t>
      </w:r>
    </w:p>
    <w:p w14:paraId="34298BD7" w14:textId="667F9540" w:rsidR="00801C95" w:rsidRDefault="004F1107" w:rsidP="00801C95">
      <w:pPr>
        <w:spacing w:after="120"/>
        <w:ind w:left="720" w:hanging="720"/>
        <w:rPr>
          <w:b/>
          <w:bCs/>
          <w:sz w:val="24"/>
          <w:szCs w:val="24"/>
        </w:rPr>
      </w:pPr>
      <w:r>
        <w:rPr>
          <w:b/>
          <w:sz w:val="24"/>
          <w:szCs w:val="24"/>
        </w:rPr>
        <w:t>8</w:t>
      </w:r>
      <w:r w:rsidR="000550D7" w:rsidRPr="000E645A">
        <w:rPr>
          <w:b/>
          <w:sz w:val="24"/>
          <w:szCs w:val="24"/>
        </w:rPr>
        <w:t>.</w:t>
      </w:r>
      <w:r w:rsidR="000550D7" w:rsidRPr="000E645A">
        <w:rPr>
          <w:b/>
          <w:sz w:val="24"/>
          <w:szCs w:val="24"/>
        </w:rPr>
        <w:tab/>
      </w:r>
      <w:bookmarkStart w:id="5" w:name="_Hlk104970257"/>
      <w:bookmarkStart w:id="6" w:name="_Hlk104556817"/>
      <w:r w:rsidR="00801C95">
        <w:rPr>
          <w:b/>
          <w:bCs/>
          <w:sz w:val="24"/>
          <w:szCs w:val="24"/>
        </w:rPr>
        <w:t xml:space="preserve">Hand hygiene </w:t>
      </w:r>
    </w:p>
    <w:p w14:paraId="38E67F0A" w14:textId="1E947DBC" w:rsidR="00801C95" w:rsidRDefault="004F1107" w:rsidP="00801C95">
      <w:pPr>
        <w:spacing w:after="120"/>
        <w:ind w:left="720" w:hanging="720"/>
        <w:rPr>
          <w:sz w:val="24"/>
          <w:szCs w:val="24"/>
        </w:rPr>
      </w:pPr>
      <w:r>
        <w:rPr>
          <w:sz w:val="24"/>
          <w:szCs w:val="24"/>
        </w:rPr>
        <w:t>8</w:t>
      </w:r>
      <w:r w:rsidR="00801C95">
        <w:rPr>
          <w:sz w:val="24"/>
          <w:szCs w:val="24"/>
        </w:rPr>
        <w:t xml:space="preserve">.1       The total number of audits required per month by all teams equates to 1516 audits per month to ensure more robust representative auditing. The aim for 2021/22 was to maintain the total number of audits at 909 audits (60%).  </w:t>
      </w:r>
    </w:p>
    <w:p w14:paraId="7DA4647E" w14:textId="72978798" w:rsidR="00801C95" w:rsidRDefault="004F1107" w:rsidP="00801C95">
      <w:pPr>
        <w:spacing w:after="120"/>
        <w:ind w:left="709" w:hanging="709"/>
        <w:rPr>
          <w:sz w:val="24"/>
          <w:szCs w:val="24"/>
        </w:rPr>
      </w:pPr>
      <w:r>
        <w:rPr>
          <w:sz w:val="24"/>
          <w:szCs w:val="24"/>
        </w:rPr>
        <w:t>8</w:t>
      </w:r>
      <w:r w:rsidR="00801C95">
        <w:rPr>
          <w:sz w:val="24"/>
          <w:szCs w:val="24"/>
        </w:rPr>
        <w:t xml:space="preserve">.2       Quarter 3 (Q3) returned an average total of 811 hand hygiene audits and Quarter 4 (Q4) increased to an average of 859. Therefore, audits being completed remain under the expected average. A possible factor of this may be an issue which arose with inputting audits onto the hand hygiene app and the delay in reporting. Analysis and feedback have also shown that completion of audits has been impacted by changes to link IPC staff, staff working from home and staffing challenges affecting time to audit and input. </w:t>
      </w:r>
    </w:p>
    <w:p w14:paraId="26B02904" w14:textId="540FD51D" w:rsidR="00801C95" w:rsidRDefault="004F1107" w:rsidP="00801C95">
      <w:pPr>
        <w:spacing w:after="120"/>
        <w:ind w:left="709" w:hanging="709"/>
        <w:rPr>
          <w:sz w:val="24"/>
          <w:szCs w:val="24"/>
        </w:rPr>
      </w:pPr>
      <w:r>
        <w:rPr>
          <w:sz w:val="24"/>
          <w:szCs w:val="24"/>
        </w:rPr>
        <w:t>8</w:t>
      </w:r>
      <w:r w:rsidR="00801C95">
        <w:rPr>
          <w:sz w:val="24"/>
          <w:szCs w:val="24"/>
        </w:rPr>
        <w:t xml:space="preserve">.3       The graph indicates that on average, the number of hand hygiene audits being completed is considerably below the expected target of 909. Taking into consideration the possible factors outlined above, work continues to try to improve the number of audits being completed. For any newly identified IPC links, a </w:t>
      </w:r>
      <w:r w:rsidR="00D406B5">
        <w:rPr>
          <w:sz w:val="24"/>
          <w:szCs w:val="24"/>
        </w:rPr>
        <w:t>team’s</w:t>
      </w:r>
      <w:r w:rsidR="00801C95">
        <w:rPr>
          <w:sz w:val="24"/>
          <w:szCs w:val="24"/>
        </w:rPr>
        <w:t xml:space="preserve"> meeting is offered to provide support on how to complete and input audits onto the hand hygiene app.</w:t>
      </w:r>
    </w:p>
    <w:p w14:paraId="4F224004" w14:textId="4DD8A5AA" w:rsidR="00801C95" w:rsidRDefault="00801C95" w:rsidP="00801C95">
      <w:pPr>
        <w:spacing w:after="120"/>
        <w:ind w:left="720" w:hanging="11"/>
        <w:rPr>
          <w:sz w:val="24"/>
          <w:szCs w:val="24"/>
        </w:rPr>
      </w:pPr>
      <w:r>
        <w:rPr>
          <w:noProof/>
        </w:rPr>
        <w:drawing>
          <wp:anchor distT="0" distB="0" distL="114300" distR="114300" simplePos="0" relativeHeight="251714560" behindDoc="1" locked="0" layoutInCell="1" allowOverlap="1" wp14:anchorId="64D400A4" wp14:editId="7965B4DE">
            <wp:simplePos x="0" y="0"/>
            <wp:positionH relativeFrom="margin">
              <wp:align>left</wp:align>
            </wp:positionH>
            <wp:positionV relativeFrom="paragraph">
              <wp:posOffset>-3175</wp:posOffset>
            </wp:positionV>
            <wp:extent cx="5943600" cy="2762250"/>
            <wp:effectExtent l="0" t="0" r="0" b="0"/>
            <wp:wrapNone/>
            <wp:docPr id="1" name="Picture 1" descr="Chart, line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62250"/>
                    </a:xfrm>
                    <a:prstGeom prst="rect">
                      <a:avLst/>
                    </a:prstGeom>
                    <a:noFill/>
                  </pic:spPr>
                </pic:pic>
              </a:graphicData>
            </a:graphic>
            <wp14:sizeRelH relativeFrom="margin">
              <wp14:pctWidth>0</wp14:pctWidth>
            </wp14:sizeRelH>
            <wp14:sizeRelV relativeFrom="page">
              <wp14:pctHeight>0</wp14:pctHeight>
            </wp14:sizeRelV>
          </wp:anchor>
        </w:drawing>
      </w:r>
    </w:p>
    <w:p w14:paraId="6FFEB0D1" w14:textId="77777777" w:rsidR="00801C95" w:rsidRDefault="00801C95" w:rsidP="00801C95">
      <w:pPr>
        <w:spacing w:after="120"/>
        <w:ind w:left="720" w:hanging="11"/>
        <w:rPr>
          <w:sz w:val="24"/>
          <w:szCs w:val="24"/>
        </w:rPr>
      </w:pPr>
    </w:p>
    <w:p w14:paraId="18D23A30" w14:textId="77777777" w:rsidR="00801C95" w:rsidRDefault="00801C95" w:rsidP="00801C95">
      <w:pPr>
        <w:spacing w:after="120"/>
        <w:ind w:left="720" w:hanging="11"/>
        <w:rPr>
          <w:sz w:val="24"/>
          <w:szCs w:val="24"/>
        </w:rPr>
      </w:pPr>
    </w:p>
    <w:p w14:paraId="540F0B71" w14:textId="77777777" w:rsidR="00801C95" w:rsidRDefault="00801C95" w:rsidP="00801C95">
      <w:pPr>
        <w:spacing w:after="120"/>
        <w:ind w:left="720" w:hanging="11"/>
        <w:rPr>
          <w:sz w:val="24"/>
          <w:szCs w:val="24"/>
        </w:rPr>
      </w:pPr>
    </w:p>
    <w:p w14:paraId="6036DD3E" w14:textId="77777777" w:rsidR="00801C95" w:rsidRDefault="00801C95" w:rsidP="00801C95">
      <w:pPr>
        <w:spacing w:after="120"/>
        <w:ind w:left="720" w:hanging="11"/>
        <w:rPr>
          <w:sz w:val="24"/>
          <w:szCs w:val="24"/>
        </w:rPr>
      </w:pPr>
    </w:p>
    <w:p w14:paraId="33D282A5" w14:textId="77777777" w:rsidR="00801C95" w:rsidRDefault="00801C95" w:rsidP="00801C95">
      <w:pPr>
        <w:spacing w:after="120"/>
        <w:ind w:left="720" w:hanging="11"/>
        <w:rPr>
          <w:sz w:val="24"/>
          <w:szCs w:val="24"/>
        </w:rPr>
      </w:pPr>
    </w:p>
    <w:p w14:paraId="031FC880" w14:textId="77777777" w:rsidR="004F1107" w:rsidRDefault="004F1107" w:rsidP="00801C95">
      <w:pPr>
        <w:spacing w:after="120"/>
        <w:ind w:left="720" w:hanging="720"/>
        <w:rPr>
          <w:sz w:val="24"/>
          <w:szCs w:val="24"/>
        </w:rPr>
      </w:pPr>
    </w:p>
    <w:p w14:paraId="69A86194" w14:textId="77777777" w:rsidR="00CC123C" w:rsidRDefault="00CC123C" w:rsidP="00801C95">
      <w:pPr>
        <w:spacing w:after="120"/>
        <w:ind w:left="720" w:hanging="720"/>
        <w:rPr>
          <w:sz w:val="24"/>
          <w:szCs w:val="24"/>
        </w:rPr>
      </w:pPr>
    </w:p>
    <w:p w14:paraId="506D80D0" w14:textId="77777777" w:rsidR="00CC123C" w:rsidRDefault="00CC123C" w:rsidP="00801C95">
      <w:pPr>
        <w:spacing w:after="120"/>
        <w:ind w:left="720" w:hanging="720"/>
        <w:rPr>
          <w:sz w:val="24"/>
          <w:szCs w:val="24"/>
        </w:rPr>
      </w:pPr>
    </w:p>
    <w:p w14:paraId="2C917232" w14:textId="7BB456A9" w:rsidR="00801C95" w:rsidRDefault="004F1107" w:rsidP="00801C95">
      <w:pPr>
        <w:spacing w:after="120"/>
        <w:ind w:left="720" w:hanging="720"/>
        <w:rPr>
          <w:sz w:val="24"/>
          <w:szCs w:val="24"/>
        </w:rPr>
      </w:pPr>
      <w:r>
        <w:rPr>
          <w:sz w:val="24"/>
          <w:szCs w:val="24"/>
        </w:rPr>
        <w:lastRenderedPageBreak/>
        <w:t>8</w:t>
      </w:r>
      <w:r w:rsidR="00801C95">
        <w:rPr>
          <w:sz w:val="24"/>
          <w:szCs w:val="24"/>
        </w:rPr>
        <w:t xml:space="preserve">.4       </w:t>
      </w:r>
      <w:bookmarkStart w:id="7" w:name="_Hlk104816708"/>
      <w:r w:rsidR="00801C95">
        <w:rPr>
          <w:sz w:val="24"/>
          <w:szCs w:val="24"/>
        </w:rPr>
        <w:t xml:space="preserve">Hand hygiene audit reports are now accessible via </w:t>
      </w:r>
      <w:r w:rsidR="00D406B5">
        <w:rPr>
          <w:sz w:val="24"/>
          <w:szCs w:val="24"/>
        </w:rPr>
        <w:t>Staffnet</w:t>
      </w:r>
      <w:r w:rsidR="00801C95">
        <w:rPr>
          <w:sz w:val="24"/>
          <w:szCs w:val="24"/>
        </w:rPr>
        <w:t xml:space="preserve">. Three reports are available to view including: IPC hand hygiene summary, IPC hand hygiene by teams and IPC never reported in the past 12 months. These are updated and uploaded onto </w:t>
      </w:r>
      <w:r w:rsidR="00D406B5">
        <w:rPr>
          <w:sz w:val="24"/>
          <w:szCs w:val="24"/>
        </w:rPr>
        <w:t>Staffnet</w:t>
      </w:r>
      <w:r w:rsidR="00801C95">
        <w:rPr>
          <w:sz w:val="24"/>
          <w:szCs w:val="24"/>
        </w:rPr>
        <w:t xml:space="preserve"> weekly.  A draft monthly report has also been created by the information team which is going to the IPC Assurance Group for sign off in June 2022. Moving forwards, this report will be circulated monthly to the team leads. </w:t>
      </w:r>
      <w:bookmarkEnd w:id="7"/>
      <w:r w:rsidR="00801C95">
        <w:rPr>
          <w:sz w:val="24"/>
          <w:szCs w:val="24"/>
        </w:rPr>
        <w:t>These reports will enable directorates to address any areas of concern.</w:t>
      </w:r>
    </w:p>
    <w:p w14:paraId="62D6AF32" w14:textId="6303F0E8" w:rsidR="00801C95" w:rsidRDefault="004F1107" w:rsidP="00801C95">
      <w:pPr>
        <w:spacing w:after="120"/>
        <w:ind w:left="720" w:hanging="720"/>
        <w:rPr>
          <w:sz w:val="24"/>
          <w:szCs w:val="24"/>
        </w:rPr>
      </w:pPr>
      <w:r>
        <w:rPr>
          <w:sz w:val="24"/>
          <w:szCs w:val="24"/>
        </w:rPr>
        <w:t>8</w:t>
      </w:r>
      <w:r w:rsidR="00801C95">
        <w:rPr>
          <w:sz w:val="24"/>
          <w:szCs w:val="24"/>
        </w:rPr>
        <w:t>.5       There has been sustained compliance performance in terms of practice and results of the audits during Q3 &amp; Q4, showing an average of 99%. If the number of audits increased, it would be anticipated and expected that there may be a decline in the overall performance as it would portray a more reflective representation of clinical practice.</w:t>
      </w:r>
    </w:p>
    <w:p w14:paraId="610BF27F" w14:textId="3DC1A264" w:rsidR="00801C95" w:rsidRDefault="004F1107" w:rsidP="00801C95">
      <w:pPr>
        <w:spacing w:after="120"/>
        <w:ind w:left="720" w:hanging="720"/>
        <w:rPr>
          <w:sz w:val="24"/>
          <w:szCs w:val="24"/>
        </w:rPr>
      </w:pPr>
      <w:r>
        <w:rPr>
          <w:sz w:val="24"/>
          <w:szCs w:val="24"/>
        </w:rPr>
        <w:t>8.</w:t>
      </w:r>
      <w:r w:rsidR="00801C95">
        <w:rPr>
          <w:sz w:val="24"/>
          <w:szCs w:val="24"/>
        </w:rPr>
        <w:t>6       The Trust Infection Prevention and Control team continue with the in-patient clinical support visits that include a quality assurance review of hand hygiene practice and adherence to Personal Protective Equipment (PPE).</w:t>
      </w:r>
      <w:bookmarkEnd w:id="5"/>
    </w:p>
    <w:p w14:paraId="48B2D8C7" w14:textId="35236A98" w:rsidR="001527C1" w:rsidRPr="000915F3" w:rsidRDefault="00D406B5" w:rsidP="000C23C9">
      <w:pPr>
        <w:pStyle w:val="Default"/>
        <w:spacing w:after="120" w:line="276" w:lineRule="auto"/>
        <w:rPr>
          <w:rFonts w:asciiTheme="minorHAnsi" w:hAnsiTheme="minorHAnsi"/>
          <w:b/>
          <w:color w:val="auto"/>
        </w:rPr>
      </w:pPr>
      <w:bookmarkStart w:id="8" w:name="_Hlk104561817"/>
      <w:bookmarkEnd w:id="6"/>
      <w:r>
        <w:rPr>
          <w:rFonts w:asciiTheme="minorHAnsi" w:hAnsiTheme="minorHAnsi"/>
          <w:b/>
          <w:color w:val="auto"/>
        </w:rPr>
        <w:t>9</w:t>
      </w:r>
      <w:r w:rsidR="000550D7" w:rsidRPr="000915F3">
        <w:rPr>
          <w:rFonts w:asciiTheme="minorHAnsi" w:hAnsiTheme="minorHAnsi"/>
          <w:b/>
          <w:color w:val="auto"/>
        </w:rPr>
        <w:t>.</w:t>
      </w:r>
      <w:r w:rsidR="000550D7" w:rsidRPr="000915F3">
        <w:rPr>
          <w:rFonts w:asciiTheme="minorHAnsi" w:hAnsiTheme="minorHAnsi"/>
          <w:b/>
          <w:color w:val="auto"/>
        </w:rPr>
        <w:tab/>
      </w:r>
      <w:r w:rsidR="001527C1" w:rsidRPr="000915F3">
        <w:rPr>
          <w:rFonts w:asciiTheme="minorHAnsi" w:hAnsiTheme="minorHAnsi"/>
          <w:b/>
          <w:color w:val="auto"/>
        </w:rPr>
        <w:t xml:space="preserve">Cleaning </w:t>
      </w:r>
    </w:p>
    <w:p w14:paraId="39A3732D" w14:textId="2BE9381B" w:rsidR="00765AC6" w:rsidRDefault="00D406B5" w:rsidP="00765AC6">
      <w:pPr>
        <w:pStyle w:val="Default"/>
        <w:spacing w:after="120" w:line="276" w:lineRule="auto"/>
        <w:ind w:left="720" w:hanging="720"/>
        <w:rPr>
          <w:rFonts w:ascii="Calibri" w:hAnsi="Calibri"/>
          <w:color w:val="auto"/>
        </w:rPr>
      </w:pPr>
      <w:r>
        <w:rPr>
          <w:rFonts w:asciiTheme="minorHAnsi" w:hAnsiTheme="minorHAnsi"/>
          <w:color w:val="auto"/>
        </w:rPr>
        <w:t>9</w:t>
      </w:r>
      <w:r w:rsidR="001527C1" w:rsidRPr="000915F3">
        <w:rPr>
          <w:rFonts w:asciiTheme="minorHAnsi" w:hAnsiTheme="minorHAnsi"/>
          <w:color w:val="auto"/>
        </w:rPr>
        <w:t>.1</w:t>
      </w:r>
      <w:r w:rsidR="001527C1" w:rsidRPr="000915F3">
        <w:rPr>
          <w:rFonts w:asciiTheme="minorHAnsi" w:hAnsiTheme="minorHAnsi"/>
          <w:b/>
          <w:color w:val="auto"/>
        </w:rPr>
        <w:tab/>
      </w:r>
      <w:r w:rsidR="00765AC6">
        <w:rPr>
          <w:rFonts w:ascii="Calibri" w:hAnsi="Calibri"/>
          <w:color w:val="auto"/>
        </w:rPr>
        <w:t>Cleaning audit</w:t>
      </w:r>
      <w:r w:rsidR="00E23E05">
        <w:rPr>
          <w:rFonts w:ascii="Calibri" w:hAnsi="Calibri"/>
          <w:color w:val="auto"/>
        </w:rPr>
        <w:t xml:space="preserve"> outcomes</w:t>
      </w:r>
      <w:r w:rsidR="00765AC6">
        <w:rPr>
          <w:rFonts w:ascii="Calibri" w:hAnsi="Calibri"/>
          <w:color w:val="auto"/>
        </w:rPr>
        <w:t xml:space="preserve"> are reported monthly through the Trust IPC Group. Exceptions are highlighted with mitigation and actions to remedy included in the report.   Work continues to ensure clinical leaders are present at the time of the audits to confirm and challenge</w:t>
      </w:r>
      <w:r w:rsidR="00F97486">
        <w:rPr>
          <w:rFonts w:ascii="Calibri" w:hAnsi="Calibri"/>
          <w:color w:val="auto"/>
        </w:rPr>
        <w:t xml:space="preserve">. Cleaning services have been identified as an organisational risk which is reviewed at every IPC group meeting.  The risk identifies reporting of audit scores </w:t>
      </w:r>
      <w:r w:rsidR="006F1426">
        <w:rPr>
          <w:rFonts w:ascii="Calibri" w:hAnsi="Calibri"/>
          <w:color w:val="auto"/>
        </w:rPr>
        <w:t xml:space="preserve">by the host of the service </w:t>
      </w:r>
      <w:r w:rsidR="00F97486">
        <w:rPr>
          <w:rFonts w:ascii="Calibri" w:hAnsi="Calibri"/>
          <w:color w:val="auto"/>
        </w:rPr>
        <w:t xml:space="preserve">has been sporadic and </w:t>
      </w:r>
      <w:r w:rsidR="006F1426">
        <w:rPr>
          <w:rFonts w:ascii="Calibri" w:hAnsi="Calibri"/>
          <w:color w:val="auto"/>
        </w:rPr>
        <w:t>not reflective of findings by LPT.  Remedial actions have been put into place with a detailed improvement plan</w:t>
      </w:r>
      <w:r w:rsidR="00765AC6">
        <w:rPr>
          <w:rFonts w:ascii="Calibri" w:hAnsi="Calibri"/>
          <w:color w:val="auto"/>
        </w:rPr>
        <w:t xml:space="preserve"> </w:t>
      </w:r>
    </w:p>
    <w:p w14:paraId="4A675868" w14:textId="6E8EB552" w:rsidR="00765AC6" w:rsidRDefault="00D406B5" w:rsidP="00765AC6">
      <w:pPr>
        <w:pStyle w:val="Default"/>
        <w:spacing w:after="120" w:line="276" w:lineRule="auto"/>
        <w:ind w:left="720" w:hanging="720"/>
        <w:rPr>
          <w:rFonts w:ascii="Calibri" w:hAnsi="Calibri"/>
          <w:color w:val="auto"/>
        </w:rPr>
      </w:pPr>
      <w:r>
        <w:rPr>
          <w:rFonts w:ascii="Calibri" w:hAnsi="Calibri"/>
          <w:color w:val="auto"/>
        </w:rPr>
        <w:t>9</w:t>
      </w:r>
      <w:r w:rsidR="00765AC6">
        <w:rPr>
          <w:rFonts w:ascii="Calibri" w:hAnsi="Calibri"/>
          <w:color w:val="auto"/>
        </w:rPr>
        <w:t>.2</w:t>
      </w:r>
      <w:r w:rsidR="00765AC6">
        <w:rPr>
          <w:rFonts w:ascii="Calibri" w:hAnsi="Calibri"/>
          <w:color w:val="auto"/>
        </w:rPr>
        <w:tab/>
        <w:t>In line with the national recommendations, during C</w:t>
      </w:r>
      <w:r w:rsidR="00902EF8">
        <w:rPr>
          <w:rFonts w:ascii="Calibri" w:hAnsi="Calibri"/>
          <w:color w:val="auto"/>
        </w:rPr>
        <w:t>ovid-</w:t>
      </w:r>
      <w:r w:rsidR="00BD5037">
        <w:rPr>
          <w:rFonts w:ascii="Calibri" w:hAnsi="Calibri"/>
          <w:color w:val="auto"/>
        </w:rPr>
        <w:t>19 peaks</w:t>
      </w:r>
      <w:r w:rsidR="00765AC6">
        <w:rPr>
          <w:rFonts w:ascii="Calibri" w:hAnsi="Calibri"/>
          <w:color w:val="auto"/>
        </w:rPr>
        <w:t>, two hourly touch point cleaning was implemented within inpatient areas. This process supported the reduction in outbreaks of infection, with specific reference to Covid-19.  This process has been documented and audited to provide assurance.  This action has since been reduced and is applicable in outbreak areas only.</w:t>
      </w:r>
    </w:p>
    <w:p w14:paraId="5B41D9C4" w14:textId="6450B8C9" w:rsidR="00765AC6" w:rsidRDefault="00D406B5" w:rsidP="00765AC6">
      <w:pPr>
        <w:pStyle w:val="Default"/>
        <w:spacing w:after="120" w:line="276" w:lineRule="auto"/>
        <w:ind w:left="720" w:hanging="720"/>
        <w:rPr>
          <w:rFonts w:ascii="Calibri" w:hAnsi="Calibri"/>
          <w:color w:val="auto"/>
        </w:rPr>
      </w:pPr>
      <w:r>
        <w:rPr>
          <w:rFonts w:ascii="Calibri" w:hAnsi="Calibri"/>
          <w:color w:val="auto"/>
        </w:rPr>
        <w:t>9</w:t>
      </w:r>
      <w:r w:rsidR="00765AC6">
        <w:rPr>
          <w:rFonts w:ascii="Calibri" w:hAnsi="Calibri"/>
          <w:color w:val="auto"/>
        </w:rPr>
        <w:t xml:space="preserve">.3 </w:t>
      </w:r>
      <w:r w:rsidR="00765AC6">
        <w:rPr>
          <w:rFonts w:ascii="Calibri" w:hAnsi="Calibri"/>
          <w:color w:val="auto"/>
        </w:rPr>
        <w:tab/>
        <w:t xml:space="preserve">A business case was </w:t>
      </w:r>
      <w:r>
        <w:rPr>
          <w:rFonts w:ascii="Calibri" w:hAnsi="Calibri"/>
          <w:color w:val="auto"/>
        </w:rPr>
        <w:t>developed,</w:t>
      </w:r>
      <w:r w:rsidR="00765AC6">
        <w:rPr>
          <w:rFonts w:ascii="Calibri" w:hAnsi="Calibri"/>
          <w:color w:val="auto"/>
        </w:rPr>
        <w:t xml:space="preserve"> and a rapid response cleaning team was operationalised for supporting the introduction of a third clean in inpatient areas as well as a quick response to outbreak/cleaning requirements.</w:t>
      </w:r>
      <w:r w:rsidR="006F1426">
        <w:rPr>
          <w:rFonts w:ascii="Calibri" w:hAnsi="Calibri"/>
          <w:color w:val="auto"/>
        </w:rPr>
        <w:t xml:space="preserve">  Recruitment to these posts has been challenging resulting a large number of vacancies.  Review of recruitment opportunities has improved the filling of </w:t>
      </w:r>
      <w:r w:rsidR="00BD5037">
        <w:rPr>
          <w:rFonts w:ascii="Calibri" w:hAnsi="Calibri"/>
          <w:color w:val="auto"/>
        </w:rPr>
        <w:t>posts,</w:t>
      </w:r>
      <w:r w:rsidR="006F1426">
        <w:rPr>
          <w:rFonts w:ascii="Calibri" w:hAnsi="Calibri"/>
          <w:color w:val="auto"/>
        </w:rPr>
        <w:t xml:space="preserve"> with further work required. </w:t>
      </w:r>
    </w:p>
    <w:p w14:paraId="084C098D" w14:textId="530C845B" w:rsidR="00765AC6" w:rsidRDefault="00D406B5" w:rsidP="00765AC6">
      <w:pPr>
        <w:pStyle w:val="Default"/>
        <w:spacing w:after="120" w:line="276" w:lineRule="auto"/>
        <w:ind w:left="720" w:hanging="720"/>
        <w:rPr>
          <w:rFonts w:ascii="Calibri" w:hAnsi="Calibri"/>
          <w:color w:val="auto"/>
        </w:rPr>
      </w:pPr>
      <w:r>
        <w:rPr>
          <w:rFonts w:ascii="Calibri" w:hAnsi="Calibri"/>
          <w:color w:val="auto"/>
        </w:rPr>
        <w:t>9.4</w:t>
      </w:r>
      <w:r w:rsidR="00765AC6">
        <w:rPr>
          <w:rFonts w:ascii="Calibri" w:hAnsi="Calibri"/>
          <w:color w:val="auto"/>
        </w:rPr>
        <w:t>      Cleaners rooms and equipment are audited monthly as part of the management audit undertaken by the Soft FM team.  All areas have been provided with new cleaner’s trolley’s which include a lockable cupboard to store COSHH products; to maintain the health and safety of the occupants of the areas being cleaned.</w:t>
      </w:r>
    </w:p>
    <w:p w14:paraId="67514540" w14:textId="0C0D39AD" w:rsidR="00765AC6" w:rsidRDefault="00D406B5" w:rsidP="00765AC6">
      <w:pPr>
        <w:pStyle w:val="Default"/>
        <w:spacing w:after="120" w:line="276" w:lineRule="auto"/>
        <w:ind w:left="720" w:hanging="720"/>
        <w:rPr>
          <w:rFonts w:ascii="Calibri" w:hAnsi="Calibri"/>
          <w:color w:val="auto"/>
        </w:rPr>
      </w:pPr>
      <w:r>
        <w:rPr>
          <w:rFonts w:ascii="Calibri" w:hAnsi="Calibri"/>
          <w:color w:val="auto"/>
        </w:rPr>
        <w:t>9</w:t>
      </w:r>
      <w:r w:rsidR="00765AC6">
        <w:rPr>
          <w:rFonts w:ascii="Calibri" w:hAnsi="Calibri"/>
          <w:color w:val="auto"/>
        </w:rPr>
        <w:t>.5      The Trust has a twelve-month rolling deep clean programme in place and progress is monitored at the IPC Group.</w:t>
      </w:r>
    </w:p>
    <w:p w14:paraId="6817156D" w14:textId="6EC6134D" w:rsidR="00765AC6" w:rsidRDefault="00D406B5" w:rsidP="00765AC6">
      <w:pPr>
        <w:pStyle w:val="Default"/>
        <w:spacing w:after="120" w:line="276" w:lineRule="auto"/>
        <w:ind w:left="720" w:hanging="720"/>
        <w:rPr>
          <w:rFonts w:ascii="Calibri" w:hAnsi="Calibri"/>
          <w:color w:val="auto"/>
        </w:rPr>
      </w:pPr>
      <w:r>
        <w:rPr>
          <w:rFonts w:ascii="Calibri" w:hAnsi="Calibri"/>
          <w:color w:val="auto"/>
        </w:rPr>
        <w:t>9</w:t>
      </w:r>
      <w:r w:rsidR="00765AC6">
        <w:rPr>
          <w:rFonts w:ascii="Calibri" w:hAnsi="Calibri"/>
          <w:color w:val="auto"/>
        </w:rPr>
        <w:t>.6</w:t>
      </w:r>
      <w:r w:rsidR="00765AC6">
        <w:rPr>
          <w:rFonts w:ascii="Calibri" w:hAnsi="Calibri"/>
          <w:color w:val="auto"/>
        </w:rPr>
        <w:tab/>
        <w:t xml:space="preserve">The monthly facilities forum has been re-instated </w:t>
      </w:r>
      <w:r w:rsidR="00E23E05">
        <w:rPr>
          <w:rFonts w:ascii="Calibri" w:hAnsi="Calibri"/>
          <w:color w:val="auto"/>
        </w:rPr>
        <w:t xml:space="preserve">(temporarily suspended during the peak of the </w:t>
      </w:r>
      <w:r>
        <w:rPr>
          <w:rFonts w:ascii="Calibri" w:hAnsi="Calibri"/>
          <w:color w:val="auto"/>
        </w:rPr>
        <w:t>pandemic) and</w:t>
      </w:r>
      <w:r w:rsidR="00765AC6">
        <w:rPr>
          <w:rFonts w:ascii="Calibri" w:hAnsi="Calibri"/>
          <w:color w:val="auto"/>
        </w:rPr>
        <w:t xml:space="preserve"> representatives from all directorates, IPC team and facilities providers meet monthly.  Monitoring continues through the IPC group meeting. </w:t>
      </w:r>
    </w:p>
    <w:p w14:paraId="589DE112" w14:textId="685822B8" w:rsidR="00765AC6" w:rsidRDefault="00D406B5" w:rsidP="00765AC6">
      <w:pPr>
        <w:pStyle w:val="Default"/>
        <w:spacing w:after="120" w:line="276" w:lineRule="auto"/>
        <w:ind w:left="720" w:hanging="720"/>
        <w:rPr>
          <w:rFonts w:ascii="Calibri" w:hAnsi="Calibri"/>
          <w:color w:val="auto"/>
        </w:rPr>
      </w:pPr>
      <w:r>
        <w:rPr>
          <w:rFonts w:ascii="Calibri" w:hAnsi="Calibri"/>
          <w:color w:val="auto"/>
        </w:rPr>
        <w:lastRenderedPageBreak/>
        <w:t>9.7</w:t>
      </w:r>
      <w:r w:rsidR="00765AC6">
        <w:rPr>
          <w:rFonts w:ascii="Calibri" w:hAnsi="Calibri"/>
          <w:color w:val="auto"/>
        </w:rPr>
        <w:t xml:space="preserve">      The National Standards for Healthcare Cleanliness 2021 has been implemented.  Functional risk categories for all areas have been agreed.  </w:t>
      </w:r>
      <w:r>
        <w:rPr>
          <w:rFonts w:ascii="Calibri" w:hAnsi="Calibri"/>
          <w:color w:val="auto"/>
        </w:rPr>
        <w:t>An</w:t>
      </w:r>
      <w:r w:rsidR="00765AC6">
        <w:rPr>
          <w:rFonts w:ascii="Calibri" w:hAnsi="Calibri"/>
          <w:color w:val="auto"/>
        </w:rPr>
        <w:t xml:space="preserve"> MDT reviewed the responsibilities framework and frequency matrix which has been signed off at the IPC Group.  Charters signed by the CEO and Chair are currently being produced for display in all areas of the Trust.</w:t>
      </w:r>
    </w:p>
    <w:bookmarkEnd w:id="8"/>
    <w:p w14:paraId="6E9AB72B" w14:textId="0DE33F5A" w:rsidR="001527C1" w:rsidRPr="00D57B6F" w:rsidRDefault="004208FD" w:rsidP="00D57B6F">
      <w:pPr>
        <w:spacing w:after="120"/>
        <w:rPr>
          <w:b/>
          <w:sz w:val="24"/>
          <w:szCs w:val="24"/>
        </w:rPr>
      </w:pPr>
      <w:r w:rsidRPr="000915F3">
        <w:rPr>
          <w:b/>
          <w:sz w:val="24"/>
          <w:szCs w:val="24"/>
        </w:rPr>
        <w:t>1</w:t>
      </w:r>
      <w:r w:rsidR="00D406B5">
        <w:rPr>
          <w:b/>
          <w:sz w:val="24"/>
          <w:szCs w:val="24"/>
        </w:rPr>
        <w:t>0</w:t>
      </w:r>
      <w:r w:rsidRPr="000915F3">
        <w:rPr>
          <w:b/>
          <w:sz w:val="24"/>
          <w:szCs w:val="24"/>
        </w:rPr>
        <w:t>.</w:t>
      </w:r>
      <w:r w:rsidRPr="000915F3">
        <w:rPr>
          <w:b/>
          <w:sz w:val="24"/>
          <w:szCs w:val="24"/>
        </w:rPr>
        <w:tab/>
      </w:r>
      <w:r w:rsidR="001527C1" w:rsidRPr="000915F3">
        <w:rPr>
          <w:b/>
          <w:sz w:val="24"/>
          <w:szCs w:val="24"/>
        </w:rPr>
        <w:t>Antimicrobial stewardship</w:t>
      </w:r>
    </w:p>
    <w:p w14:paraId="716E4FFD" w14:textId="05052C64" w:rsidR="00393409" w:rsidRPr="00393409" w:rsidRDefault="00FF0EF4" w:rsidP="00393409">
      <w:pPr>
        <w:ind w:left="720" w:hanging="720"/>
        <w:rPr>
          <w:sz w:val="24"/>
          <w:szCs w:val="24"/>
        </w:rPr>
      </w:pPr>
      <w:r w:rsidRPr="000915F3">
        <w:rPr>
          <w:sz w:val="24"/>
          <w:szCs w:val="24"/>
        </w:rPr>
        <w:t>1</w:t>
      </w:r>
      <w:r w:rsidR="00D406B5">
        <w:rPr>
          <w:sz w:val="24"/>
          <w:szCs w:val="24"/>
        </w:rPr>
        <w:t>0</w:t>
      </w:r>
      <w:r w:rsidRPr="000915F3">
        <w:rPr>
          <w:sz w:val="24"/>
          <w:szCs w:val="24"/>
        </w:rPr>
        <w:t>.1</w:t>
      </w:r>
      <w:r w:rsidRPr="000915F3">
        <w:rPr>
          <w:sz w:val="24"/>
          <w:szCs w:val="24"/>
        </w:rPr>
        <w:tab/>
      </w:r>
      <w:r w:rsidR="00393409" w:rsidRPr="00393409">
        <w:rPr>
          <w:sz w:val="24"/>
          <w:szCs w:val="24"/>
        </w:rPr>
        <w:t>‘Antimicrobial stewardship remains a vital tool in the fight against resistance and preserving the usefulness of antimicrobials so that they benefit patients who really need them.</w:t>
      </w:r>
    </w:p>
    <w:p w14:paraId="7858A007" w14:textId="24776FEA" w:rsidR="00393409" w:rsidRPr="00393409" w:rsidRDefault="00902EF8" w:rsidP="00B61605">
      <w:pPr>
        <w:ind w:left="720" w:hanging="720"/>
        <w:rPr>
          <w:sz w:val="24"/>
          <w:szCs w:val="24"/>
        </w:rPr>
      </w:pPr>
      <w:r>
        <w:rPr>
          <w:sz w:val="24"/>
          <w:szCs w:val="24"/>
        </w:rPr>
        <w:t xml:space="preserve">10.2 </w:t>
      </w:r>
      <w:r>
        <w:rPr>
          <w:sz w:val="24"/>
          <w:szCs w:val="24"/>
        </w:rPr>
        <w:tab/>
      </w:r>
      <w:r w:rsidR="00393409" w:rsidRPr="00393409">
        <w:rPr>
          <w:sz w:val="24"/>
          <w:szCs w:val="24"/>
        </w:rPr>
        <w:t xml:space="preserve">The lead pharmacist for antimicrobial stewardship continues to oversee the maintenance of the actions and controls within the trust </w:t>
      </w:r>
      <w:r w:rsidR="00393409">
        <w:rPr>
          <w:sz w:val="24"/>
          <w:szCs w:val="24"/>
        </w:rPr>
        <w:t>policy</w:t>
      </w:r>
      <w:r w:rsidR="00393409" w:rsidRPr="00393409">
        <w:rPr>
          <w:sz w:val="24"/>
          <w:szCs w:val="24"/>
        </w:rPr>
        <w:t>.  This includes careful consideration of stock lists for inpatient wards, bi-annual audit, education and training and prescribing protocols.</w:t>
      </w:r>
    </w:p>
    <w:p w14:paraId="4CF2F8E6" w14:textId="53AB3807" w:rsidR="00393409" w:rsidRPr="00393409" w:rsidRDefault="00902EF8" w:rsidP="00B61605">
      <w:pPr>
        <w:ind w:left="720" w:hanging="720"/>
        <w:rPr>
          <w:sz w:val="24"/>
          <w:szCs w:val="24"/>
        </w:rPr>
      </w:pPr>
      <w:r>
        <w:rPr>
          <w:sz w:val="24"/>
          <w:szCs w:val="24"/>
        </w:rPr>
        <w:t>10.3</w:t>
      </w:r>
      <w:r>
        <w:rPr>
          <w:sz w:val="24"/>
          <w:szCs w:val="24"/>
        </w:rPr>
        <w:tab/>
      </w:r>
      <w:r w:rsidR="00393409" w:rsidRPr="00393409">
        <w:rPr>
          <w:sz w:val="24"/>
          <w:szCs w:val="24"/>
        </w:rPr>
        <w:t>Antimicrobial surveillance is a useful tool to monitor consumption.  A sophisticated dataset has been developed to monitor trends in consumption across inpatient areas, with quarterly reports being fed into Medicines Management Committee and [pls insert the IPC meeting name].</w:t>
      </w:r>
    </w:p>
    <w:p w14:paraId="5784FE76" w14:textId="6047765A" w:rsidR="00393409" w:rsidRPr="00393409" w:rsidRDefault="00902EF8" w:rsidP="00B61605">
      <w:pPr>
        <w:ind w:left="720" w:hanging="720"/>
        <w:rPr>
          <w:sz w:val="24"/>
          <w:szCs w:val="24"/>
        </w:rPr>
      </w:pPr>
      <w:r>
        <w:rPr>
          <w:sz w:val="24"/>
          <w:szCs w:val="24"/>
        </w:rPr>
        <w:t>10.4</w:t>
      </w:r>
      <w:r>
        <w:rPr>
          <w:sz w:val="24"/>
          <w:szCs w:val="24"/>
        </w:rPr>
        <w:tab/>
      </w:r>
      <w:r w:rsidR="00393409" w:rsidRPr="00393409">
        <w:rPr>
          <w:sz w:val="24"/>
          <w:szCs w:val="24"/>
        </w:rPr>
        <w:t>The lead pharmacist for antimicrobial stewardship also continues to represent LPT in Leicestershire-wide groups.’</w:t>
      </w:r>
    </w:p>
    <w:p w14:paraId="30248F2A" w14:textId="77777777" w:rsidR="001527C1" w:rsidRPr="000E645A" w:rsidRDefault="00F04DB1" w:rsidP="002038FA">
      <w:pPr>
        <w:pStyle w:val="Default"/>
        <w:spacing w:after="120" w:line="276" w:lineRule="auto"/>
        <w:ind w:left="720" w:hanging="720"/>
        <w:rPr>
          <w:rFonts w:asciiTheme="minorHAnsi" w:hAnsiTheme="minorHAnsi" w:cstheme="minorHAnsi"/>
          <w:b/>
          <w:color w:val="4F81BD" w:themeColor="accent1"/>
          <w:sz w:val="30"/>
          <w:szCs w:val="30"/>
        </w:rPr>
      </w:pPr>
      <w:r w:rsidRPr="000E645A">
        <w:rPr>
          <w:rFonts w:asciiTheme="minorHAnsi" w:hAnsiTheme="minorHAnsi" w:cstheme="minorHAnsi"/>
          <w:b/>
          <w:color w:val="4F81BD" w:themeColor="accent1"/>
          <w:sz w:val="30"/>
          <w:szCs w:val="30"/>
        </w:rPr>
        <w:t>Proposal</w:t>
      </w:r>
    </w:p>
    <w:p w14:paraId="05950957" w14:textId="77777777" w:rsidR="001527C1" w:rsidRPr="002038FA" w:rsidRDefault="001527C1" w:rsidP="002038FA">
      <w:pPr>
        <w:spacing w:after="120"/>
        <w:rPr>
          <w:noProof/>
          <w:color w:val="000000"/>
          <w:sz w:val="24"/>
          <w:szCs w:val="24"/>
        </w:rPr>
      </w:pPr>
      <w:r w:rsidRPr="000E645A">
        <w:rPr>
          <w:noProof/>
          <w:color w:val="000000"/>
          <w:sz w:val="24"/>
          <w:szCs w:val="24"/>
        </w:rPr>
        <w:t xml:space="preserve">This six monthly report outlines assurance from the Director of Infection Preventon  and Control (DIPaC demonstrating compliance with the Health and Social Care Act 2008 (updated July 2015) also referred to as the Hygiene Code. The report also highlights the impact of the COVID-19 pandemic to the business as usual IPC work programme and quality improvement in response to  NHSE &amp; I </w:t>
      </w:r>
      <w:r w:rsidR="00F04DB1">
        <w:rPr>
          <w:noProof/>
          <w:color w:val="000000"/>
          <w:sz w:val="24"/>
          <w:szCs w:val="24"/>
        </w:rPr>
        <w:t xml:space="preserve">IPC </w:t>
      </w:r>
      <w:r w:rsidRPr="000E645A">
        <w:rPr>
          <w:noProof/>
          <w:color w:val="000000"/>
          <w:sz w:val="24"/>
          <w:szCs w:val="24"/>
        </w:rPr>
        <w:t>visit</w:t>
      </w:r>
      <w:r w:rsidR="00F04DB1">
        <w:rPr>
          <w:noProof/>
          <w:color w:val="000000"/>
          <w:sz w:val="24"/>
          <w:szCs w:val="24"/>
        </w:rPr>
        <w:t>s</w:t>
      </w:r>
      <w:r w:rsidRPr="000E645A">
        <w:rPr>
          <w:noProof/>
          <w:color w:val="000000"/>
          <w:sz w:val="24"/>
          <w:szCs w:val="24"/>
        </w:rPr>
        <w:t xml:space="preserve">. </w:t>
      </w:r>
    </w:p>
    <w:p w14:paraId="6BCB8424" w14:textId="77777777" w:rsidR="002475A8" w:rsidRPr="007F05FD" w:rsidRDefault="002475A8" w:rsidP="002038FA">
      <w:pPr>
        <w:spacing w:after="120"/>
        <w:rPr>
          <w:b/>
          <w:color w:val="4F81BD" w:themeColor="accent1"/>
          <w:sz w:val="28"/>
        </w:rPr>
      </w:pPr>
      <w:r>
        <w:rPr>
          <w:b/>
          <w:color w:val="4F81BD" w:themeColor="accent1"/>
          <w:sz w:val="28"/>
        </w:rPr>
        <w:t>Decision required</w:t>
      </w:r>
    </w:p>
    <w:p w14:paraId="79994E6A" w14:textId="77777777" w:rsidR="00F04DB1" w:rsidRPr="000E645A" w:rsidRDefault="002475A8" w:rsidP="002038FA">
      <w:pPr>
        <w:spacing w:after="120"/>
        <w:rPr>
          <w:noProof/>
          <w:color w:val="000000"/>
          <w:sz w:val="24"/>
          <w:szCs w:val="24"/>
        </w:rPr>
      </w:pPr>
      <w:r w:rsidRPr="00B657EE">
        <w:rPr>
          <w:sz w:val="24"/>
          <w:szCs w:val="24"/>
        </w:rPr>
        <w:t xml:space="preserve">The board is asked to confirm a level of assurance </w:t>
      </w:r>
      <w:r w:rsidRPr="00B657EE">
        <w:rPr>
          <w:rFonts w:cs="Arial"/>
          <w:sz w:val="24"/>
          <w:szCs w:val="24"/>
        </w:rPr>
        <w:t>that pr</w:t>
      </w:r>
      <w:r>
        <w:rPr>
          <w:rFonts w:cs="Arial"/>
          <w:sz w:val="24"/>
          <w:szCs w:val="24"/>
        </w:rPr>
        <w:t>ocesses are in place to monitor and ensure compliance with the Health and Social Care Act 2008 (updated July 2015) also referred to the as the Hygiene Code and NHS England IPC Board Assurance Framework to ensure that all IPC measures are taken in line with PHE Covid-19 guidance to ensure</w:t>
      </w:r>
      <w:r w:rsidRPr="00B657EE">
        <w:rPr>
          <w:rFonts w:cs="Arial"/>
          <w:sz w:val="24"/>
          <w:szCs w:val="24"/>
        </w:rPr>
        <w:t xml:space="preserve"> patient safety </w:t>
      </w:r>
      <w:r>
        <w:rPr>
          <w:rFonts w:cs="Arial"/>
          <w:sz w:val="24"/>
          <w:szCs w:val="24"/>
        </w:rPr>
        <w:t xml:space="preserve">and </w:t>
      </w:r>
      <w:r w:rsidRPr="00B657EE">
        <w:rPr>
          <w:rFonts w:cs="Arial"/>
          <w:sz w:val="24"/>
          <w:szCs w:val="24"/>
        </w:rPr>
        <w:t>care quality is</w:t>
      </w:r>
      <w:r>
        <w:rPr>
          <w:rFonts w:cs="Arial"/>
          <w:sz w:val="24"/>
          <w:szCs w:val="24"/>
        </w:rPr>
        <w:t xml:space="preserve"> maintained.</w:t>
      </w:r>
    </w:p>
    <w:p w14:paraId="096223BC" w14:textId="77777777" w:rsidR="001527C1" w:rsidRDefault="001527C1" w:rsidP="00FF0EF4">
      <w:pPr>
        <w:pStyle w:val="ListParagraph"/>
        <w:spacing w:after="0" w:line="240" w:lineRule="auto"/>
        <w:ind w:hanging="720"/>
        <w:rPr>
          <w:noProof/>
          <w:color w:val="000000"/>
          <w:sz w:val="24"/>
          <w:szCs w:val="24"/>
        </w:rPr>
      </w:pPr>
    </w:p>
    <w:p w14:paraId="15019414" w14:textId="77777777" w:rsidR="006B6E62" w:rsidRDefault="006B6E62" w:rsidP="00FF0EF4">
      <w:pPr>
        <w:pStyle w:val="ListParagraph"/>
        <w:spacing w:after="0" w:line="240" w:lineRule="auto"/>
        <w:ind w:hanging="720"/>
        <w:rPr>
          <w:noProof/>
          <w:color w:val="000000"/>
          <w:sz w:val="24"/>
          <w:szCs w:val="24"/>
        </w:rPr>
      </w:pPr>
    </w:p>
    <w:p w14:paraId="789A8041" w14:textId="77777777" w:rsidR="006B6E62" w:rsidRDefault="006B6E62" w:rsidP="00FF0EF4">
      <w:pPr>
        <w:pStyle w:val="ListParagraph"/>
        <w:spacing w:after="0" w:line="240" w:lineRule="auto"/>
        <w:ind w:hanging="720"/>
        <w:rPr>
          <w:noProof/>
          <w:color w:val="000000"/>
          <w:sz w:val="24"/>
          <w:szCs w:val="24"/>
        </w:rPr>
      </w:pPr>
    </w:p>
    <w:p w14:paraId="5A373845" w14:textId="77777777" w:rsidR="006B6E62" w:rsidRDefault="006B6E62" w:rsidP="00FF0EF4">
      <w:pPr>
        <w:pStyle w:val="ListParagraph"/>
        <w:spacing w:after="0" w:line="240" w:lineRule="auto"/>
        <w:ind w:hanging="720"/>
        <w:rPr>
          <w:noProof/>
          <w:color w:val="000000"/>
          <w:sz w:val="24"/>
          <w:szCs w:val="24"/>
        </w:rPr>
      </w:pPr>
    </w:p>
    <w:p w14:paraId="1376963F" w14:textId="77777777" w:rsidR="006B6E62" w:rsidRDefault="006B6E62" w:rsidP="00FF0EF4">
      <w:pPr>
        <w:pStyle w:val="ListParagraph"/>
        <w:spacing w:after="0" w:line="240" w:lineRule="auto"/>
        <w:ind w:hanging="720"/>
        <w:rPr>
          <w:noProof/>
          <w:color w:val="000000"/>
          <w:sz w:val="24"/>
          <w:szCs w:val="24"/>
        </w:rPr>
      </w:pPr>
    </w:p>
    <w:p w14:paraId="476EA6EF" w14:textId="77777777" w:rsidR="006B6E62" w:rsidRDefault="006B6E62" w:rsidP="00FF0EF4">
      <w:pPr>
        <w:pStyle w:val="ListParagraph"/>
        <w:spacing w:after="0" w:line="240" w:lineRule="auto"/>
        <w:ind w:hanging="720"/>
        <w:rPr>
          <w:noProof/>
          <w:color w:val="000000"/>
          <w:sz w:val="24"/>
          <w:szCs w:val="24"/>
        </w:rPr>
      </w:pPr>
    </w:p>
    <w:p w14:paraId="7B06F391" w14:textId="30944D69" w:rsidR="006B6E62" w:rsidRDefault="006B6E62" w:rsidP="00FF0EF4">
      <w:pPr>
        <w:pStyle w:val="ListParagraph"/>
        <w:spacing w:after="0" w:line="240" w:lineRule="auto"/>
        <w:ind w:hanging="720"/>
        <w:rPr>
          <w:noProof/>
          <w:color w:val="000000"/>
          <w:sz w:val="24"/>
          <w:szCs w:val="24"/>
        </w:rPr>
      </w:pPr>
    </w:p>
    <w:p w14:paraId="446A9281" w14:textId="47834524" w:rsidR="00902EF8" w:rsidRDefault="00902EF8" w:rsidP="00FF0EF4">
      <w:pPr>
        <w:pStyle w:val="ListParagraph"/>
        <w:spacing w:after="0" w:line="240" w:lineRule="auto"/>
        <w:ind w:hanging="720"/>
        <w:rPr>
          <w:noProof/>
          <w:color w:val="000000"/>
          <w:sz w:val="24"/>
          <w:szCs w:val="24"/>
        </w:rPr>
      </w:pPr>
    </w:p>
    <w:p w14:paraId="12004D99" w14:textId="30ADA00E" w:rsidR="00902EF8" w:rsidRDefault="00902EF8" w:rsidP="00FF0EF4">
      <w:pPr>
        <w:pStyle w:val="ListParagraph"/>
        <w:spacing w:after="0" w:line="240" w:lineRule="auto"/>
        <w:ind w:hanging="720"/>
        <w:rPr>
          <w:noProof/>
          <w:color w:val="000000"/>
          <w:sz w:val="24"/>
          <w:szCs w:val="24"/>
        </w:rPr>
      </w:pPr>
    </w:p>
    <w:p w14:paraId="0FE1F8C7" w14:textId="6B11ACE7" w:rsidR="00902EF8" w:rsidRDefault="00902EF8" w:rsidP="00FF0EF4">
      <w:pPr>
        <w:pStyle w:val="ListParagraph"/>
        <w:spacing w:after="0" w:line="240" w:lineRule="auto"/>
        <w:ind w:hanging="720"/>
        <w:rPr>
          <w:noProof/>
          <w:color w:val="000000"/>
          <w:sz w:val="24"/>
          <w:szCs w:val="24"/>
        </w:rPr>
      </w:pPr>
    </w:p>
    <w:p w14:paraId="2023061E" w14:textId="7AAE6B76" w:rsidR="00902EF8" w:rsidRDefault="00902EF8" w:rsidP="00FF0EF4">
      <w:pPr>
        <w:pStyle w:val="ListParagraph"/>
        <w:spacing w:after="0" w:line="240" w:lineRule="auto"/>
        <w:ind w:hanging="720"/>
        <w:rPr>
          <w:noProof/>
          <w:color w:val="000000"/>
          <w:sz w:val="24"/>
          <w:szCs w:val="24"/>
        </w:rPr>
      </w:pPr>
    </w:p>
    <w:p w14:paraId="105D8169" w14:textId="77777777" w:rsidR="00902EF8" w:rsidRDefault="00902EF8" w:rsidP="00FF0EF4">
      <w:pPr>
        <w:pStyle w:val="ListParagraph"/>
        <w:spacing w:after="0" w:line="240" w:lineRule="auto"/>
        <w:ind w:hanging="720"/>
        <w:rPr>
          <w:noProof/>
          <w:color w:val="000000"/>
          <w:sz w:val="24"/>
          <w:szCs w:val="24"/>
        </w:rPr>
      </w:pPr>
    </w:p>
    <w:p w14:paraId="54BAEC39" w14:textId="13F3894D" w:rsidR="006B6E62" w:rsidRDefault="006B6E62" w:rsidP="00FF0EF4">
      <w:pPr>
        <w:pStyle w:val="ListParagraph"/>
        <w:spacing w:after="0" w:line="240" w:lineRule="auto"/>
        <w:ind w:hanging="720"/>
        <w:rPr>
          <w:noProof/>
          <w:color w:val="000000"/>
          <w:sz w:val="24"/>
          <w:szCs w:val="24"/>
        </w:rPr>
      </w:pPr>
    </w:p>
    <w:p w14:paraId="00E70B5E" w14:textId="77777777" w:rsidR="00CC123C" w:rsidRDefault="00CC123C" w:rsidP="00FF0EF4">
      <w:pPr>
        <w:pStyle w:val="ListParagraph"/>
        <w:spacing w:after="0" w:line="240" w:lineRule="auto"/>
        <w:ind w:hanging="720"/>
        <w:rPr>
          <w:noProof/>
          <w:color w:val="000000"/>
          <w:sz w:val="24"/>
          <w:szCs w:val="24"/>
        </w:rPr>
      </w:pPr>
    </w:p>
    <w:p w14:paraId="70704E44" w14:textId="77777777" w:rsidR="006B6E62" w:rsidRPr="00936777" w:rsidRDefault="006B6E62" w:rsidP="00936777">
      <w:pPr>
        <w:spacing w:after="0" w:line="240" w:lineRule="auto"/>
        <w:rPr>
          <w:noProof/>
          <w:color w:val="000000"/>
          <w:sz w:val="24"/>
          <w:szCs w:val="24"/>
        </w:rPr>
      </w:pPr>
    </w:p>
    <w:p w14:paraId="1F778243" w14:textId="77777777" w:rsidR="002038FA" w:rsidRPr="002038FA" w:rsidRDefault="00455018" w:rsidP="002038FA">
      <w:pPr>
        <w:pStyle w:val="Heading2"/>
        <w:spacing w:before="0"/>
        <w:rPr>
          <w:rFonts w:asciiTheme="minorHAnsi" w:hAnsiTheme="minorHAnsi" w:cstheme="minorHAnsi"/>
          <w:sz w:val="28"/>
          <w:szCs w:val="28"/>
        </w:rPr>
      </w:pPr>
      <w:r>
        <w:rPr>
          <w:rFonts w:asciiTheme="minorHAnsi" w:hAnsiTheme="minorHAnsi" w:cstheme="minorHAnsi"/>
          <w:sz w:val="28"/>
          <w:szCs w:val="28"/>
        </w:rPr>
        <w:lastRenderedPageBreak/>
        <w:t>Governance t</w:t>
      </w:r>
      <w:r w:rsidR="0043360A" w:rsidRPr="00EA7354">
        <w:rPr>
          <w:rFonts w:asciiTheme="minorHAnsi" w:hAnsiTheme="minorHAnsi" w:cstheme="minorHAnsi"/>
          <w:sz w:val="28"/>
          <w:szCs w:val="28"/>
        </w:rPr>
        <w:t xml:space="preserve">able </w:t>
      </w:r>
    </w:p>
    <w:tbl>
      <w:tblPr>
        <w:tblStyle w:val="MediumGrid3-Accent1"/>
        <w:tblW w:w="0" w:type="auto"/>
        <w:tblInd w:w="108" w:type="dxa"/>
        <w:tblLook w:val="0480" w:firstRow="0" w:lastRow="0" w:firstColumn="1" w:lastColumn="0" w:noHBand="0" w:noVBand="1"/>
      </w:tblPr>
      <w:tblGrid>
        <w:gridCol w:w="4395"/>
        <w:gridCol w:w="2268"/>
        <w:gridCol w:w="2471"/>
      </w:tblGrid>
      <w:tr w:rsidR="0043360A" w:rsidRPr="00050DBC" w14:paraId="07EB1B74" w14:textId="77777777" w:rsidTr="00FF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46CD0C0C" w14:textId="77777777" w:rsidR="0043360A" w:rsidRPr="00050DBC" w:rsidRDefault="0043360A" w:rsidP="008013B6">
            <w:pPr>
              <w:rPr>
                <w:sz w:val="20"/>
                <w:szCs w:val="20"/>
              </w:rPr>
            </w:pPr>
            <w:r w:rsidRPr="00050DBC">
              <w:rPr>
                <w:sz w:val="20"/>
                <w:szCs w:val="20"/>
              </w:rPr>
              <w:t>For Board and Board Committees:</w:t>
            </w:r>
          </w:p>
        </w:tc>
        <w:tc>
          <w:tcPr>
            <w:tcW w:w="4739" w:type="dxa"/>
            <w:gridSpan w:val="2"/>
          </w:tcPr>
          <w:p w14:paraId="4353FBAE" w14:textId="77777777" w:rsidR="0043360A" w:rsidRPr="00050DBC" w:rsidRDefault="00391D55" w:rsidP="008013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Trust Board</w:t>
            </w:r>
          </w:p>
        </w:tc>
      </w:tr>
      <w:tr w:rsidR="0043360A" w:rsidRPr="00050DBC" w14:paraId="4C036E3B" w14:textId="77777777" w:rsidTr="00FF0EF4">
        <w:tc>
          <w:tcPr>
            <w:cnfStyle w:val="001000000000" w:firstRow="0" w:lastRow="0" w:firstColumn="1" w:lastColumn="0" w:oddVBand="0" w:evenVBand="0" w:oddHBand="0" w:evenHBand="0" w:firstRowFirstColumn="0" w:firstRowLastColumn="0" w:lastRowFirstColumn="0" w:lastRowLastColumn="0"/>
            <w:tcW w:w="4395" w:type="dxa"/>
            <w:hideMark/>
          </w:tcPr>
          <w:p w14:paraId="6188F16D" w14:textId="77777777" w:rsidR="0043360A" w:rsidRPr="00050DBC" w:rsidRDefault="0043360A" w:rsidP="008013B6">
            <w:pPr>
              <w:rPr>
                <w:sz w:val="20"/>
                <w:szCs w:val="20"/>
              </w:rPr>
            </w:pPr>
            <w:r w:rsidRPr="00050DBC">
              <w:rPr>
                <w:sz w:val="20"/>
                <w:szCs w:val="20"/>
              </w:rPr>
              <w:t>Paper sponsored by:</w:t>
            </w:r>
          </w:p>
        </w:tc>
        <w:tc>
          <w:tcPr>
            <w:tcW w:w="4739" w:type="dxa"/>
            <w:gridSpan w:val="2"/>
          </w:tcPr>
          <w:p w14:paraId="5DA2DCF4" w14:textId="5B27FB6B" w:rsidR="0043360A" w:rsidRPr="00050DBC" w:rsidRDefault="00391D55"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Anne Scott – </w:t>
            </w:r>
            <w:r w:rsidR="005751B4">
              <w:rPr>
                <w:sz w:val="20"/>
                <w:szCs w:val="20"/>
              </w:rPr>
              <w:t xml:space="preserve">Executive </w:t>
            </w:r>
            <w:r>
              <w:rPr>
                <w:sz w:val="20"/>
                <w:szCs w:val="20"/>
              </w:rPr>
              <w:t>Director of Nursing, AHP and Quality</w:t>
            </w:r>
          </w:p>
        </w:tc>
      </w:tr>
      <w:tr w:rsidR="0043360A" w:rsidRPr="00050DBC" w14:paraId="50E41629" w14:textId="77777777" w:rsidTr="00FF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FFFFFF" w:themeColor="background1"/>
            </w:tcBorders>
            <w:hideMark/>
          </w:tcPr>
          <w:p w14:paraId="3AA8B55C" w14:textId="77777777" w:rsidR="0043360A" w:rsidRPr="00050DBC" w:rsidRDefault="0043360A" w:rsidP="008013B6">
            <w:pPr>
              <w:rPr>
                <w:sz w:val="20"/>
                <w:szCs w:val="20"/>
              </w:rPr>
            </w:pPr>
            <w:r w:rsidRPr="00050DBC">
              <w:rPr>
                <w:sz w:val="20"/>
                <w:szCs w:val="20"/>
              </w:rPr>
              <w:t>Paper authored by:</w:t>
            </w:r>
          </w:p>
        </w:tc>
        <w:tc>
          <w:tcPr>
            <w:tcW w:w="4739" w:type="dxa"/>
            <w:gridSpan w:val="2"/>
            <w:tcBorders>
              <w:top w:val="single" w:sz="6" w:space="0" w:color="FFFFFF" w:themeColor="background1"/>
              <w:left w:val="single" w:sz="6" w:space="0" w:color="FFFFFF" w:themeColor="background1"/>
              <w:bottom w:val="single" w:sz="6" w:space="0" w:color="FFFFFF" w:themeColor="background1"/>
            </w:tcBorders>
          </w:tcPr>
          <w:p w14:paraId="754261C9" w14:textId="77777777" w:rsidR="0043360A" w:rsidRDefault="00391D55" w:rsidP="008013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Amanda Hemsley – Lead Infection Prevention and Control Nurse</w:t>
            </w:r>
          </w:p>
          <w:p w14:paraId="0EAE5448" w14:textId="4D967473" w:rsidR="00FD129F" w:rsidRPr="00050DBC" w:rsidRDefault="00FD129F" w:rsidP="008013B6">
            <w:pPr>
              <w:cnfStyle w:val="000000100000" w:firstRow="0" w:lastRow="0" w:firstColumn="0" w:lastColumn="0" w:oddVBand="0" w:evenVBand="0" w:oddHBand="1" w:evenHBand="0" w:firstRowFirstColumn="0" w:firstRowLastColumn="0" w:lastRowFirstColumn="0" w:lastRowLastColumn="0"/>
              <w:rPr>
                <w:sz w:val="20"/>
                <w:szCs w:val="20"/>
              </w:rPr>
            </w:pPr>
          </w:p>
        </w:tc>
      </w:tr>
      <w:tr w:rsidR="0043360A" w:rsidRPr="00050DBC" w14:paraId="041BAB54" w14:textId="77777777" w:rsidTr="00FF0EF4">
        <w:tc>
          <w:tcPr>
            <w:cnfStyle w:val="001000000000" w:firstRow="0" w:lastRow="0" w:firstColumn="1" w:lastColumn="0" w:oddVBand="0" w:evenVBand="0" w:oddHBand="0" w:evenHBand="0" w:firstRowFirstColumn="0" w:firstRowLastColumn="0" w:lastRowFirstColumn="0" w:lastRowLastColumn="0"/>
            <w:tcW w:w="4395" w:type="dxa"/>
            <w:hideMark/>
          </w:tcPr>
          <w:p w14:paraId="59331216" w14:textId="77777777" w:rsidR="0043360A" w:rsidRPr="00050DBC" w:rsidRDefault="0043360A" w:rsidP="008013B6">
            <w:pPr>
              <w:rPr>
                <w:sz w:val="20"/>
                <w:szCs w:val="20"/>
              </w:rPr>
            </w:pPr>
            <w:r w:rsidRPr="00050DBC">
              <w:rPr>
                <w:sz w:val="20"/>
                <w:szCs w:val="20"/>
              </w:rPr>
              <w:t>Date submitted:</w:t>
            </w:r>
          </w:p>
        </w:tc>
        <w:tc>
          <w:tcPr>
            <w:tcW w:w="4739" w:type="dxa"/>
            <w:gridSpan w:val="2"/>
          </w:tcPr>
          <w:p w14:paraId="1749C51D" w14:textId="0EAC8C9D" w:rsidR="0043360A" w:rsidRPr="00050DBC" w:rsidRDefault="005751B4"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9.12.21</w:t>
            </w:r>
          </w:p>
        </w:tc>
      </w:tr>
      <w:tr w:rsidR="0043360A" w:rsidRPr="00050DBC" w14:paraId="00CA7B64" w14:textId="77777777" w:rsidTr="00FF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34885510" w14:textId="77777777" w:rsidR="0043360A" w:rsidRPr="00050DBC" w:rsidRDefault="0043360A" w:rsidP="008013B6">
            <w:pPr>
              <w:rPr>
                <w:sz w:val="20"/>
                <w:szCs w:val="20"/>
              </w:rPr>
            </w:pPr>
            <w:r w:rsidRPr="00050DBC">
              <w:rPr>
                <w:sz w:val="20"/>
                <w:szCs w:val="20"/>
              </w:rPr>
              <w:t>State which Board Committee or other forum within the Trust’s governance structure, if any, have previously considered the report/this issue and the date of the relevant meeting(s):</w:t>
            </w:r>
          </w:p>
        </w:tc>
        <w:tc>
          <w:tcPr>
            <w:tcW w:w="4739" w:type="dxa"/>
            <w:gridSpan w:val="2"/>
          </w:tcPr>
          <w:p w14:paraId="6D340C58" w14:textId="77777777" w:rsidR="0043360A" w:rsidRPr="00050DBC" w:rsidRDefault="00391D55" w:rsidP="008013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Direct to trust board</w:t>
            </w:r>
          </w:p>
        </w:tc>
      </w:tr>
      <w:tr w:rsidR="0043360A" w:rsidRPr="00050DBC" w14:paraId="3B68A078" w14:textId="77777777" w:rsidTr="00FF0EF4">
        <w:tc>
          <w:tcPr>
            <w:cnfStyle w:val="001000000000" w:firstRow="0" w:lastRow="0" w:firstColumn="1" w:lastColumn="0" w:oddVBand="0" w:evenVBand="0" w:oddHBand="0" w:evenHBand="0" w:firstRowFirstColumn="0" w:firstRowLastColumn="0" w:lastRowFirstColumn="0" w:lastRowLastColumn="0"/>
            <w:tcW w:w="4395" w:type="dxa"/>
          </w:tcPr>
          <w:p w14:paraId="72EC62B3" w14:textId="5DE3258B" w:rsidR="0043360A" w:rsidRPr="00050DBC" w:rsidRDefault="0043360A" w:rsidP="008013B6">
            <w:pPr>
              <w:rPr>
                <w:sz w:val="20"/>
                <w:szCs w:val="20"/>
              </w:rPr>
            </w:pPr>
            <w:r w:rsidRPr="00050DBC">
              <w:rPr>
                <w:sz w:val="20"/>
                <w:szCs w:val="20"/>
              </w:rPr>
              <w:t xml:space="preserve">If considered elsewhere, state the level of assurance gained by the Board Committee or other forum </w:t>
            </w:r>
            <w:r w:rsidR="00D406B5" w:rsidRPr="00050DBC">
              <w:rPr>
                <w:sz w:val="20"/>
                <w:szCs w:val="20"/>
              </w:rPr>
              <w:t>i.e.,</w:t>
            </w:r>
            <w:r w:rsidRPr="00050DBC">
              <w:rPr>
                <w:sz w:val="20"/>
                <w:szCs w:val="20"/>
              </w:rPr>
              <w:t xml:space="preserve"> assured/ partially assured / not assured:</w:t>
            </w:r>
          </w:p>
        </w:tc>
        <w:tc>
          <w:tcPr>
            <w:tcW w:w="4739" w:type="dxa"/>
            <w:gridSpan w:val="2"/>
          </w:tcPr>
          <w:p w14:paraId="71934FC8" w14:textId="77777777" w:rsidR="0043360A" w:rsidRPr="00050DBC" w:rsidRDefault="0043360A" w:rsidP="008013B6">
            <w:pPr>
              <w:cnfStyle w:val="000000000000" w:firstRow="0" w:lastRow="0" w:firstColumn="0" w:lastColumn="0" w:oddVBand="0" w:evenVBand="0" w:oddHBand="0" w:evenHBand="0" w:firstRowFirstColumn="0" w:firstRowLastColumn="0" w:lastRowFirstColumn="0" w:lastRowLastColumn="0"/>
              <w:rPr>
                <w:sz w:val="20"/>
                <w:szCs w:val="20"/>
              </w:rPr>
            </w:pPr>
          </w:p>
        </w:tc>
      </w:tr>
      <w:tr w:rsidR="0043360A" w:rsidRPr="00050DBC" w14:paraId="34C741F8" w14:textId="77777777" w:rsidTr="00FF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37E0FC54" w14:textId="77777777" w:rsidR="0043360A" w:rsidRPr="00050DBC" w:rsidRDefault="0043360A" w:rsidP="008013B6">
            <w:pPr>
              <w:rPr>
                <w:sz w:val="20"/>
                <w:szCs w:val="20"/>
              </w:rPr>
            </w:pPr>
            <w:r w:rsidRPr="00050DBC">
              <w:rPr>
                <w:sz w:val="20"/>
                <w:szCs w:val="20"/>
              </w:rPr>
              <w:t>State whether this is a ‘one off’ report or, if not, when an update report will be provided for the purposes of corporate Agenda planning</w:t>
            </w:r>
            <w:r w:rsidRPr="00050DBC" w:rsidDel="00BD629A">
              <w:rPr>
                <w:sz w:val="20"/>
                <w:szCs w:val="20"/>
              </w:rPr>
              <w:t xml:space="preserve"> </w:t>
            </w:r>
          </w:p>
        </w:tc>
        <w:tc>
          <w:tcPr>
            <w:tcW w:w="4739" w:type="dxa"/>
            <w:gridSpan w:val="2"/>
          </w:tcPr>
          <w:p w14:paraId="4D3CE919" w14:textId="48B067B1" w:rsidR="0043360A" w:rsidRPr="00050DBC" w:rsidRDefault="00391D55" w:rsidP="008013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6 monthly </w:t>
            </w:r>
            <w:r w:rsidR="00D406B5">
              <w:rPr>
                <w:sz w:val="20"/>
                <w:szCs w:val="20"/>
              </w:rPr>
              <w:t>reports</w:t>
            </w:r>
          </w:p>
        </w:tc>
      </w:tr>
      <w:tr w:rsidR="0043360A" w:rsidRPr="00050DBC" w14:paraId="1A553E73" w14:textId="77777777" w:rsidTr="00443738">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FFFFFF" w:themeColor="background1"/>
            </w:tcBorders>
            <w:hideMark/>
          </w:tcPr>
          <w:p w14:paraId="5B3A916C" w14:textId="77777777" w:rsidR="0043360A" w:rsidRPr="00050DBC" w:rsidRDefault="001F1E8B" w:rsidP="00443738">
            <w:pPr>
              <w:rPr>
                <w:sz w:val="20"/>
                <w:szCs w:val="20"/>
              </w:rPr>
            </w:pPr>
            <w:r>
              <w:rPr>
                <w:sz w:val="20"/>
                <w:szCs w:val="20"/>
              </w:rPr>
              <w:t>S</w:t>
            </w:r>
            <w:r w:rsidR="00443738">
              <w:rPr>
                <w:sz w:val="20"/>
                <w:szCs w:val="20"/>
              </w:rPr>
              <w:t>TEP up to GREAT</w:t>
            </w:r>
            <w:r w:rsidR="0043360A" w:rsidRPr="00050DBC">
              <w:rPr>
                <w:sz w:val="20"/>
                <w:szCs w:val="20"/>
              </w:rPr>
              <w:t xml:space="preserve"> strategic alignment*:</w:t>
            </w:r>
          </w:p>
        </w:tc>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70E9BD44" w14:textId="77777777" w:rsidR="0043360A" w:rsidRPr="00050DBC" w:rsidRDefault="00443738" w:rsidP="0044373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1E1F"/>
                <w:sz w:val="20"/>
                <w:szCs w:val="20"/>
              </w:rPr>
            </w:pPr>
            <w:r>
              <w:rPr>
                <w:rStyle w:val="A5"/>
                <w:rFonts w:asciiTheme="minorHAnsi" w:hAnsiTheme="minorHAnsi" w:cstheme="minorHAnsi"/>
                <w:sz w:val="20"/>
                <w:szCs w:val="20"/>
              </w:rPr>
              <w:t xml:space="preserve">High </w:t>
            </w:r>
            <w:r w:rsidRPr="00443738">
              <w:rPr>
                <w:rStyle w:val="A5"/>
                <w:rFonts w:asciiTheme="minorHAnsi" w:hAnsiTheme="minorHAnsi" w:cstheme="minorHAnsi"/>
                <w:b/>
                <w:sz w:val="20"/>
                <w:szCs w:val="20"/>
              </w:rPr>
              <w:t>S</w:t>
            </w:r>
            <w:r>
              <w:rPr>
                <w:rStyle w:val="A5"/>
                <w:rFonts w:asciiTheme="minorHAnsi" w:hAnsiTheme="minorHAnsi" w:cstheme="minorHAnsi"/>
                <w:sz w:val="20"/>
                <w:szCs w:val="20"/>
              </w:rPr>
              <w:t>tandards</w:t>
            </w:r>
            <w:r w:rsidR="0043360A" w:rsidRPr="00050DBC">
              <w:rPr>
                <w:rStyle w:val="A5"/>
                <w:rFonts w:asciiTheme="minorHAnsi" w:hAnsiTheme="minorHAnsi" w:cstheme="minorHAnsi"/>
                <w:sz w:val="20"/>
                <w:szCs w:val="20"/>
              </w:rPr>
              <w:t xml:space="preserve"> </w:t>
            </w:r>
          </w:p>
        </w:tc>
        <w:tc>
          <w:tcPr>
            <w:tcW w:w="2471" w:type="dxa"/>
            <w:tcBorders>
              <w:top w:val="single" w:sz="6" w:space="0" w:color="FFFFFF" w:themeColor="background1"/>
              <w:left w:val="single" w:sz="6" w:space="0" w:color="FFFFFF" w:themeColor="background1"/>
              <w:bottom w:val="single" w:sz="6" w:space="0" w:color="FFFFFF" w:themeColor="background1"/>
            </w:tcBorders>
          </w:tcPr>
          <w:p w14:paraId="520EBC28" w14:textId="77777777" w:rsidR="0043360A" w:rsidRPr="00050DBC" w:rsidRDefault="00391D55"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r>
      <w:tr w:rsidR="0043360A" w:rsidRPr="00050DBC" w14:paraId="077DFDAC" w14:textId="77777777" w:rsidTr="0044373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95" w:type="dxa"/>
          </w:tcPr>
          <w:p w14:paraId="5349752D" w14:textId="77777777" w:rsidR="0043360A" w:rsidRPr="00050DBC" w:rsidRDefault="0043360A" w:rsidP="008013B6">
            <w:pPr>
              <w:rPr>
                <w:sz w:val="20"/>
                <w:szCs w:val="20"/>
              </w:rPr>
            </w:pPr>
          </w:p>
        </w:tc>
        <w:tc>
          <w:tcPr>
            <w:tcW w:w="2268" w:type="dxa"/>
            <w:hideMark/>
          </w:tcPr>
          <w:p w14:paraId="4421306A" w14:textId="77777777" w:rsidR="0043360A" w:rsidRPr="00050DBC" w:rsidRDefault="00443738" w:rsidP="008013B6">
            <w:pPr>
              <w:pStyle w:val="Default"/>
              <w:cnfStyle w:val="000000100000" w:firstRow="0" w:lastRow="0" w:firstColumn="0" w:lastColumn="0" w:oddVBand="0" w:evenVBand="0" w:oddHBand="1" w:evenHBand="0" w:firstRowFirstColumn="0" w:firstRowLastColumn="0" w:lastRowFirstColumn="0" w:lastRowLastColumn="0"/>
              <w:rPr>
                <w:rStyle w:val="A5"/>
                <w:rFonts w:asciiTheme="minorHAnsi" w:hAnsiTheme="minorHAnsi" w:cstheme="minorHAnsi"/>
                <w:sz w:val="20"/>
                <w:szCs w:val="20"/>
              </w:rPr>
            </w:pPr>
            <w:r>
              <w:rPr>
                <w:rStyle w:val="A5"/>
                <w:rFonts w:asciiTheme="minorHAnsi" w:hAnsiTheme="minorHAnsi" w:cstheme="minorHAnsi"/>
                <w:b/>
                <w:bCs/>
                <w:sz w:val="20"/>
                <w:szCs w:val="20"/>
              </w:rPr>
              <w:t>T</w:t>
            </w:r>
            <w:r w:rsidRPr="00443738">
              <w:rPr>
                <w:rStyle w:val="A5"/>
                <w:rFonts w:asciiTheme="minorHAnsi" w:hAnsiTheme="minorHAnsi" w:cstheme="minorHAnsi"/>
                <w:bCs/>
                <w:sz w:val="20"/>
                <w:szCs w:val="20"/>
              </w:rPr>
              <w:t>ransformation</w:t>
            </w:r>
          </w:p>
        </w:tc>
        <w:tc>
          <w:tcPr>
            <w:tcW w:w="2471" w:type="dxa"/>
          </w:tcPr>
          <w:p w14:paraId="484B3005" w14:textId="77777777" w:rsidR="0043360A" w:rsidRPr="00050DBC" w:rsidRDefault="0043360A" w:rsidP="008013B6">
            <w:pPr>
              <w:cnfStyle w:val="000000100000" w:firstRow="0" w:lastRow="0" w:firstColumn="0" w:lastColumn="0" w:oddVBand="0" w:evenVBand="0" w:oddHBand="1" w:evenHBand="0" w:firstRowFirstColumn="0" w:firstRowLastColumn="0" w:lastRowFirstColumn="0" w:lastRowLastColumn="0"/>
              <w:rPr>
                <w:sz w:val="20"/>
                <w:szCs w:val="20"/>
              </w:rPr>
            </w:pPr>
          </w:p>
        </w:tc>
      </w:tr>
      <w:tr w:rsidR="0043360A" w:rsidRPr="00050DBC" w14:paraId="18962DD1" w14:textId="77777777" w:rsidTr="00443738">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FFFFFF" w:themeColor="background1"/>
            </w:tcBorders>
          </w:tcPr>
          <w:p w14:paraId="07795866" w14:textId="77777777" w:rsidR="0043360A" w:rsidRPr="00050DBC" w:rsidRDefault="0043360A" w:rsidP="008013B6">
            <w:pPr>
              <w:rPr>
                <w:sz w:val="20"/>
                <w:szCs w:val="20"/>
              </w:rPr>
            </w:pPr>
          </w:p>
        </w:tc>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5540FB46" w14:textId="77777777" w:rsidR="0043360A" w:rsidRPr="00050DBC" w:rsidRDefault="00443738" w:rsidP="00443738">
            <w:pPr>
              <w:pStyle w:val="Default"/>
              <w:cnfStyle w:val="000000000000" w:firstRow="0" w:lastRow="0" w:firstColumn="0" w:lastColumn="0" w:oddVBand="0" w:evenVBand="0" w:oddHBand="0" w:evenHBand="0" w:firstRowFirstColumn="0" w:firstRowLastColumn="0" w:lastRowFirstColumn="0" w:lastRowLastColumn="0"/>
              <w:rPr>
                <w:rStyle w:val="A5"/>
                <w:rFonts w:asciiTheme="minorHAnsi" w:hAnsiTheme="minorHAnsi" w:cstheme="minorHAnsi"/>
                <w:sz w:val="20"/>
                <w:szCs w:val="20"/>
              </w:rPr>
            </w:pPr>
            <w:r>
              <w:rPr>
                <w:rStyle w:val="A5"/>
                <w:rFonts w:asciiTheme="minorHAnsi" w:hAnsiTheme="minorHAnsi" w:cstheme="minorHAnsi"/>
                <w:b/>
                <w:bCs/>
                <w:sz w:val="20"/>
                <w:szCs w:val="20"/>
              </w:rPr>
              <w:t>E</w:t>
            </w:r>
            <w:r w:rsidRPr="00443738">
              <w:rPr>
                <w:rStyle w:val="A5"/>
                <w:rFonts w:asciiTheme="minorHAnsi" w:hAnsiTheme="minorHAnsi" w:cstheme="minorHAnsi"/>
                <w:bCs/>
                <w:sz w:val="20"/>
                <w:szCs w:val="20"/>
              </w:rPr>
              <w:t>nvironments</w:t>
            </w:r>
            <w:r w:rsidR="0043360A" w:rsidRPr="00050DBC">
              <w:rPr>
                <w:rStyle w:val="A5"/>
                <w:rFonts w:asciiTheme="minorHAnsi" w:hAnsiTheme="minorHAnsi" w:cstheme="minorHAnsi"/>
                <w:sz w:val="20"/>
                <w:szCs w:val="20"/>
              </w:rPr>
              <w:t xml:space="preserve"> </w:t>
            </w:r>
          </w:p>
        </w:tc>
        <w:tc>
          <w:tcPr>
            <w:tcW w:w="2471" w:type="dxa"/>
            <w:tcBorders>
              <w:top w:val="single" w:sz="6" w:space="0" w:color="FFFFFF" w:themeColor="background1"/>
              <w:left w:val="single" w:sz="6" w:space="0" w:color="FFFFFF" w:themeColor="background1"/>
              <w:bottom w:val="single" w:sz="6" w:space="0" w:color="FFFFFF" w:themeColor="background1"/>
            </w:tcBorders>
          </w:tcPr>
          <w:p w14:paraId="38F48B71" w14:textId="77777777" w:rsidR="0043360A" w:rsidRPr="00050DBC" w:rsidRDefault="00391D55"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r>
      <w:tr w:rsidR="0043360A" w:rsidRPr="00050DBC" w14:paraId="75CCF76D" w14:textId="77777777" w:rsidTr="00443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54687481" w14:textId="77777777" w:rsidR="0043360A" w:rsidRPr="00050DBC" w:rsidRDefault="0043360A" w:rsidP="008013B6">
            <w:pPr>
              <w:rPr>
                <w:sz w:val="20"/>
                <w:szCs w:val="20"/>
              </w:rPr>
            </w:pPr>
          </w:p>
        </w:tc>
        <w:tc>
          <w:tcPr>
            <w:tcW w:w="2268" w:type="dxa"/>
            <w:hideMark/>
          </w:tcPr>
          <w:p w14:paraId="464A60F0" w14:textId="77777777" w:rsidR="0043360A" w:rsidRPr="00443738" w:rsidRDefault="00443738" w:rsidP="008013B6">
            <w:pPr>
              <w:pStyle w:val="Default"/>
              <w:cnfStyle w:val="000000100000" w:firstRow="0" w:lastRow="0" w:firstColumn="0" w:lastColumn="0" w:oddVBand="0" w:evenVBand="0" w:oddHBand="1" w:evenHBand="0" w:firstRowFirstColumn="0" w:firstRowLastColumn="0" w:lastRowFirstColumn="0" w:lastRowLastColumn="0"/>
              <w:rPr>
                <w:rStyle w:val="A5"/>
                <w:rFonts w:asciiTheme="minorHAnsi" w:hAnsiTheme="minorHAnsi" w:cstheme="minorHAnsi"/>
                <w:sz w:val="20"/>
                <w:szCs w:val="20"/>
              </w:rPr>
            </w:pPr>
            <w:r>
              <w:rPr>
                <w:rStyle w:val="A5"/>
                <w:rFonts w:asciiTheme="minorHAnsi" w:hAnsiTheme="minorHAnsi" w:cstheme="minorHAnsi"/>
                <w:b/>
                <w:bCs/>
                <w:sz w:val="20"/>
                <w:szCs w:val="20"/>
              </w:rPr>
              <w:t>P</w:t>
            </w:r>
            <w:r>
              <w:rPr>
                <w:rStyle w:val="A5"/>
                <w:rFonts w:asciiTheme="minorHAnsi" w:hAnsiTheme="minorHAnsi" w:cstheme="minorHAnsi"/>
                <w:bCs/>
                <w:sz w:val="20"/>
                <w:szCs w:val="20"/>
              </w:rPr>
              <w:t>atient Involvement</w:t>
            </w:r>
          </w:p>
        </w:tc>
        <w:tc>
          <w:tcPr>
            <w:tcW w:w="2471" w:type="dxa"/>
          </w:tcPr>
          <w:p w14:paraId="2E75BC7E" w14:textId="77777777" w:rsidR="0043360A" w:rsidRPr="00050DBC" w:rsidRDefault="0043360A" w:rsidP="008013B6">
            <w:pPr>
              <w:cnfStyle w:val="000000100000" w:firstRow="0" w:lastRow="0" w:firstColumn="0" w:lastColumn="0" w:oddVBand="0" w:evenVBand="0" w:oddHBand="1" w:evenHBand="0" w:firstRowFirstColumn="0" w:firstRowLastColumn="0" w:lastRowFirstColumn="0" w:lastRowLastColumn="0"/>
              <w:rPr>
                <w:sz w:val="20"/>
                <w:szCs w:val="20"/>
              </w:rPr>
            </w:pPr>
          </w:p>
        </w:tc>
      </w:tr>
      <w:tr w:rsidR="0043360A" w:rsidRPr="00050DBC" w14:paraId="09BECCF5" w14:textId="77777777" w:rsidTr="00443738">
        <w:tc>
          <w:tcPr>
            <w:cnfStyle w:val="001000000000" w:firstRow="0" w:lastRow="0" w:firstColumn="1" w:lastColumn="0" w:oddVBand="0" w:evenVBand="0" w:oddHBand="0" w:evenHBand="0" w:firstRowFirstColumn="0" w:firstRowLastColumn="0" w:lastRowFirstColumn="0" w:lastRowLastColumn="0"/>
            <w:tcW w:w="4395" w:type="dxa"/>
          </w:tcPr>
          <w:p w14:paraId="533CFFA4" w14:textId="77777777" w:rsidR="0043360A" w:rsidRPr="00443738" w:rsidRDefault="0043360A" w:rsidP="008013B6">
            <w:pPr>
              <w:rPr>
                <w:b w:val="0"/>
                <w:sz w:val="20"/>
                <w:szCs w:val="20"/>
              </w:rPr>
            </w:pPr>
          </w:p>
        </w:tc>
        <w:tc>
          <w:tcPr>
            <w:tcW w:w="2268" w:type="dxa"/>
          </w:tcPr>
          <w:p w14:paraId="662817E8" w14:textId="77777777" w:rsidR="0043360A" w:rsidRPr="00443738" w:rsidRDefault="00443738" w:rsidP="008013B6">
            <w:pPr>
              <w:pStyle w:val="Default"/>
              <w:cnfStyle w:val="000000000000" w:firstRow="0" w:lastRow="0" w:firstColumn="0" w:lastColumn="0" w:oddVBand="0" w:evenVBand="0" w:oddHBand="0" w:evenHBand="0" w:firstRowFirstColumn="0" w:firstRowLastColumn="0" w:lastRowFirstColumn="0" w:lastRowLastColumn="0"/>
              <w:rPr>
                <w:rStyle w:val="A5"/>
                <w:rFonts w:asciiTheme="minorHAnsi" w:hAnsiTheme="minorHAnsi" w:cstheme="minorHAnsi"/>
                <w:bCs/>
                <w:sz w:val="20"/>
                <w:szCs w:val="20"/>
              </w:rPr>
            </w:pPr>
            <w:r w:rsidRPr="00443738">
              <w:rPr>
                <w:rStyle w:val="A5"/>
                <w:rFonts w:asciiTheme="minorHAnsi" w:hAnsiTheme="minorHAnsi" w:cstheme="minorHAnsi"/>
                <w:sz w:val="20"/>
                <w:szCs w:val="20"/>
              </w:rPr>
              <w:t xml:space="preserve">Well </w:t>
            </w:r>
            <w:r w:rsidRPr="00443738">
              <w:rPr>
                <w:rStyle w:val="A5"/>
                <w:rFonts w:asciiTheme="minorHAnsi" w:hAnsiTheme="minorHAnsi" w:cstheme="minorHAnsi"/>
                <w:b/>
                <w:sz w:val="20"/>
                <w:szCs w:val="20"/>
              </w:rPr>
              <w:t>G</w:t>
            </w:r>
            <w:r w:rsidRPr="00443738">
              <w:rPr>
                <w:rStyle w:val="A5"/>
                <w:rFonts w:asciiTheme="minorHAnsi" w:hAnsiTheme="minorHAnsi" w:cstheme="minorHAnsi"/>
                <w:sz w:val="20"/>
                <w:szCs w:val="20"/>
              </w:rPr>
              <w:t>overned</w:t>
            </w:r>
          </w:p>
        </w:tc>
        <w:tc>
          <w:tcPr>
            <w:tcW w:w="2471" w:type="dxa"/>
          </w:tcPr>
          <w:p w14:paraId="2B2A1D9D" w14:textId="77777777" w:rsidR="0043360A" w:rsidRPr="00050DBC" w:rsidRDefault="00391D55"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r>
      <w:tr w:rsidR="001F1E8B" w:rsidRPr="00050DBC" w14:paraId="12C88204" w14:textId="77777777" w:rsidTr="00443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77C979F7" w14:textId="77777777" w:rsidR="001F1E8B" w:rsidRPr="00050DBC" w:rsidRDefault="001F1E8B" w:rsidP="008013B6">
            <w:pPr>
              <w:rPr>
                <w:sz w:val="20"/>
                <w:szCs w:val="20"/>
              </w:rPr>
            </w:pPr>
          </w:p>
        </w:tc>
        <w:tc>
          <w:tcPr>
            <w:tcW w:w="2268" w:type="dxa"/>
          </w:tcPr>
          <w:p w14:paraId="0758E3F5" w14:textId="77777777" w:rsidR="001F1E8B" w:rsidRPr="00443738" w:rsidRDefault="00443738" w:rsidP="008013B6">
            <w:pPr>
              <w:pStyle w:val="Default"/>
              <w:cnfStyle w:val="000000100000" w:firstRow="0" w:lastRow="0" w:firstColumn="0" w:lastColumn="0" w:oddVBand="0" w:evenVBand="0" w:oddHBand="1" w:evenHBand="0" w:firstRowFirstColumn="0" w:firstRowLastColumn="0" w:lastRowFirstColumn="0" w:lastRowLastColumn="0"/>
              <w:rPr>
                <w:rStyle w:val="A5"/>
                <w:rFonts w:asciiTheme="minorHAnsi" w:hAnsiTheme="minorHAnsi" w:cstheme="minorHAnsi"/>
                <w:sz w:val="20"/>
                <w:szCs w:val="20"/>
              </w:rPr>
            </w:pPr>
            <w:r w:rsidRPr="00443738">
              <w:rPr>
                <w:rStyle w:val="A5"/>
                <w:rFonts w:asciiTheme="minorHAnsi" w:hAnsiTheme="minorHAnsi" w:cstheme="minorHAnsi"/>
                <w:sz w:val="20"/>
                <w:szCs w:val="20"/>
              </w:rPr>
              <w:t xml:space="preserve">Single Patient </w:t>
            </w:r>
            <w:r w:rsidRPr="00443738">
              <w:rPr>
                <w:rStyle w:val="A5"/>
                <w:rFonts w:asciiTheme="minorHAnsi" w:hAnsiTheme="minorHAnsi" w:cstheme="minorHAnsi"/>
                <w:b/>
                <w:sz w:val="20"/>
                <w:szCs w:val="20"/>
              </w:rPr>
              <w:t>R</w:t>
            </w:r>
            <w:r w:rsidRPr="00443738">
              <w:rPr>
                <w:rStyle w:val="A5"/>
                <w:rFonts w:asciiTheme="minorHAnsi" w:hAnsiTheme="minorHAnsi" w:cstheme="minorHAnsi"/>
                <w:sz w:val="20"/>
                <w:szCs w:val="20"/>
              </w:rPr>
              <w:t>ecord</w:t>
            </w:r>
          </w:p>
        </w:tc>
        <w:tc>
          <w:tcPr>
            <w:tcW w:w="2471" w:type="dxa"/>
          </w:tcPr>
          <w:p w14:paraId="782DDEC7" w14:textId="77777777" w:rsidR="001F1E8B" w:rsidRPr="00050DBC" w:rsidRDefault="001F1E8B" w:rsidP="008013B6">
            <w:pPr>
              <w:cnfStyle w:val="000000100000" w:firstRow="0" w:lastRow="0" w:firstColumn="0" w:lastColumn="0" w:oddVBand="0" w:evenVBand="0" w:oddHBand="1" w:evenHBand="0" w:firstRowFirstColumn="0" w:firstRowLastColumn="0" w:lastRowFirstColumn="0" w:lastRowLastColumn="0"/>
              <w:rPr>
                <w:sz w:val="20"/>
                <w:szCs w:val="20"/>
              </w:rPr>
            </w:pPr>
          </w:p>
        </w:tc>
      </w:tr>
      <w:tr w:rsidR="001F1E8B" w:rsidRPr="00050DBC" w14:paraId="263D3FA7" w14:textId="77777777" w:rsidTr="00443738">
        <w:tc>
          <w:tcPr>
            <w:cnfStyle w:val="001000000000" w:firstRow="0" w:lastRow="0" w:firstColumn="1" w:lastColumn="0" w:oddVBand="0" w:evenVBand="0" w:oddHBand="0" w:evenHBand="0" w:firstRowFirstColumn="0" w:firstRowLastColumn="0" w:lastRowFirstColumn="0" w:lastRowLastColumn="0"/>
            <w:tcW w:w="4395" w:type="dxa"/>
          </w:tcPr>
          <w:p w14:paraId="31308189" w14:textId="77777777" w:rsidR="001F1E8B" w:rsidRPr="00050DBC" w:rsidRDefault="001F1E8B" w:rsidP="008013B6">
            <w:pPr>
              <w:rPr>
                <w:sz w:val="20"/>
                <w:szCs w:val="20"/>
              </w:rPr>
            </w:pPr>
          </w:p>
        </w:tc>
        <w:tc>
          <w:tcPr>
            <w:tcW w:w="2268" w:type="dxa"/>
          </w:tcPr>
          <w:p w14:paraId="2CE63372" w14:textId="77777777" w:rsidR="001F1E8B" w:rsidRPr="00443738" w:rsidRDefault="00443738" w:rsidP="008013B6">
            <w:pPr>
              <w:pStyle w:val="Default"/>
              <w:cnfStyle w:val="000000000000" w:firstRow="0" w:lastRow="0" w:firstColumn="0" w:lastColumn="0" w:oddVBand="0" w:evenVBand="0" w:oddHBand="0" w:evenHBand="0" w:firstRowFirstColumn="0" w:firstRowLastColumn="0" w:lastRowFirstColumn="0" w:lastRowLastColumn="0"/>
              <w:rPr>
                <w:rStyle w:val="A5"/>
                <w:rFonts w:asciiTheme="minorHAnsi" w:hAnsiTheme="minorHAnsi" w:cstheme="minorHAnsi"/>
                <w:sz w:val="20"/>
                <w:szCs w:val="20"/>
              </w:rPr>
            </w:pPr>
            <w:r w:rsidRPr="00443738">
              <w:rPr>
                <w:rStyle w:val="A5"/>
                <w:rFonts w:asciiTheme="minorHAnsi" w:hAnsiTheme="minorHAnsi" w:cstheme="minorHAnsi"/>
                <w:b/>
                <w:sz w:val="20"/>
                <w:szCs w:val="20"/>
              </w:rPr>
              <w:t>E</w:t>
            </w:r>
            <w:r w:rsidRPr="00443738">
              <w:rPr>
                <w:rStyle w:val="A5"/>
                <w:rFonts w:asciiTheme="minorHAnsi" w:hAnsiTheme="minorHAnsi" w:cstheme="minorHAnsi"/>
                <w:sz w:val="20"/>
                <w:szCs w:val="20"/>
              </w:rPr>
              <w:t>quality, Leadership, Culture</w:t>
            </w:r>
          </w:p>
        </w:tc>
        <w:tc>
          <w:tcPr>
            <w:tcW w:w="2471" w:type="dxa"/>
          </w:tcPr>
          <w:p w14:paraId="16506B9E" w14:textId="77777777" w:rsidR="001F1E8B" w:rsidRPr="00050DBC" w:rsidRDefault="001F1E8B" w:rsidP="008013B6">
            <w:pPr>
              <w:cnfStyle w:val="000000000000" w:firstRow="0" w:lastRow="0" w:firstColumn="0" w:lastColumn="0" w:oddVBand="0" w:evenVBand="0" w:oddHBand="0" w:evenHBand="0" w:firstRowFirstColumn="0" w:firstRowLastColumn="0" w:lastRowFirstColumn="0" w:lastRowLastColumn="0"/>
              <w:rPr>
                <w:sz w:val="20"/>
                <w:szCs w:val="20"/>
              </w:rPr>
            </w:pPr>
          </w:p>
        </w:tc>
      </w:tr>
      <w:tr w:rsidR="001F1E8B" w:rsidRPr="00050DBC" w14:paraId="55260E77" w14:textId="77777777" w:rsidTr="00443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16BFA670" w14:textId="77777777" w:rsidR="001F1E8B" w:rsidRPr="00050DBC" w:rsidRDefault="001F1E8B" w:rsidP="008013B6">
            <w:pPr>
              <w:rPr>
                <w:sz w:val="20"/>
                <w:szCs w:val="20"/>
              </w:rPr>
            </w:pPr>
          </w:p>
        </w:tc>
        <w:tc>
          <w:tcPr>
            <w:tcW w:w="2268" w:type="dxa"/>
          </w:tcPr>
          <w:p w14:paraId="5160D613" w14:textId="77777777" w:rsidR="001F1E8B" w:rsidRPr="00443738" w:rsidRDefault="00443738" w:rsidP="008013B6">
            <w:pPr>
              <w:pStyle w:val="Default"/>
              <w:cnfStyle w:val="000000100000" w:firstRow="0" w:lastRow="0" w:firstColumn="0" w:lastColumn="0" w:oddVBand="0" w:evenVBand="0" w:oddHBand="1" w:evenHBand="0" w:firstRowFirstColumn="0" w:firstRowLastColumn="0" w:lastRowFirstColumn="0" w:lastRowLastColumn="0"/>
              <w:rPr>
                <w:rStyle w:val="A5"/>
                <w:rFonts w:asciiTheme="minorHAnsi" w:hAnsiTheme="minorHAnsi" w:cstheme="minorHAnsi"/>
                <w:sz w:val="20"/>
                <w:szCs w:val="20"/>
              </w:rPr>
            </w:pPr>
            <w:r w:rsidRPr="00443738">
              <w:rPr>
                <w:rStyle w:val="A5"/>
                <w:rFonts w:asciiTheme="minorHAnsi" w:hAnsiTheme="minorHAnsi" w:cstheme="minorHAnsi"/>
                <w:b/>
                <w:sz w:val="20"/>
                <w:szCs w:val="20"/>
              </w:rPr>
              <w:t>A</w:t>
            </w:r>
            <w:r w:rsidRPr="00443738">
              <w:rPr>
                <w:rStyle w:val="A5"/>
                <w:rFonts w:asciiTheme="minorHAnsi" w:hAnsiTheme="minorHAnsi" w:cstheme="minorHAnsi"/>
                <w:sz w:val="20"/>
                <w:szCs w:val="20"/>
              </w:rPr>
              <w:t>ccess to Services</w:t>
            </w:r>
          </w:p>
        </w:tc>
        <w:tc>
          <w:tcPr>
            <w:tcW w:w="2471" w:type="dxa"/>
          </w:tcPr>
          <w:p w14:paraId="0B018A5F" w14:textId="77777777" w:rsidR="001F1E8B" w:rsidRPr="00050DBC" w:rsidRDefault="001F1E8B" w:rsidP="008013B6">
            <w:pPr>
              <w:cnfStyle w:val="000000100000" w:firstRow="0" w:lastRow="0" w:firstColumn="0" w:lastColumn="0" w:oddVBand="0" w:evenVBand="0" w:oddHBand="1" w:evenHBand="0" w:firstRowFirstColumn="0" w:firstRowLastColumn="0" w:lastRowFirstColumn="0" w:lastRowLastColumn="0"/>
              <w:rPr>
                <w:sz w:val="20"/>
                <w:szCs w:val="20"/>
              </w:rPr>
            </w:pPr>
          </w:p>
        </w:tc>
      </w:tr>
      <w:tr w:rsidR="00443738" w:rsidRPr="00050DBC" w14:paraId="343E3EE8" w14:textId="77777777" w:rsidTr="00443738">
        <w:tc>
          <w:tcPr>
            <w:cnfStyle w:val="001000000000" w:firstRow="0" w:lastRow="0" w:firstColumn="1" w:lastColumn="0" w:oddVBand="0" w:evenVBand="0" w:oddHBand="0" w:evenHBand="0" w:firstRowFirstColumn="0" w:firstRowLastColumn="0" w:lastRowFirstColumn="0" w:lastRowLastColumn="0"/>
            <w:tcW w:w="4395" w:type="dxa"/>
          </w:tcPr>
          <w:p w14:paraId="3005CEA9" w14:textId="77777777" w:rsidR="00443738" w:rsidRPr="00050DBC" w:rsidRDefault="00443738" w:rsidP="008013B6">
            <w:pPr>
              <w:rPr>
                <w:sz w:val="20"/>
                <w:szCs w:val="20"/>
              </w:rPr>
            </w:pPr>
          </w:p>
        </w:tc>
        <w:tc>
          <w:tcPr>
            <w:tcW w:w="2268" w:type="dxa"/>
          </w:tcPr>
          <w:p w14:paraId="1F0032C3" w14:textId="77777777" w:rsidR="00BD3855" w:rsidRDefault="00443738" w:rsidP="008013B6">
            <w:pPr>
              <w:pStyle w:val="Default"/>
              <w:cnfStyle w:val="000000000000" w:firstRow="0" w:lastRow="0" w:firstColumn="0" w:lastColumn="0" w:oddVBand="0" w:evenVBand="0" w:oddHBand="0" w:evenHBand="0" w:firstRowFirstColumn="0" w:firstRowLastColumn="0" w:lastRowFirstColumn="0" w:lastRowLastColumn="0"/>
              <w:rPr>
                <w:rStyle w:val="A5"/>
                <w:rFonts w:asciiTheme="minorHAnsi" w:hAnsiTheme="minorHAnsi" w:cstheme="minorHAnsi"/>
                <w:sz w:val="20"/>
                <w:szCs w:val="20"/>
              </w:rPr>
            </w:pPr>
            <w:r w:rsidRPr="00443738">
              <w:rPr>
                <w:rStyle w:val="A5"/>
                <w:rFonts w:asciiTheme="minorHAnsi" w:hAnsiTheme="minorHAnsi" w:cstheme="minorHAnsi"/>
                <w:b/>
                <w:sz w:val="20"/>
                <w:szCs w:val="20"/>
              </w:rPr>
              <w:t>T</w:t>
            </w:r>
            <w:r w:rsidRPr="00443738">
              <w:rPr>
                <w:rStyle w:val="A5"/>
                <w:rFonts w:asciiTheme="minorHAnsi" w:hAnsiTheme="minorHAnsi" w:cstheme="minorHAnsi"/>
                <w:sz w:val="20"/>
                <w:szCs w:val="20"/>
              </w:rPr>
              <w:t>rustwide</w:t>
            </w:r>
          </w:p>
          <w:p w14:paraId="69D604A8" w14:textId="4EF16D70" w:rsidR="00443738" w:rsidRPr="00443738" w:rsidRDefault="00443738" w:rsidP="008013B6">
            <w:pPr>
              <w:pStyle w:val="Default"/>
              <w:cnfStyle w:val="000000000000" w:firstRow="0" w:lastRow="0" w:firstColumn="0" w:lastColumn="0" w:oddVBand="0" w:evenVBand="0" w:oddHBand="0" w:evenHBand="0" w:firstRowFirstColumn="0" w:firstRowLastColumn="0" w:lastRowFirstColumn="0" w:lastRowLastColumn="0"/>
              <w:rPr>
                <w:rStyle w:val="A5"/>
                <w:rFonts w:asciiTheme="minorHAnsi" w:hAnsiTheme="minorHAnsi" w:cstheme="minorHAnsi"/>
                <w:sz w:val="20"/>
                <w:szCs w:val="20"/>
              </w:rPr>
            </w:pPr>
            <w:r w:rsidRPr="00443738">
              <w:rPr>
                <w:rStyle w:val="A5"/>
                <w:rFonts w:asciiTheme="minorHAnsi" w:hAnsiTheme="minorHAnsi" w:cstheme="minorHAnsi"/>
                <w:sz w:val="20"/>
                <w:szCs w:val="20"/>
              </w:rPr>
              <w:t xml:space="preserve"> Quality Improvement</w:t>
            </w:r>
          </w:p>
        </w:tc>
        <w:tc>
          <w:tcPr>
            <w:tcW w:w="2471" w:type="dxa"/>
          </w:tcPr>
          <w:p w14:paraId="527D8403" w14:textId="77777777" w:rsidR="00443738" w:rsidRPr="00050DBC" w:rsidRDefault="00391D55"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r>
      <w:tr w:rsidR="0043360A" w:rsidRPr="00050DBC" w14:paraId="05105C0B" w14:textId="77777777" w:rsidTr="00443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FFFFFF" w:themeColor="background1"/>
            </w:tcBorders>
            <w:hideMark/>
          </w:tcPr>
          <w:p w14:paraId="53001FA0" w14:textId="77777777" w:rsidR="0043360A" w:rsidRPr="00050DBC" w:rsidRDefault="0043360A" w:rsidP="008013B6">
            <w:pPr>
              <w:rPr>
                <w:sz w:val="20"/>
                <w:szCs w:val="20"/>
              </w:rPr>
            </w:pPr>
            <w:r w:rsidRPr="00050DBC">
              <w:rPr>
                <w:sz w:val="20"/>
                <w:szCs w:val="20"/>
              </w:rPr>
              <w:t>Organisational Risk Register considerations:</w:t>
            </w:r>
          </w:p>
        </w:tc>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46CA12B1" w14:textId="77777777" w:rsidR="0043360A" w:rsidRPr="00050DBC" w:rsidRDefault="0043360A" w:rsidP="008013B6">
            <w:pPr>
              <w:cnfStyle w:val="000000100000" w:firstRow="0" w:lastRow="0" w:firstColumn="0" w:lastColumn="0" w:oddVBand="0" w:evenVBand="0" w:oddHBand="1" w:evenHBand="0" w:firstRowFirstColumn="0" w:firstRowLastColumn="0" w:lastRowFirstColumn="0" w:lastRowLastColumn="0"/>
              <w:rPr>
                <w:sz w:val="20"/>
                <w:szCs w:val="20"/>
              </w:rPr>
            </w:pPr>
            <w:r w:rsidRPr="00050DBC">
              <w:rPr>
                <w:sz w:val="20"/>
                <w:szCs w:val="20"/>
              </w:rPr>
              <w:t>List risk number and title of risk</w:t>
            </w:r>
          </w:p>
        </w:tc>
        <w:tc>
          <w:tcPr>
            <w:tcW w:w="2471" w:type="dxa"/>
            <w:tcBorders>
              <w:top w:val="single" w:sz="6" w:space="0" w:color="FFFFFF" w:themeColor="background1"/>
              <w:left w:val="single" w:sz="6" w:space="0" w:color="FFFFFF" w:themeColor="background1"/>
              <w:bottom w:val="single" w:sz="6" w:space="0" w:color="FFFFFF" w:themeColor="background1"/>
            </w:tcBorders>
          </w:tcPr>
          <w:p w14:paraId="513BFAC6" w14:textId="77777777" w:rsidR="0043360A" w:rsidRPr="00050DBC" w:rsidRDefault="002475A8" w:rsidP="008013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r>
      <w:tr w:rsidR="005E1097" w:rsidRPr="00050DBC" w14:paraId="036DB602" w14:textId="77777777" w:rsidTr="00FF0EF4">
        <w:tc>
          <w:tcPr>
            <w:cnfStyle w:val="001000000000" w:firstRow="0" w:lastRow="0" w:firstColumn="1" w:lastColumn="0" w:oddVBand="0" w:evenVBand="0" w:oddHBand="0" w:evenHBand="0" w:firstRowFirstColumn="0" w:firstRowLastColumn="0" w:lastRowFirstColumn="0" w:lastRowLastColumn="0"/>
            <w:tcW w:w="4395" w:type="dxa"/>
          </w:tcPr>
          <w:p w14:paraId="5FA7CADD" w14:textId="7DD25997" w:rsidR="005E1097" w:rsidRPr="00050DBC" w:rsidRDefault="005E1097" w:rsidP="001F1E8B">
            <w:pPr>
              <w:rPr>
                <w:sz w:val="20"/>
                <w:szCs w:val="20"/>
              </w:rPr>
            </w:pPr>
            <w:r>
              <w:rPr>
                <w:sz w:val="20"/>
                <w:szCs w:val="20"/>
              </w:rPr>
              <w:t xml:space="preserve">Is the decision required consistent with </w:t>
            </w:r>
            <w:r w:rsidR="001F1E8B">
              <w:rPr>
                <w:sz w:val="20"/>
                <w:szCs w:val="20"/>
              </w:rPr>
              <w:t>LPT</w:t>
            </w:r>
            <w:r>
              <w:rPr>
                <w:sz w:val="20"/>
                <w:szCs w:val="20"/>
              </w:rPr>
              <w:t xml:space="preserve">’s risk </w:t>
            </w:r>
            <w:r w:rsidR="00BD5037">
              <w:rPr>
                <w:sz w:val="20"/>
                <w:szCs w:val="20"/>
              </w:rPr>
              <w:t>appetite?</w:t>
            </w:r>
          </w:p>
        </w:tc>
        <w:tc>
          <w:tcPr>
            <w:tcW w:w="4739" w:type="dxa"/>
            <w:gridSpan w:val="2"/>
          </w:tcPr>
          <w:p w14:paraId="431E7B51" w14:textId="77777777" w:rsidR="005E1097" w:rsidRPr="00050DBC" w:rsidRDefault="002475A8"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r w:rsidR="0043360A" w:rsidRPr="00050DBC" w14:paraId="6EB37349" w14:textId="77777777" w:rsidTr="00FF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hideMark/>
          </w:tcPr>
          <w:p w14:paraId="22EC2D91" w14:textId="77777777" w:rsidR="0043360A" w:rsidRPr="00050DBC" w:rsidRDefault="0043360A" w:rsidP="008013B6">
            <w:pPr>
              <w:rPr>
                <w:sz w:val="20"/>
                <w:szCs w:val="20"/>
              </w:rPr>
            </w:pPr>
            <w:r w:rsidRPr="00050DBC">
              <w:rPr>
                <w:sz w:val="20"/>
                <w:szCs w:val="20"/>
              </w:rPr>
              <w:t>False and misleading information (FOMI) considerations:</w:t>
            </w:r>
          </w:p>
        </w:tc>
        <w:tc>
          <w:tcPr>
            <w:tcW w:w="4739" w:type="dxa"/>
            <w:gridSpan w:val="2"/>
          </w:tcPr>
          <w:p w14:paraId="599CC80D" w14:textId="77777777" w:rsidR="0043360A" w:rsidRPr="00050DBC" w:rsidRDefault="002475A8" w:rsidP="008013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r w:rsidR="008013B6" w:rsidRPr="00050DBC" w14:paraId="4D608EE9" w14:textId="77777777" w:rsidTr="00FF0EF4">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FFFFFF" w:themeColor="background1"/>
            </w:tcBorders>
          </w:tcPr>
          <w:p w14:paraId="755AAC2E" w14:textId="77777777" w:rsidR="008013B6" w:rsidRPr="00050DBC" w:rsidRDefault="008013B6" w:rsidP="008013B6">
            <w:pPr>
              <w:rPr>
                <w:sz w:val="20"/>
                <w:szCs w:val="20"/>
              </w:rPr>
            </w:pPr>
            <w:r w:rsidRPr="008013B6">
              <w:rPr>
                <w:sz w:val="20"/>
                <w:szCs w:val="20"/>
              </w:rPr>
              <w:t>Positive confirmation that the content does not risk the safety of patients or the public</w:t>
            </w:r>
          </w:p>
        </w:tc>
        <w:tc>
          <w:tcPr>
            <w:tcW w:w="4739" w:type="dxa"/>
            <w:gridSpan w:val="2"/>
            <w:tcBorders>
              <w:top w:val="single" w:sz="6" w:space="0" w:color="FFFFFF" w:themeColor="background1"/>
              <w:left w:val="single" w:sz="6" w:space="0" w:color="FFFFFF" w:themeColor="background1"/>
            </w:tcBorders>
          </w:tcPr>
          <w:p w14:paraId="328C59DF" w14:textId="77777777" w:rsidR="008013B6" w:rsidRPr="00050DBC" w:rsidRDefault="002475A8"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r w:rsidR="0043360A" w:rsidRPr="00050DBC" w14:paraId="766ACF40" w14:textId="77777777" w:rsidTr="00FF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FFFFFF" w:themeColor="background1"/>
            </w:tcBorders>
            <w:hideMark/>
          </w:tcPr>
          <w:p w14:paraId="0C5764C1" w14:textId="77777777" w:rsidR="0043360A" w:rsidRPr="00050DBC" w:rsidRDefault="0043360A" w:rsidP="008013B6">
            <w:pPr>
              <w:rPr>
                <w:sz w:val="20"/>
                <w:szCs w:val="20"/>
              </w:rPr>
            </w:pPr>
            <w:r w:rsidRPr="00050DBC">
              <w:rPr>
                <w:sz w:val="20"/>
                <w:szCs w:val="20"/>
              </w:rPr>
              <w:t>Equality considerations:</w:t>
            </w:r>
          </w:p>
        </w:tc>
        <w:tc>
          <w:tcPr>
            <w:tcW w:w="4739" w:type="dxa"/>
            <w:gridSpan w:val="2"/>
            <w:tcBorders>
              <w:top w:val="single" w:sz="6" w:space="0" w:color="FFFFFF" w:themeColor="background1"/>
              <w:left w:val="single" w:sz="6" w:space="0" w:color="FFFFFF" w:themeColor="background1"/>
            </w:tcBorders>
          </w:tcPr>
          <w:p w14:paraId="0FC0E701" w14:textId="77777777" w:rsidR="0043360A" w:rsidRPr="00050DBC" w:rsidRDefault="0043360A" w:rsidP="008013B6">
            <w:pPr>
              <w:cnfStyle w:val="000000100000" w:firstRow="0" w:lastRow="0" w:firstColumn="0" w:lastColumn="0" w:oddVBand="0" w:evenVBand="0" w:oddHBand="1" w:evenHBand="0" w:firstRowFirstColumn="0" w:firstRowLastColumn="0" w:lastRowFirstColumn="0" w:lastRowLastColumn="0"/>
              <w:rPr>
                <w:sz w:val="20"/>
                <w:szCs w:val="20"/>
              </w:rPr>
            </w:pPr>
          </w:p>
        </w:tc>
      </w:tr>
    </w:tbl>
    <w:p w14:paraId="7A9DCBCC" w14:textId="77777777" w:rsidR="005E1097" w:rsidRDefault="005E1097" w:rsidP="008013B6">
      <w:pPr>
        <w:rPr>
          <w:i/>
        </w:rPr>
      </w:pPr>
    </w:p>
    <w:p w14:paraId="142A3CA3" w14:textId="1F577D07" w:rsidR="009B6427" w:rsidRPr="00936777" w:rsidRDefault="0043360A" w:rsidP="00936777">
      <w:pPr>
        <w:rPr>
          <w:i/>
        </w:rPr>
      </w:pPr>
      <w:r w:rsidRPr="0053357B">
        <w:rPr>
          <w:i/>
        </w:rPr>
        <w:t xml:space="preserve">Version </w:t>
      </w:r>
      <w:r w:rsidR="001F1E8B">
        <w:rPr>
          <w:i/>
        </w:rPr>
        <w:t>1</w:t>
      </w:r>
      <w:r w:rsidRPr="0053357B">
        <w:rPr>
          <w:i/>
        </w:rPr>
        <w:t>.0</w:t>
      </w:r>
      <w:r w:rsidR="009B6427" w:rsidRPr="009B6427">
        <w:rPr>
          <w:rFonts w:ascii="Calibri" w:eastAsia="Calibri" w:hAnsi="Calibri" w:cs="Times New Roman"/>
          <w:b/>
          <w:bCs/>
          <w:noProof/>
          <w:sz w:val="24"/>
          <w:szCs w:val="24"/>
          <w:lang w:eastAsia="en-GB"/>
        </w:rPr>
        <mc:AlternateContent>
          <mc:Choice Requires="wps">
            <w:drawing>
              <wp:anchor distT="45720" distB="45720" distL="114300" distR="114300" simplePos="0" relativeHeight="251712512" behindDoc="1" locked="0" layoutInCell="1" allowOverlap="1" wp14:anchorId="171FD374" wp14:editId="3AFFC0D0">
                <wp:simplePos x="0" y="0"/>
                <wp:positionH relativeFrom="column">
                  <wp:posOffset>-3175</wp:posOffset>
                </wp:positionH>
                <wp:positionV relativeFrom="paragraph">
                  <wp:posOffset>9525</wp:posOffset>
                </wp:positionV>
                <wp:extent cx="1031240" cy="2762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276225"/>
                        </a:xfrm>
                        <a:prstGeom prst="rect">
                          <a:avLst/>
                        </a:prstGeom>
                        <a:solidFill>
                          <a:srgbClr val="FFFFFF"/>
                        </a:solidFill>
                        <a:ln w="9525">
                          <a:noFill/>
                          <a:miter lim="800000"/>
                          <a:headEnd/>
                          <a:tailEnd/>
                        </a:ln>
                      </wps:spPr>
                      <wps:txbx>
                        <w:txbxContent>
                          <w:p w14:paraId="4D57F5AC" w14:textId="6CE73E63" w:rsidR="007344B6" w:rsidRPr="009B6427" w:rsidRDefault="007344B6" w:rsidP="009B6427">
                            <w:pP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FD374" id="_x0000_t202" coordsize="21600,21600" o:spt="202" path="m,l,21600r21600,l21600,xe">
                <v:stroke joinstyle="miter"/>
                <v:path gradientshapeok="t" o:connecttype="rect"/>
              </v:shapetype>
              <v:shape id="Text Box 2" o:spid="_x0000_s1026" type="#_x0000_t202" style="position:absolute;margin-left:-.25pt;margin-top:.75pt;width:81.2pt;height:21.7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" stroked="f">
                <v:textbox>
                  <w:txbxContent>
                    <w:p w14:paraId="4D57F5AC" w14:textId="6CE73E63" w:rsidR="007344B6" w:rsidRPr="009B6427" w:rsidRDefault="007344B6" w:rsidP="009B6427">
                      <w:pPr>
                        <w:rPr>
                          <w:rFonts w:ascii="Arial" w:hAnsi="Arial" w:cs="Arial"/>
                          <w:b/>
                          <w:bCs/>
                          <w:sz w:val="24"/>
                          <w:szCs w:val="24"/>
                        </w:rPr>
                      </w:pPr>
                    </w:p>
                  </w:txbxContent>
                </v:textbox>
              </v:shape>
            </w:pict>
          </mc:Fallback>
        </mc:AlternateContent>
      </w:r>
    </w:p>
    <w:sectPr w:rsidR="009B6427" w:rsidRPr="00936777" w:rsidSect="005C3B0F">
      <w:footerReference w:type="default" r:id="rId10"/>
      <w:pgSz w:w="11910" w:h="16840"/>
      <w:pgMar w:top="601" w:right="624" w:bottom="993" w:left="919" w:header="720" w:footer="5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7031" w14:textId="77777777" w:rsidR="00651781" w:rsidRDefault="00651781">
      <w:pPr>
        <w:spacing w:after="0" w:line="240" w:lineRule="auto"/>
      </w:pPr>
      <w:r>
        <w:separator/>
      </w:r>
    </w:p>
  </w:endnote>
  <w:endnote w:type="continuationSeparator" w:id="0">
    <w:p w14:paraId="1F63E42D" w14:textId="77777777" w:rsidR="00651781" w:rsidRDefault="00651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243810"/>
      <w:docPartObj>
        <w:docPartGallery w:val="Page Numbers (Bottom of Page)"/>
        <w:docPartUnique/>
      </w:docPartObj>
    </w:sdtPr>
    <w:sdtEndPr>
      <w:rPr>
        <w:noProof/>
      </w:rPr>
    </w:sdtEndPr>
    <w:sdtContent>
      <w:p w14:paraId="37E5B358" w14:textId="77777777" w:rsidR="007344B6" w:rsidRDefault="007344B6">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021E189B" w14:textId="77777777" w:rsidR="007344B6" w:rsidRDefault="007344B6">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1612" w14:textId="77777777" w:rsidR="00651781" w:rsidRDefault="00651781">
      <w:pPr>
        <w:spacing w:after="0" w:line="240" w:lineRule="auto"/>
      </w:pPr>
      <w:r>
        <w:separator/>
      </w:r>
    </w:p>
  </w:footnote>
  <w:footnote w:type="continuationSeparator" w:id="0">
    <w:p w14:paraId="47FE0191" w14:textId="77777777" w:rsidR="00651781" w:rsidRDefault="00651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2F9"/>
    <w:multiLevelType w:val="hybridMultilevel"/>
    <w:tmpl w:val="D8F8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00545"/>
    <w:multiLevelType w:val="hybridMultilevel"/>
    <w:tmpl w:val="97505F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8887A85"/>
    <w:multiLevelType w:val="hybridMultilevel"/>
    <w:tmpl w:val="7AD832F2"/>
    <w:lvl w:ilvl="0" w:tplc="2C7850FE">
      <w:start w:val="1"/>
      <w:numFmt w:val="lowerLetter"/>
      <w:lvlText w:val="%1)"/>
      <w:lvlJc w:val="left"/>
      <w:pPr>
        <w:ind w:left="1799" w:hanging="360"/>
      </w:pPr>
      <w:rPr>
        <w:rFonts w:hint="default"/>
      </w:rPr>
    </w:lvl>
    <w:lvl w:ilvl="1" w:tplc="08090019" w:tentative="1">
      <w:start w:val="1"/>
      <w:numFmt w:val="lowerLetter"/>
      <w:lvlText w:val="%2."/>
      <w:lvlJc w:val="left"/>
      <w:pPr>
        <w:ind w:left="2519" w:hanging="360"/>
      </w:pPr>
    </w:lvl>
    <w:lvl w:ilvl="2" w:tplc="0809001B" w:tentative="1">
      <w:start w:val="1"/>
      <w:numFmt w:val="lowerRoman"/>
      <w:lvlText w:val="%3."/>
      <w:lvlJc w:val="right"/>
      <w:pPr>
        <w:ind w:left="3239" w:hanging="180"/>
      </w:pPr>
    </w:lvl>
    <w:lvl w:ilvl="3" w:tplc="0809000F" w:tentative="1">
      <w:start w:val="1"/>
      <w:numFmt w:val="decimal"/>
      <w:lvlText w:val="%4."/>
      <w:lvlJc w:val="left"/>
      <w:pPr>
        <w:ind w:left="3959" w:hanging="360"/>
      </w:pPr>
    </w:lvl>
    <w:lvl w:ilvl="4" w:tplc="08090019" w:tentative="1">
      <w:start w:val="1"/>
      <w:numFmt w:val="lowerLetter"/>
      <w:lvlText w:val="%5."/>
      <w:lvlJc w:val="left"/>
      <w:pPr>
        <w:ind w:left="4679" w:hanging="360"/>
      </w:pPr>
    </w:lvl>
    <w:lvl w:ilvl="5" w:tplc="0809001B" w:tentative="1">
      <w:start w:val="1"/>
      <w:numFmt w:val="lowerRoman"/>
      <w:lvlText w:val="%6."/>
      <w:lvlJc w:val="right"/>
      <w:pPr>
        <w:ind w:left="5399" w:hanging="180"/>
      </w:pPr>
    </w:lvl>
    <w:lvl w:ilvl="6" w:tplc="0809000F" w:tentative="1">
      <w:start w:val="1"/>
      <w:numFmt w:val="decimal"/>
      <w:lvlText w:val="%7."/>
      <w:lvlJc w:val="left"/>
      <w:pPr>
        <w:ind w:left="6119" w:hanging="360"/>
      </w:pPr>
    </w:lvl>
    <w:lvl w:ilvl="7" w:tplc="08090019" w:tentative="1">
      <w:start w:val="1"/>
      <w:numFmt w:val="lowerLetter"/>
      <w:lvlText w:val="%8."/>
      <w:lvlJc w:val="left"/>
      <w:pPr>
        <w:ind w:left="6839" w:hanging="360"/>
      </w:pPr>
    </w:lvl>
    <w:lvl w:ilvl="8" w:tplc="0809001B" w:tentative="1">
      <w:start w:val="1"/>
      <w:numFmt w:val="lowerRoman"/>
      <w:lvlText w:val="%9."/>
      <w:lvlJc w:val="right"/>
      <w:pPr>
        <w:ind w:left="7559" w:hanging="180"/>
      </w:pPr>
    </w:lvl>
  </w:abstractNum>
  <w:abstractNum w:abstractNumId="3" w15:restartNumberingAfterBreak="0">
    <w:nsid w:val="0A312514"/>
    <w:multiLevelType w:val="hybridMultilevel"/>
    <w:tmpl w:val="6E96E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2562F1"/>
    <w:multiLevelType w:val="hybridMultilevel"/>
    <w:tmpl w:val="19D214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4065EF"/>
    <w:multiLevelType w:val="hybridMultilevel"/>
    <w:tmpl w:val="0FE080E0"/>
    <w:lvl w:ilvl="0" w:tplc="08090003">
      <w:start w:val="1"/>
      <w:numFmt w:val="bullet"/>
      <w:lvlText w:val="o"/>
      <w:lvlJc w:val="left"/>
      <w:pPr>
        <w:ind w:left="1439" w:hanging="360"/>
      </w:pPr>
      <w:rPr>
        <w:rFonts w:ascii="Courier New" w:hAnsi="Courier New" w:cs="Courier New"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6" w15:restartNumberingAfterBreak="0">
    <w:nsid w:val="12C00D3B"/>
    <w:multiLevelType w:val="hybridMultilevel"/>
    <w:tmpl w:val="997C9E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9B57E7"/>
    <w:multiLevelType w:val="hybridMultilevel"/>
    <w:tmpl w:val="EE748D7A"/>
    <w:lvl w:ilvl="0" w:tplc="EA94C7DA">
      <w:start w:val="1"/>
      <w:numFmt w:val="decimal"/>
      <w:lvlText w:val="%1."/>
      <w:lvlJc w:val="left"/>
      <w:pPr>
        <w:ind w:left="1040" w:hanging="401"/>
      </w:pPr>
      <w:rPr>
        <w:rFonts w:ascii="Arial" w:eastAsia="Arial" w:hAnsi="Arial" w:hint="default"/>
        <w:color w:val="005EB8"/>
        <w:sz w:val="36"/>
        <w:szCs w:val="36"/>
      </w:rPr>
    </w:lvl>
    <w:lvl w:ilvl="1" w:tplc="80026FEA">
      <w:start w:val="1"/>
      <w:numFmt w:val="bullet"/>
      <w:lvlText w:val="•"/>
      <w:lvlJc w:val="left"/>
      <w:pPr>
        <w:ind w:left="2089" w:hanging="401"/>
      </w:pPr>
      <w:rPr>
        <w:rFonts w:hint="default"/>
      </w:rPr>
    </w:lvl>
    <w:lvl w:ilvl="2" w:tplc="EFF4F86A">
      <w:start w:val="1"/>
      <w:numFmt w:val="bullet"/>
      <w:lvlText w:val="•"/>
      <w:lvlJc w:val="left"/>
      <w:pPr>
        <w:ind w:left="3138" w:hanging="401"/>
      </w:pPr>
      <w:rPr>
        <w:rFonts w:hint="default"/>
      </w:rPr>
    </w:lvl>
    <w:lvl w:ilvl="3" w:tplc="7D10374C">
      <w:start w:val="1"/>
      <w:numFmt w:val="bullet"/>
      <w:lvlText w:val="•"/>
      <w:lvlJc w:val="left"/>
      <w:pPr>
        <w:ind w:left="4186" w:hanging="401"/>
      </w:pPr>
      <w:rPr>
        <w:rFonts w:hint="default"/>
      </w:rPr>
    </w:lvl>
    <w:lvl w:ilvl="4" w:tplc="B298F3C8">
      <w:start w:val="1"/>
      <w:numFmt w:val="bullet"/>
      <w:lvlText w:val="•"/>
      <w:lvlJc w:val="left"/>
      <w:pPr>
        <w:ind w:left="5235" w:hanging="401"/>
      </w:pPr>
      <w:rPr>
        <w:rFonts w:hint="default"/>
      </w:rPr>
    </w:lvl>
    <w:lvl w:ilvl="5" w:tplc="EF66B6AC">
      <w:start w:val="1"/>
      <w:numFmt w:val="bullet"/>
      <w:lvlText w:val="•"/>
      <w:lvlJc w:val="left"/>
      <w:pPr>
        <w:ind w:left="6284" w:hanging="401"/>
      </w:pPr>
      <w:rPr>
        <w:rFonts w:hint="default"/>
      </w:rPr>
    </w:lvl>
    <w:lvl w:ilvl="6" w:tplc="65BC4E3A">
      <w:start w:val="1"/>
      <w:numFmt w:val="bullet"/>
      <w:lvlText w:val="•"/>
      <w:lvlJc w:val="left"/>
      <w:pPr>
        <w:ind w:left="7333" w:hanging="401"/>
      </w:pPr>
      <w:rPr>
        <w:rFonts w:hint="default"/>
      </w:rPr>
    </w:lvl>
    <w:lvl w:ilvl="7" w:tplc="855213A4">
      <w:start w:val="1"/>
      <w:numFmt w:val="bullet"/>
      <w:lvlText w:val="•"/>
      <w:lvlJc w:val="left"/>
      <w:pPr>
        <w:ind w:left="8381" w:hanging="401"/>
      </w:pPr>
      <w:rPr>
        <w:rFonts w:hint="default"/>
      </w:rPr>
    </w:lvl>
    <w:lvl w:ilvl="8" w:tplc="C7442AB0">
      <w:start w:val="1"/>
      <w:numFmt w:val="bullet"/>
      <w:lvlText w:val="•"/>
      <w:lvlJc w:val="left"/>
      <w:pPr>
        <w:ind w:left="9430" w:hanging="401"/>
      </w:pPr>
      <w:rPr>
        <w:rFonts w:hint="default"/>
      </w:rPr>
    </w:lvl>
  </w:abstractNum>
  <w:abstractNum w:abstractNumId="8" w15:restartNumberingAfterBreak="0">
    <w:nsid w:val="13D20D48"/>
    <w:multiLevelType w:val="hybridMultilevel"/>
    <w:tmpl w:val="77EE6B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5447F99"/>
    <w:multiLevelType w:val="hybridMultilevel"/>
    <w:tmpl w:val="B60A22B6"/>
    <w:lvl w:ilvl="0" w:tplc="08090003">
      <w:start w:val="1"/>
      <w:numFmt w:val="bullet"/>
      <w:lvlText w:val="o"/>
      <w:lvlJc w:val="left"/>
      <w:pPr>
        <w:ind w:left="1439" w:hanging="360"/>
      </w:pPr>
      <w:rPr>
        <w:rFonts w:ascii="Courier New" w:hAnsi="Courier New" w:cs="Courier New"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10" w15:restartNumberingAfterBreak="0">
    <w:nsid w:val="1550481A"/>
    <w:multiLevelType w:val="hybridMultilevel"/>
    <w:tmpl w:val="B37C1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E25D71"/>
    <w:multiLevelType w:val="hybridMultilevel"/>
    <w:tmpl w:val="24CAE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320F24"/>
    <w:multiLevelType w:val="hybridMultilevel"/>
    <w:tmpl w:val="888249A8"/>
    <w:lvl w:ilvl="0" w:tplc="78EA118C">
      <w:start w:val="1"/>
      <w:numFmt w:val="decimal"/>
      <w:lvlText w:val="%1."/>
      <w:lvlJc w:val="left"/>
      <w:pPr>
        <w:ind w:left="720" w:hanging="360"/>
      </w:pPr>
      <w:rPr>
        <w:rFonts w:ascii="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DE75E1"/>
    <w:multiLevelType w:val="hybridMultilevel"/>
    <w:tmpl w:val="2486AFD4"/>
    <w:lvl w:ilvl="0" w:tplc="D6C006D6">
      <w:start w:val="1"/>
      <w:numFmt w:val="bullet"/>
      <w:lvlText w:val=""/>
      <w:lvlJc w:val="left"/>
      <w:pPr>
        <w:ind w:left="719" w:hanging="360"/>
      </w:pPr>
      <w:rPr>
        <w:rFonts w:ascii="Symbol" w:eastAsia="Symbol" w:hAnsi="Symbol" w:hint="default"/>
        <w:sz w:val="24"/>
        <w:szCs w:val="24"/>
      </w:rPr>
    </w:lvl>
    <w:lvl w:ilvl="1" w:tplc="96A4A13C">
      <w:start w:val="1"/>
      <w:numFmt w:val="bullet"/>
      <w:lvlText w:val="•"/>
      <w:lvlJc w:val="left"/>
      <w:pPr>
        <w:ind w:left="1129" w:hanging="360"/>
      </w:pPr>
      <w:rPr>
        <w:rFonts w:hint="default"/>
      </w:rPr>
    </w:lvl>
    <w:lvl w:ilvl="2" w:tplc="2D2A2F5E">
      <w:start w:val="1"/>
      <w:numFmt w:val="bullet"/>
      <w:lvlText w:val="•"/>
      <w:lvlJc w:val="left"/>
      <w:pPr>
        <w:ind w:left="1539" w:hanging="360"/>
      </w:pPr>
      <w:rPr>
        <w:rFonts w:hint="default"/>
      </w:rPr>
    </w:lvl>
    <w:lvl w:ilvl="3" w:tplc="871009A8">
      <w:start w:val="1"/>
      <w:numFmt w:val="bullet"/>
      <w:lvlText w:val="•"/>
      <w:lvlJc w:val="left"/>
      <w:pPr>
        <w:ind w:left="1950" w:hanging="360"/>
      </w:pPr>
      <w:rPr>
        <w:rFonts w:hint="default"/>
      </w:rPr>
    </w:lvl>
    <w:lvl w:ilvl="4" w:tplc="F2809840">
      <w:start w:val="1"/>
      <w:numFmt w:val="bullet"/>
      <w:lvlText w:val="•"/>
      <w:lvlJc w:val="left"/>
      <w:pPr>
        <w:ind w:left="2360" w:hanging="360"/>
      </w:pPr>
      <w:rPr>
        <w:rFonts w:hint="default"/>
      </w:rPr>
    </w:lvl>
    <w:lvl w:ilvl="5" w:tplc="61EAE008">
      <w:start w:val="1"/>
      <w:numFmt w:val="bullet"/>
      <w:lvlText w:val="•"/>
      <w:lvlJc w:val="left"/>
      <w:pPr>
        <w:ind w:left="2770" w:hanging="360"/>
      </w:pPr>
      <w:rPr>
        <w:rFonts w:hint="default"/>
      </w:rPr>
    </w:lvl>
    <w:lvl w:ilvl="6" w:tplc="386E63DA">
      <w:start w:val="1"/>
      <w:numFmt w:val="bullet"/>
      <w:lvlText w:val="•"/>
      <w:lvlJc w:val="left"/>
      <w:pPr>
        <w:ind w:left="3181" w:hanging="360"/>
      </w:pPr>
      <w:rPr>
        <w:rFonts w:hint="default"/>
      </w:rPr>
    </w:lvl>
    <w:lvl w:ilvl="7" w:tplc="0DDAB0D8">
      <w:start w:val="1"/>
      <w:numFmt w:val="bullet"/>
      <w:lvlText w:val="•"/>
      <w:lvlJc w:val="left"/>
      <w:pPr>
        <w:ind w:left="3591" w:hanging="360"/>
      </w:pPr>
      <w:rPr>
        <w:rFonts w:hint="default"/>
      </w:rPr>
    </w:lvl>
    <w:lvl w:ilvl="8" w:tplc="C09CCCE4">
      <w:start w:val="1"/>
      <w:numFmt w:val="bullet"/>
      <w:lvlText w:val="•"/>
      <w:lvlJc w:val="left"/>
      <w:pPr>
        <w:ind w:left="4002" w:hanging="360"/>
      </w:pPr>
      <w:rPr>
        <w:rFonts w:hint="default"/>
      </w:rPr>
    </w:lvl>
  </w:abstractNum>
  <w:abstractNum w:abstractNumId="14" w15:restartNumberingAfterBreak="0">
    <w:nsid w:val="2F551E21"/>
    <w:multiLevelType w:val="hybridMultilevel"/>
    <w:tmpl w:val="36EA2BFA"/>
    <w:lvl w:ilvl="0" w:tplc="73D2ABFE">
      <w:start w:val="1"/>
      <w:numFmt w:val="bullet"/>
      <w:lvlText w:val=""/>
      <w:lvlJc w:val="left"/>
      <w:pPr>
        <w:ind w:left="719" w:hanging="360"/>
      </w:pPr>
      <w:rPr>
        <w:rFonts w:ascii="Symbol" w:eastAsia="Symbol" w:hAnsi="Symbol" w:hint="default"/>
        <w:sz w:val="24"/>
        <w:szCs w:val="24"/>
      </w:rPr>
    </w:lvl>
    <w:lvl w:ilvl="1" w:tplc="A6B05062">
      <w:start w:val="1"/>
      <w:numFmt w:val="bullet"/>
      <w:lvlText w:val="•"/>
      <w:lvlJc w:val="left"/>
      <w:pPr>
        <w:ind w:left="1128" w:hanging="360"/>
      </w:pPr>
      <w:rPr>
        <w:rFonts w:hint="default"/>
      </w:rPr>
    </w:lvl>
    <w:lvl w:ilvl="2" w:tplc="2DB00240">
      <w:start w:val="1"/>
      <w:numFmt w:val="bullet"/>
      <w:lvlText w:val="•"/>
      <w:lvlJc w:val="left"/>
      <w:pPr>
        <w:ind w:left="1537" w:hanging="360"/>
      </w:pPr>
      <w:rPr>
        <w:rFonts w:hint="default"/>
      </w:rPr>
    </w:lvl>
    <w:lvl w:ilvl="3" w:tplc="A0243498">
      <w:start w:val="1"/>
      <w:numFmt w:val="bullet"/>
      <w:lvlText w:val="•"/>
      <w:lvlJc w:val="left"/>
      <w:pPr>
        <w:ind w:left="1946" w:hanging="360"/>
      </w:pPr>
      <w:rPr>
        <w:rFonts w:hint="default"/>
      </w:rPr>
    </w:lvl>
    <w:lvl w:ilvl="4" w:tplc="14FC54D4">
      <w:start w:val="1"/>
      <w:numFmt w:val="bullet"/>
      <w:lvlText w:val="•"/>
      <w:lvlJc w:val="left"/>
      <w:pPr>
        <w:ind w:left="2355" w:hanging="360"/>
      </w:pPr>
      <w:rPr>
        <w:rFonts w:hint="default"/>
      </w:rPr>
    </w:lvl>
    <w:lvl w:ilvl="5" w:tplc="D24C4A66">
      <w:start w:val="1"/>
      <w:numFmt w:val="bullet"/>
      <w:lvlText w:val="•"/>
      <w:lvlJc w:val="left"/>
      <w:pPr>
        <w:ind w:left="2764" w:hanging="360"/>
      </w:pPr>
      <w:rPr>
        <w:rFonts w:hint="default"/>
      </w:rPr>
    </w:lvl>
    <w:lvl w:ilvl="6" w:tplc="7E5C069C">
      <w:start w:val="1"/>
      <w:numFmt w:val="bullet"/>
      <w:lvlText w:val="•"/>
      <w:lvlJc w:val="left"/>
      <w:pPr>
        <w:ind w:left="3174" w:hanging="360"/>
      </w:pPr>
      <w:rPr>
        <w:rFonts w:hint="default"/>
      </w:rPr>
    </w:lvl>
    <w:lvl w:ilvl="7" w:tplc="0824CC78">
      <w:start w:val="1"/>
      <w:numFmt w:val="bullet"/>
      <w:lvlText w:val="•"/>
      <w:lvlJc w:val="left"/>
      <w:pPr>
        <w:ind w:left="3583" w:hanging="360"/>
      </w:pPr>
      <w:rPr>
        <w:rFonts w:hint="default"/>
      </w:rPr>
    </w:lvl>
    <w:lvl w:ilvl="8" w:tplc="97122C5A">
      <w:start w:val="1"/>
      <w:numFmt w:val="bullet"/>
      <w:lvlText w:val="•"/>
      <w:lvlJc w:val="left"/>
      <w:pPr>
        <w:ind w:left="3992" w:hanging="360"/>
      </w:pPr>
      <w:rPr>
        <w:rFonts w:hint="default"/>
      </w:rPr>
    </w:lvl>
  </w:abstractNum>
  <w:abstractNum w:abstractNumId="15" w15:restartNumberingAfterBreak="0">
    <w:nsid w:val="314B457F"/>
    <w:multiLevelType w:val="hybridMultilevel"/>
    <w:tmpl w:val="B662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F2186A"/>
    <w:multiLevelType w:val="hybridMultilevel"/>
    <w:tmpl w:val="B35C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44A9F"/>
    <w:multiLevelType w:val="hybridMultilevel"/>
    <w:tmpl w:val="0D04BA60"/>
    <w:lvl w:ilvl="0" w:tplc="F654B64E">
      <w:start w:val="1"/>
      <w:numFmt w:val="bullet"/>
      <w:lvlText w:val=""/>
      <w:lvlJc w:val="left"/>
      <w:pPr>
        <w:ind w:left="719" w:hanging="360"/>
      </w:pPr>
      <w:rPr>
        <w:rFonts w:ascii="Symbol" w:eastAsia="Symbol" w:hAnsi="Symbol" w:hint="default"/>
        <w:sz w:val="24"/>
        <w:szCs w:val="24"/>
      </w:rPr>
    </w:lvl>
    <w:lvl w:ilvl="1" w:tplc="68609FC8">
      <w:start w:val="1"/>
      <w:numFmt w:val="bullet"/>
      <w:lvlText w:val="•"/>
      <w:lvlJc w:val="left"/>
      <w:pPr>
        <w:ind w:left="1128" w:hanging="360"/>
      </w:pPr>
      <w:rPr>
        <w:rFonts w:hint="default"/>
      </w:rPr>
    </w:lvl>
    <w:lvl w:ilvl="2" w:tplc="3FD8C0D2">
      <w:start w:val="1"/>
      <w:numFmt w:val="bullet"/>
      <w:lvlText w:val="•"/>
      <w:lvlJc w:val="left"/>
      <w:pPr>
        <w:ind w:left="1537" w:hanging="360"/>
      </w:pPr>
      <w:rPr>
        <w:rFonts w:hint="default"/>
      </w:rPr>
    </w:lvl>
    <w:lvl w:ilvl="3" w:tplc="C5FCCAB8">
      <w:start w:val="1"/>
      <w:numFmt w:val="bullet"/>
      <w:lvlText w:val="•"/>
      <w:lvlJc w:val="left"/>
      <w:pPr>
        <w:ind w:left="1946" w:hanging="360"/>
      </w:pPr>
      <w:rPr>
        <w:rFonts w:hint="default"/>
      </w:rPr>
    </w:lvl>
    <w:lvl w:ilvl="4" w:tplc="A2C6016E">
      <w:start w:val="1"/>
      <w:numFmt w:val="bullet"/>
      <w:lvlText w:val="•"/>
      <w:lvlJc w:val="left"/>
      <w:pPr>
        <w:ind w:left="2355" w:hanging="360"/>
      </w:pPr>
      <w:rPr>
        <w:rFonts w:hint="default"/>
      </w:rPr>
    </w:lvl>
    <w:lvl w:ilvl="5" w:tplc="477CDF30">
      <w:start w:val="1"/>
      <w:numFmt w:val="bullet"/>
      <w:lvlText w:val="•"/>
      <w:lvlJc w:val="left"/>
      <w:pPr>
        <w:ind w:left="2764" w:hanging="360"/>
      </w:pPr>
      <w:rPr>
        <w:rFonts w:hint="default"/>
      </w:rPr>
    </w:lvl>
    <w:lvl w:ilvl="6" w:tplc="E3DE3C68">
      <w:start w:val="1"/>
      <w:numFmt w:val="bullet"/>
      <w:lvlText w:val="•"/>
      <w:lvlJc w:val="left"/>
      <w:pPr>
        <w:ind w:left="3174" w:hanging="360"/>
      </w:pPr>
      <w:rPr>
        <w:rFonts w:hint="default"/>
      </w:rPr>
    </w:lvl>
    <w:lvl w:ilvl="7" w:tplc="E7961EB0">
      <w:start w:val="1"/>
      <w:numFmt w:val="bullet"/>
      <w:lvlText w:val="•"/>
      <w:lvlJc w:val="left"/>
      <w:pPr>
        <w:ind w:left="3583" w:hanging="360"/>
      </w:pPr>
      <w:rPr>
        <w:rFonts w:hint="default"/>
      </w:rPr>
    </w:lvl>
    <w:lvl w:ilvl="8" w:tplc="CD52559A">
      <w:start w:val="1"/>
      <w:numFmt w:val="bullet"/>
      <w:lvlText w:val="•"/>
      <w:lvlJc w:val="left"/>
      <w:pPr>
        <w:ind w:left="3992" w:hanging="360"/>
      </w:pPr>
      <w:rPr>
        <w:rFonts w:hint="default"/>
      </w:rPr>
    </w:lvl>
  </w:abstractNum>
  <w:abstractNum w:abstractNumId="18" w15:restartNumberingAfterBreak="0">
    <w:nsid w:val="3D384D2D"/>
    <w:multiLevelType w:val="hybridMultilevel"/>
    <w:tmpl w:val="E9E2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C5A33"/>
    <w:multiLevelType w:val="hybridMultilevel"/>
    <w:tmpl w:val="2132E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4C63226"/>
    <w:multiLevelType w:val="hybridMultilevel"/>
    <w:tmpl w:val="36829B8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86628CB"/>
    <w:multiLevelType w:val="hybridMultilevel"/>
    <w:tmpl w:val="6AEC5B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AA85070"/>
    <w:multiLevelType w:val="hybridMultilevel"/>
    <w:tmpl w:val="3514B5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E705825"/>
    <w:multiLevelType w:val="hybridMultilevel"/>
    <w:tmpl w:val="BC7442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F0079C0"/>
    <w:multiLevelType w:val="hybridMultilevel"/>
    <w:tmpl w:val="3BE0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907348"/>
    <w:multiLevelType w:val="hybridMultilevel"/>
    <w:tmpl w:val="B76E6AFA"/>
    <w:lvl w:ilvl="0" w:tplc="61F67320">
      <w:start w:val="1"/>
      <w:numFmt w:val="decimal"/>
      <w:lvlText w:val="%1."/>
      <w:lvlJc w:val="left"/>
      <w:pPr>
        <w:ind w:left="925" w:hanging="425"/>
      </w:pPr>
      <w:rPr>
        <w:rFonts w:ascii="Arial" w:eastAsia="Arial" w:hAnsi="Arial" w:cs="Arial" w:hint="default"/>
        <w:b/>
        <w:bCs/>
        <w:spacing w:val="-1"/>
        <w:w w:val="100"/>
        <w:sz w:val="22"/>
        <w:szCs w:val="22"/>
        <w:lang w:val="en-GB" w:eastAsia="en-US" w:bidi="ar-SA"/>
      </w:rPr>
    </w:lvl>
    <w:lvl w:ilvl="1" w:tplc="17CE9B90">
      <w:numFmt w:val="bullet"/>
      <w:lvlText w:val=""/>
      <w:lvlJc w:val="left"/>
      <w:pPr>
        <w:ind w:left="1220" w:hanging="360"/>
      </w:pPr>
      <w:rPr>
        <w:rFonts w:hint="default"/>
        <w:w w:val="100"/>
        <w:lang w:val="en-GB" w:eastAsia="en-US" w:bidi="ar-SA"/>
      </w:rPr>
    </w:lvl>
    <w:lvl w:ilvl="2" w:tplc="64BC0018">
      <w:numFmt w:val="bullet"/>
      <w:lvlText w:val="•"/>
      <w:lvlJc w:val="left"/>
      <w:pPr>
        <w:ind w:left="2269" w:hanging="360"/>
      </w:pPr>
      <w:rPr>
        <w:rFonts w:hint="default"/>
        <w:lang w:val="en-GB" w:eastAsia="en-US" w:bidi="ar-SA"/>
      </w:rPr>
    </w:lvl>
    <w:lvl w:ilvl="3" w:tplc="E2B277A6">
      <w:numFmt w:val="bullet"/>
      <w:lvlText w:val="•"/>
      <w:lvlJc w:val="left"/>
      <w:pPr>
        <w:ind w:left="3319" w:hanging="360"/>
      </w:pPr>
      <w:rPr>
        <w:rFonts w:hint="default"/>
        <w:lang w:val="en-GB" w:eastAsia="en-US" w:bidi="ar-SA"/>
      </w:rPr>
    </w:lvl>
    <w:lvl w:ilvl="4" w:tplc="B47A1C88">
      <w:numFmt w:val="bullet"/>
      <w:lvlText w:val="•"/>
      <w:lvlJc w:val="left"/>
      <w:pPr>
        <w:ind w:left="4368" w:hanging="360"/>
      </w:pPr>
      <w:rPr>
        <w:rFonts w:hint="default"/>
        <w:lang w:val="en-GB" w:eastAsia="en-US" w:bidi="ar-SA"/>
      </w:rPr>
    </w:lvl>
    <w:lvl w:ilvl="5" w:tplc="D38AE54A">
      <w:numFmt w:val="bullet"/>
      <w:lvlText w:val="•"/>
      <w:lvlJc w:val="left"/>
      <w:pPr>
        <w:ind w:left="5418" w:hanging="360"/>
      </w:pPr>
      <w:rPr>
        <w:rFonts w:hint="default"/>
        <w:lang w:val="en-GB" w:eastAsia="en-US" w:bidi="ar-SA"/>
      </w:rPr>
    </w:lvl>
    <w:lvl w:ilvl="6" w:tplc="0B7E3DBC">
      <w:numFmt w:val="bullet"/>
      <w:lvlText w:val="•"/>
      <w:lvlJc w:val="left"/>
      <w:pPr>
        <w:ind w:left="6468" w:hanging="360"/>
      </w:pPr>
      <w:rPr>
        <w:rFonts w:hint="default"/>
        <w:lang w:val="en-GB" w:eastAsia="en-US" w:bidi="ar-SA"/>
      </w:rPr>
    </w:lvl>
    <w:lvl w:ilvl="7" w:tplc="B48008DA">
      <w:numFmt w:val="bullet"/>
      <w:lvlText w:val="•"/>
      <w:lvlJc w:val="left"/>
      <w:pPr>
        <w:ind w:left="7517" w:hanging="360"/>
      </w:pPr>
      <w:rPr>
        <w:rFonts w:hint="default"/>
        <w:lang w:val="en-GB" w:eastAsia="en-US" w:bidi="ar-SA"/>
      </w:rPr>
    </w:lvl>
    <w:lvl w:ilvl="8" w:tplc="F5E01712">
      <w:numFmt w:val="bullet"/>
      <w:lvlText w:val="•"/>
      <w:lvlJc w:val="left"/>
      <w:pPr>
        <w:ind w:left="8567" w:hanging="360"/>
      </w:pPr>
      <w:rPr>
        <w:rFonts w:hint="default"/>
        <w:lang w:val="en-GB" w:eastAsia="en-US" w:bidi="ar-SA"/>
      </w:rPr>
    </w:lvl>
  </w:abstractNum>
  <w:abstractNum w:abstractNumId="26" w15:restartNumberingAfterBreak="0">
    <w:nsid w:val="60492B36"/>
    <w:multiLevelType w:val="hybridMultilevel"/>
    <w:tmpl w:val="6A3CECF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4056E00"/>
    <w:multiLevelType w:val="hybridMultilevel"/>
    <w:tmpl w:val="AB1A7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46A0200"/>
    <w:multiLevelType w:val="hybridMultilevel"/>
    <w:tmpl w:val="46B6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E375F5"/>
    <w:multiLevelType w:val="hybridMultilevel"/>
    <w:tmpl w:val="174C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4C046F"/>
    <w:multiLevelType w:val="hybridMultilevel"/>
    <w:tmpl w:val="3E5E0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810714"/>
    <w:multiLevelType w:val="hybridMultilevel"/>
    <w:tmpl w:val="71CAC1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BF8523E"/>
    <w:multiLevelType w:val="hybridMultilevel"/>
    <w:tmpl w:val="90A22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AD3B15"/>
    <w:multiLevelType w:val="hybridMultilevel"/>
    <w:tmpl w:val="861E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BA381E"/>
    <w:multiLevelType w:val="hybridMultilevel"/>
    <w:tmpl w:val="35AA40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22C4545"/>
    <w:multiLevelType w:val="hybridMultilevel"/>
    <w:tmpl w:val="F96664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64C11C1"/>
    <w:multiLevelType w:val="hybridMultilevel"/>
    <w:tmpl w:val="8DA812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7A502CAD"/>
    <w:multiLevelType w:val="hybridMultilevel"/>
    <w:tmpl w:val="390C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974C31"/>
    <w:multiLevelType w:val="hybridMultilevel"/>
    <w:tmpl w:val="6BB0AD20"/>
    <w:lvl w:ilvl="0" w:tplc="4B2E963E">
      <w:start w:val="1"/>
      <w:numFmt w:val="bullet"/>
      <w:lvlText w:val=""/>
      <w:lvlJc w:val="left"/>
      <w:pPr>
        <w:ind w:left="719" w:hanging="360"/>
      </w:pPr>
      <w:rPr>
        <w:rFonts w:ascii="Symbol" w:eastAsia="Symbol" w:hAnsi="Symbol" w:hint="default"/>
        <w:sz w:val="24"/>
        <w:szCs w:val="24"/>
      </w:rPr>
    </w:lvl>
    <w:lvl w:ilvl="1" w:tplc="4D66A968">
      <w:start w:val="1"/>
      <w:numFmt w:val="bullet"/>
      <w:lvlText w:val="•"/>
      <w:lvlJc w:val="left"/>
      <w:pPr>
        <w:ind w:left="1128" w:hanging="360"/>
      </w:pPr>
      <w:rPr>
        <w:rFonts w:hint="default"/>
      </w:rPr>
    </w:lvl>
    <w:lvl w:ilvl="2" w:tplc="6DCEE316">
      <w:start w:val="1"/>
      <w:numFmt w:val="bullet"/>
      <w:lvlText w:val="•"/>
      <w:lvlJc w:val="left"/>
      <w:pPr>
        <w:ind w:left="1537" w:hanging="360"/>
      </w:pPr>
      <w:rPr>
        <w:rFonts w:hint="default"/>
      </w:rPr>
    </w:lvl>
    <w:lvl w:ilvl="3" w:tplc="6118680A">
      <w:start w:val="1"/>
      <w:numFmt w:val="bullet"/>
      <w:lvlText w:val="•"/>
      <w:lvlJc w:val="left"/>
      <w:pPr>
        <w:ind w:left="1946" w:hanging="360"/>
      </w:pPr>
      <w:rPr>
        <w:rFonts w:hint="default"/>
      </w:rPr>
    </w:lvl>
    <w:lvl w:ilvl="4" w:tplc="D144CD64">
      <w:start w:val="1"/>
      <w:numFmt w:val="bullet"/>
      <w:lvlText w:val="•"/>
      <w:lvlJc w:val="left"/>
      <w:pPr>
        <w:ind w:left="2355" w:hanging="360"/>
      </w:pPr>
      <w:rPr>
        <w:rFonts w:hint="default"/>
      </w:rPr>
    </w:lvl>
    <w:lvl w:ilvl="5" w:tplc="2AD6A348">
      <w:start w:val="1"/>
      <w:numFmt w:val="bullet"/>
      <w:lvlText w:val="•"/>
      <w:lvlJc w:val="left"/>
      <w:pPr>
        <w:ind w:left="2764" w:hanging="360"/>
      </w:pPr>
      <w:rPr>
        <w:rFonts w:hint="default"/>
      </w:rPr>
    </w:lvl>
    <w:lvl w:ilvl="6" w:tplc="A16C4C80">
      <w:start w:val="1"/>
      <w:numFmt w:val="bullet"/>
      <w:lvlText w:val="•"/>
      <w:lvlJc w:val="left"/>
      <w:pPr>
        <w:ind w:left="3174" w:hanging="360"/>
      </w:pPr>
      <w:rPr>
        <w:rFonts w:hint="default"/>
      </w:rPr>
    </w:lvl>
    <w:lvl w:ilvl="7" w:tplc="17903C1E">
      <w:start w:val="1"/>
      <w:numFmt w:val="bullet"/>
      <w:lvlText w:val="•"/>
      <w:lvlJc w:val="left"/>
      <w:pPr>
        <w:ind w:left="3583" w:hanging="360"/>
      </w:pPr>
      <w:rPr>
        <w:rFonts w:hint="default"/>
      </w:rPr>
    </w:lvl>
    <w:lvl w:ilvl="8" w:tplc="BC989852">
      <w:start w:val="1"/>
      <w:numFmt w:val="bullet"/>
      <w:lvlText w:val="•"/>
      <w:lvlJc w:val="left"/>
      <w:pPr>
        <w:ind w:left="3992" w:hanging="360"/>
      </w:pPr>
      <w:rPr>
        <w:rFonts w:hint="default"/>
      </w:rPr>
    </w:lvl>
  </w:abstractNum>
  <w:abstractNum w:abstractNumId="39" w15:restartNumberingAfterBreak="0">
    <w:nsid w:val="7E9F5F89"/>
    <w:multiLevelType w:val="hybridMultilevel"/>
    <w:tmpl w:val="C5004764"/>
    <w:lvl w:ilvl="0" w:tplc="F654B64E">
      <w:start w:val="1"/>
      <w:numFmt w:val="bullet"/>
      <w:lvlText w:val=""/>
      <w:lvlJc w:val="left"/>
      <w:pPr>
        <w:ind w:left="720" w:hanging="360"/>
      </w:pPr>
      <w:rPr>
        <w:rFonts w:ascii="Symbol" w:eastAsia="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6811659">
    <w:abstractNumId w:val="3"/>
  </w:num>
  <w:num w:numId="2" w16cid:durableId="1748722008">
    <w:abstractNumId w:val="30"/>
  </w:num>
  <w:num w:numId="3" w16cid:durableId="689599788">
    <w:abstractNumId w:val="4"/>
  </w:num>
  <w:num w:numId="4" w16cid:durableId="861358307">
    <w:abstractNumId w:val="25"/>
  </w:num>
  <w:num w:numId="5" w16cid:durableId="245387534">
    <w:abstractNumId w:val="28"/>
  </w:num>
  <w:num w:numId="6" w16cid:durableId="378825167">
    <w:abstractNumId w:val="10"/>
  </w:num>
  <w:num w:numId="7" w16cid:durableId="139540626">
    <w:abstractNumId w:val="32"/>
  </w:num>
  <w:num w:numId="8" w16cid:durableId="678964435">
    <w:abstractNumId w:val="11"/>
  </w:num>
  <w:num w:numId="9" w16cid:durableId="1147360186">
    <w:abstractNumId w:val="29"/>
  </w:num>
  <w:num w:numId="10" w16cid:durableId="385031603">
    <w:abstractNumId w:val="24"/>
  </w:num>
  <w:num w:numId="11" w16cid:durableId="1895508587">
    <w:abstractNumId w:val="7"/>
  </w:num>
  <w:num w:numId="12" w16cid:durableId="370226229">
    <w:abstractNumId w:val="12"/>
  </w:num>
  <w:num w:numId="13" w16cid:durableId="1160579916">
    <w:abstractNumId w:val="13"/>
  </w:num>
  <w:num w:numId="14" w16cid:durableId="2087025488">
    <w:abstractNumId w:val="16"/>
  </w:num>
  <w:num w:numId="15" w16cid:durableId="530804822">
    <w:abstractNumId w:val="17"/>
  </w:num>
  <w:num w:numId="16" w16cid:durableId="175846118">
    <w:abstractNumId w:val="14"/>
  </w:num>
  <w:num w:numId="17" w16cid:durableId="1705710767">
    <w:abstractNumId w:val="9"/>
  </w:num>
  <w:num w:numId="18" w16cid:durableId="1809781647">
    <w:abstractNumId w:val="38"/>
  </w:num>
  <w:num w:numId="19" w16cid:durableId="957250231">
    <w:abstractNumId w:val="5"/>
  </w:num>
  <w:num w:numId="20" w16cid:durableId="1370955165">
    <w:abstractNumId w:val="2"/>
  </w:num>
  <w:num w:numId="21" w16cid:durableId="670107960">
    <w:abstractNumId w:val="39"/>
  </w:num>
  <w:num w:numId="22" w16cid:durableId="537427557">
    <w:abstractNumId w:val="37"/>
  </w:num>
  <w:num w:numId="23" w16cid:durableId="891890521">
    <w:abstractNumId w:val="6"/>
  </w:num>
  <w:num w:numId="24" w16cid:durableId="1152335079">
    <w:abstractNumId w:val="19"/>
  </w:num>
  <w:num w:numId="25" w16cid:durableId="1982535830">
    <w:abstractNumId w:val="34"/>
  </w:num>
  <w:num w:numId="26" w16cid:durableId="515078501">
    <w:abstractNumId w:val="35"/>
  </w:num>
  <w:num w:numId="27" w16cid:durableId="31925055">
    <w:abstractNumId w:val="27"/>
  </w:num>
  <w:num w:numId="28" w16cid:durableId="1815246631">
    <w:abstractNumId w:val="22"/>
  </w:num>
  <w:num w:numId="29" w16cid:durableId="354887985">
    <w:abstractNumId w:val="21"/>
  </w:num>
  <w:num w:numId="30" w16cid:durableId="587424359">
    <w:abstractNumId w:val="23"/>
  </w:num>
  <w:num w:numId="31" w16cid:durableId="1115251183">
    <w:abstractNumId w:val="20"/>
  </w:num>
  <w:num w:numId="32" w16cid:durableId="455830968">
    <w:abstractNumId w:val="8"/>
  </w:num>
  <w:num w:numId="33" w16cid:durableId="1629775576">
    <w:abstractNumId w:val="31"/>
  </w:num>
  <w:num w:numId="34" w16cid:durableId="1010521329">
    <w:abstractNumId w:val="26"/>
  </w:num>
  <w:num w:numId="35" w16cid:durableId="775716091">
    <w:abstractNumId w:val="15"/>
  </w:num>
  <w:num w:numId="36" w16cid:durableId="129440970">
    <w:abstractNumId w:val="18"/>
  </w:num>
  <w:num w:numId="37" w16cid:durableId="1184052285">
    <w:abstractNumId w:val="0"/>
  </w:num>
  <w:num w:numId="38" w16cid:durableId="1377583035">
    <w:abstractNumId w:val="36"/>
  </w:num>
  <w:num w:numId="39" w16cid:durableId="590938759">
    <w:abstractNumId w:val="1"/>
  </w:num>
  <w:num w:numId="40" w16cid:durableId="1593854162">
    <w:abstractNumId w:val="33"/>
  </w:num>
  <w:num w:numId="41" w16cid:durableId="1895386294">
    <w:abstractNumId w:val="33"/>
    <w:lvlOverride w:ilvl="0"/>
    <w:lvlOverride w:ilvl="1"/>
    <w:lvlOverride w:ilvl="2"/>
    <w:lvlOverride w:ilvl="3"/>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0A"/>
    <w:rsid w:val="0000638B"/>
    <w:rsid w:val="00016DFC"/>
    <w:rsid w:val="000274AC"/>
    <w:rsid w:val="0003576F"/>
    <w:rsid w:val="00044BB8"/>
    <w:rsid w:val="000550D7"/>
    <w:rsid w:val="00055200"/>
    <w:rsid w:val="00067A61"/>
    <w:rsid w:val="0007304B"/>
    <w:rsid w:val="0008575C"/>
    <w:rsid w:val="000915F3"/>
    <w:rsid w:val="000B1D72"/>
    <w:rsid w:val="000C23C9"/>
    <w:rsid w:val="000D14CA"/>
    <w:rsid w:val="000E20E0"/>
    <w:rsid w:val="000E2B82"/>
    <w:rsid w:val="000E2E74"/>
    <w:rsid w:val="000E46B7"/>
    <w:rsid w:val="000E645A"/>
    <w:rsid w:val="00104613"/>
    <w:rsid w:val="00116D47"/>
    <w:rsid w:val="00133294"/>
    <w:rsid w:val="00143B3F"/>
    <w:rsid w:val="00152435"/>
    <w:rsid w:val="001527C1"/>
    <w:rsid w:val="001533B5"/>
    <w:rsid w:val="0017694F"/>
    <w:rsid w:val="00187229"/>
    <w:rsid w:val="00193A74"/>
    <w:rsid w:val="00195864"/>
    <w:rsid w:val="001A042D"/>
    <w:rsid w:val="001A0F72"/>
    <w:rsid w:val="001A2241"/>
    <w:rsid w:val="001B45A2"/>
    <w:rsid w:val="001B5E38"/>
    <w:rsid w:val="001C475B"/>
    <w:rsid w:val="001D318C"/>
    <w:rsid w:val="001D44A4"/>
    <w:rsid w:val="001D7B29"/>
    <w:rsid w:val="001E2821"/>
    <w:rsid w:val="001F1E8B"/>
    <w:rsid w:val="001F69F3"/>
    <w:rsid w:val="00200E99"/>
    <w:rsid w:val="002038FA"/>
    <w:rsid w:val="00205114"/>
    <w:rsid w:val="00214EED"/>
    <w:rsid w:val="00215B9C"/>
    <w:rsid w:val="002475A8"/>
    <w:rsid w:val="00257447"/>
    <w:rsid w:val="00271EBD"/>
    <w:rsid w:val="00273B95"/>
    <w:rsid w:val="00294CF5"/>
    <w:rsid w:val="00297698"/>
    <w:rsid w:val="002A75D3"/>
    <w:rsid w:val="002B52DA"/>
    <w:rsid w:val="002B6695"/>
    <w:rsid w:val="002E4C0A"/>
    <w:rsid w:val="003022E5"/>
    <w:rsid w:val="00302E4A"/>
    <w:rsid w:val="00306DC5"/>
    <w:rsid w:val="003077A3"/>
    <w:rsid w:val="0032340A"/>
    <w:rsid w:val="00352195"/>
    <w:rsid w:val="0036455C"/>
    <w:rsid w:val="003762AB"/>
    <w:rsid w:val="00391D55"/>
    <w:rsid w:val="00393409"/>
    <w:rsid w:val="003A0C7F"/>
    <w:rsid w:val="003A1CEE"/>
    <w:rsid w:val="003A78AD"/>
    <w:rsid w:val="003D345D"/>
    <w:rsid w:val="003D34BA"/>
    <w:rsid w:val="003F1C91"/>
    <w:rsid w:val="00414BBF"/>
    <w:rsid w:val="00415608"/>
    <w:rsid w:val="0042087A"/>
    <w:rsid w:val="004208FD"/>
    <w:rsid w:val="0042313A"/>
    <w:rsid w:val="0043200B"/>
    <w:rsid w:val="0043360A"/>
    <w:rsid w:val="00437F65"/>
    <w:rsid w:val="00443738"/>
    <w:rsid w:val="00447CE9"/>
    <w:rsid w:val="00453DD1"/>
    <w:rsid w:val="0045413C"/>
    <w:rsid w:val="00455018"/>
    <w:rsid w:val="004675EB"/>
    <w:rsid w:val="0046761D"/>
    <w:rsid w:val="00467C9D"/>
    <w:rsid w:val="00471B32"/>
    <w:rsid w:val="004728B9"/>
    <w:rsid w:val="004A1E8F"/>
    <w:rsid w:val="004B21C5"/>
    <w:rsid w:val="004B21EB"/>
    <w:rsid w:val="004B7BC7"/>
    <w:rsid w:val="004D05AA"/>
    <w:rsid w:val="004D2D05"/>
    <w:rsid w:val="004D7014"/>
    <w:rsid w:val="004D7BA1"/>
    <w:rsid w:val="004F1107"/>
    <w:rsid w:val="00502367"/>
    <w:rsid w:val="00502B09"/>
    <w:rsid w:val="00524753"/>
    <w:rsid w:val="00524AF2"/>
    <w:rsid w:val="00527431"/>
    <w:rsid w:val="00527547"/>
    <w:rsid w:val="005329D9"/>
    <w:rsid w:val="005453CA"/>
    <w:rsid w:val="00551E50"/>
    <w:rsid w:val="005565D5"/>
    <w:rsid w:val="00562479"/>
    <w:rsid w:val="005751B4"/>
    <w:rsid w:val="00577B8D"/>
    <w:rsid w:val="005A0186"/>
    <w:rsid w:val="005A1B35"/>
    <w:rsid w:val="005C2928"/>
    <w:rsid w:val="005C3B0F"/>
    <w:rsid w:val="005D6B60"/>
    <w:rsid w:val="005E1097"/>
    <w:rsid w:val="005E4B08"/>
    <w:rsid w:val="005E5539"/>
    <w:rsid w:val="005F5260"/>
    <w:rsid w:val="00605C2B"/>
    <w:rsid w:val="00613C1E"/>
    <w:rsid w:val="0062214A"/>
    <w:rsid w:val="00635FCB"/>
    <w:rsid w:val="00651781"/>
    <w:rsid w:val="00653CC2"/>
    <w:rsid w:val="00677F05"/>
    <w:rsid w:val="0068460F"/>
    <w:rsid w:val="0069072C"/>
    <w:rsid w:val="006909AA"/>
    <w:rsid w:val="00694FCA"/>
    <w:rsid w:val="00696716"/>
    <w:rsid w:val="006A1895"/>
    <w:rsid w:val="006B6E62"/>
    <w:rsid w:val="006C1845"/>
    <w:rsid w:val="006C4E13"/>
    <w:rsid w:val="006F00F8"/>
    <w:rsid w:val="006F1426"/>
    <w:rsid w:val="006F2D7A"/>
    <w:rsid w:val="006F62EF"/>
    <w:rsid w:val="00727F6C"/>
    <w:rsid w:val="00731133"/>
    <w:rsid w:val="007344B6"/>
    <w:rsid w:val="00741F6E"/>
    <w:rsid w:val="00765AC6"/>
    <w:rsid w:val="0077554E"/>
    <w:rsid w:val="007879DB"/>
    <w:rsid w:val="007921D5"/>
    <w:rsid w:val="00797FD2"/>
    <w:rsid w:val="007B4F16"/>
    <w:rsid w:val="007D1846"/>
    <w:rsid w:val="007F0752"/>
    <w:rsid w:val="008013B6"/>
    <w:rsid w:val="00801C95"/>
    <w:rsid w:val="008040E8"/>
    <w:rsid w:val="00825D9D"/>
    <w:rsid w:val="00841E07"/>
    <w:rsid w:val="008511D6"/>
    <w:rsid w:val="008833A3"/>
    <w:rsid w:val="00883DA2"/>
    <w:rsid w:val="008A6F39"/>
    <w:rsid w:val="008A7363"/>
    <w:rsid w:val="008C14EC"/>
    <w:rsid w:val="008C49FC"/>
    <w:rsid w:val="008D56DE"/>
    <w:rsid w:val="008E4FD0"/>
    <w:rsid w:val="00902EF8"/>
    <w:rsid w:val="00936777"/>
    <w:rsid w:val="009654C7"/>
    <w:rsid w:val="00965D2F"/>
    <w:rsid w:val="0096762B"/>
    <w:rsid w:val="009702F1"/>
    <w:rsid w:val="00971B60"/>
    <w:rsid w:val="00973603"/>
    <w:rsid w:val="00981B29"/>
    <w:rsid w:val="009A5DD3"/>
    <w:rsid w:val="009B1276"/>
    <w:rsid w:val="009B6427"/>
    <w:rsid w:val="009C255F"/>
    <w:rsid w:val="009F010E"/>
    <w:rsid w:val="00A37EF4"/>
    <w:rsid w:val="00A4438A"/>
    <w:rsid w:val="00A477F8"/>
    <w:rsid w:val="00A5009D"/>
    <w:rsid w:val="00A87965"/>
    <w:rsid w:val="00AA48FE"/>
    <w:rsid w:val="00AE31A8"/>
    <w:rsid w:val="00AF0D80"/>
    <w:rsid w:val="00AF63AA"/>
    <w:rsid w:val="00B17ECE"/>
    <w:rsid w:val="00B210E2"/>
    <w:rsid w:val="00B3429D"/>
    <w:rsid w:val="00B410E4"/>
    <w:rsid w:val="00B41677"/>
    <w:rsid w:val="00B61605"/>
    <w:rsid w:val="00B62DE8"/>
    <w:rsid w:val="00B6500F"/>
    <w:rsid w:val="00B74340"/>
    <w:rsid w:val="00B866A1"/>
    <w:rsid w:val="00BC3E0B"/>
    <w:rsid w:val="00BD3855"/>
    <w:rsid w:val="00BD5037"/>
    <w:rsid w:val="00BD5AF4"/>
    <w:rsid w:val="00BE19D9"/>
    <w:rsid w:val="00BE4FD9"/>
    <w:rsid w:val="00C124AD"/>
    <w:rsid w:val="00C21560"/>
    <w:rsid w:val="00C704C9"/>
    <w:rsid w:val="00C723EB"/>
    <w:rsid w:val="00C75A10"/>
    <w:rsid w:val="00C92A2D"/>
    <w:rsid w:val="00CB081C"/>
    <w:rsid w:val="00CC123C"/>
    <w:rsid w:val="00CC1638"/>
    <w:rsid w:val="00CC3951"/>
    <w:rsid w:val="00CC4B3A"/>
    <w:rsid w:val="00CE2DCF"/>
    <w:rsid w:val="00D05188"/>
    <w:rsid w:val="00D05622"/>
    <w:rsid w:val="00D17744"/>
    <w:rsid w:val="00D241F9"/>
    <w:rsid w:val="00D406B5"/>
    <w:rsid w:val="00D57B6F"/>
    <w:rsid w:val="00D65CE4"/>
    <w:rsid w:val="00D70BD9"/>
    <w:rsid w:val="00D85962"/>
    <w:rsid w:val="00D86CD1"/>
    <w:rsid w:val="00DB4201"/>
    <w:rsid w:val="00DE015A"/>
    <w:rsid w:val="00DE1EE0"/>
    <w:rsid w:val="00E008F4"/>
    <w:rsid w:val="00E07CBE"/>
    <w:rsid w:val="00E23E05"/>
    <w:rsid w:val="00E423B6"/>
    <w:rsid w:val="00E70EDB"/>
    <w:rsid w:val="00E83C33"/>
    <w:rsid w:val="00E93F37"/>
    <w:rsid w:val="00ED0FEE"/>
    <w:rsid w:val="00F04DB1"/>
    <w:rsid w:val="00F11742"/>
    <w:rsid w:val="00F224F7"/>
    <w:rsid w:val="00F3335A"/>
    <w:rsid w:val="00F85C3D"/>
    <w:rsid w:val="00F90BBC"/>
    <w:rsid w:val="00F95702"/>
    <w:rsid w:val="00F96225"/>
    <w:rsid w:val="00F97486"/>
    <w:rsid w:val="00FA60D2"/>
    <w:rsid w:val="00FB017E"/>
    <w:rsid w:val="00FC64AA"/>
    <w:rsid w:val="00FD129F"/>
    <w:rsid w:val="00FE4DF6"/>
    <w:rsid w:val="00FF0EF4"/>
    <w:rsid w:val="00FF2D47"/>
    <w:rsid w:val="00FF6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3A49F"/>
  <w15:docId w15:val="{63942F4D-4D51-4B9D-A984-C842C96A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195"/>
  </w:style>
  <w:style w:type="paragraph" w:styleId="Heading1">
    <w:name w:val="heading 1"/>
    <w:basedOn w:val="Normal"/>
    <w:next w:val="Normal"/>
    <w:link w:val="Heading1Char"/>
    <w:uiPriority w:val="9"/>
    <w:qFormat/>
    <w:rsid w:val="000B1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36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D57B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3360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3360A"/>
    <w:pPr>
      <w:ind w:left="720"/>
      <w:contextualSpacing/>
    </w:pPr>
  </w:style>
  <w:style w:type="table" w:styleId="MediumGrid3-Accent1">
    <w:name w:val="Medium Grid 3 Accent 1"/>
    <w:basedOn w:val="TableNormal"/>
    <w:uiPriority w:val="69"/>
    <w:rsid w:val="004336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Default">
    <w:name w:val="Default"/>
    <w:rsid w:val="0043360A"/>
    <w:pPr>
      <w:autoSpaceDE w:val="0"/>
      <w:autoSpaceDN w:val="0"/>
      <w:adjustRightInd w:val="0"/>
      <w:spacing w:after="0" w:line="240" w:lineRule="auto"/>
    </w:pPr>
    <w:rPr>
      <w:rFonts w:ascii="Frutiger LT Std 55 Roman" w:hAnsi="Frutiger LT Std 55 Roman" w:cs="Frutiger LT Std 55 Roman"/>
      <w:color w:val="000000"/>
      <w:sz w:val="24"/>
      <w:szCs w:val="24"/>
    </w:rPr>
  </w:style>
  <w:style w:type="character" w:customStyle="1" w:styleId="A5">
    <w:name w:val="A5"/>
    <w:uiPriority w:val="99"/>
    <w:rsid w:val="0043360A"/>
    <w:rPr>
      <w:rFonts w:ascii="Frutiger LT Std 45 Light" w:hAnsi="Frutiger LT Std 45 Light" w:cs="Frutiger LT Std 45 Light"/>
      <w:color w:val="221E1F"/>
      <w:sz w:val="26"/>
      <w:szCs w:val="26"/>
    </w:rPr>
  </w:style>
  <w:style w:type="paragraph" w:styleId="BalloonText">
    <w:name w:val="Balloon Text"/>
    <w:basedOn w:val="Normal"/>
    <w:link w:val="BalloonTextChar"/>
    <w:uiPriority w:val="99"/>
    <w:semiHidden/>
    <w:unhideWhenUsed/>
    <w:rsid w:val="00433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60A"/>
    <w:rPr>
      <w:rFonts w:ascii="Tahoma" w:hAnsi="Tahoma" w:cs="Tahoma"/>
      <w:sz w:val="16"/>
      <w:szCs w:val="16"/>
    </w:rPr>
  </w:style>
  <w:style w:type="character" w:customStyle="1" w:styleId="Heading1Char">
    <w:name w:val="Heading 1 Char"/>
    <w:basedOn w:val="DefaultParagraphFont"/>
    <w:link w:val="Heading1"/>
    <w:uiPriority w:val="1"/>
    <w:rsid w:val="000B1D7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0B1D72"/>
    <w:pPr>
      <w:widowControl w:val="0"/>
      <w:spacing w:after="0" w:line="240" w:lineRule="auto"/>
      <w:ind w:left="100"/>
    </w:pPr>
    <w:rPr>
      <w:rFonts w:ascii="Calibri" w:eastAsia="Calibri" w:hAnsi="Calibri"/>
      <w:lang w:val="en-US"/>
    </w:rPr>
  </w:style>
  <w:style w:type="character" w:customStyle="1" w:styleId="BodyTextChar">
    <w:name w:val="Body Text Char"/>
    <w:basedOn w:val="DefaultParagraphFont"/>
    <w:link w:val="BodyText"/>
    <w:uiPriority w:val="1"/>
    <w:rsid w:val="000B1D72"/>
    <w:rPr>
      <w:rFonts w:ascii="Calibri" w:eastAsia="Calibri" w:hAnsi="Calibri"/>
      <w:lang w:val="en-US"/>
    </w:rPr>
  </w:style>
  <w:style w:type="table" w:styleId="TableGrid">
    <w:name w:val="Table Grid"/>
    <w:basedOn w:val="TableNormal"/>
    <w:uiPriority w:val="59"/>
    <w:rsid w:val="000B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527C1"/>
    <w:rPr>
      <w:rFonts w:cs="Times New Roman"/>
      <w:color w:val="0000FF"/>
      <w:u w:val="single"/>
    </w:rPr>
  </w:style>
  <w:style w:type="character" w:styleId="Emphasis">
    <w:name w:val="Emphasis"/>
    <w:basedOn w:val="DefaultParagraphFont"/>
    <w:uiPriority w:val="99"/>
    <w:qFormat/>
    <w:rsid w:val="001527C1"/>
    <w:rPr>
      <w:rFonts w:cs="Times New Roman"/>
      <w:i/>
    </w:rPr>
  </w:style>
  <w:style w:type="table" w:styleId="MediumShading1-Accent1">
    <w:name w:val="Medium Shading 1 Accent 1"/>
    <w:basedOn w:val="TableNormal"/>
    <w:uiPriority w:val="63"/>
    <w:rsid w:val="001527C1"/>
    <w:pPr>
      <w:spacing w:after="0" w:line="240" w:lineRule="auto"/>
    </w:pPr>
    <w:rPr>
      <w:rFonts w:ascii="Arial" w:eastAsia="Calibri" w:hAnsi="Arial" w:cs="Times New Roman"/>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
    <w:name w:val="Body"/>
    <w:rsid w:val="001527C1"/>
    <w:pPr>
      <w:pBdr>
        <w:top w:val="nil"/>
        <w:left w:val="nil"/>
        <w:bottom w:val="nil"/>
        <w:right w:val="nil"/>
        <w:between w:val="nil"/>
        <w:bar w:val="nil"/>
      </w:pBdr>
    </w:pPr>
    <w:rPr>
      <w:rFonts w:ascii="Arial" w:eastAsia="Arial" w:hAnsi="Arial" w:cs="Arial"/>
      <w:color w:val="000000"/>
      <w:u w:color="000000"/>
      <w:bdr w:val="nil"/>
      <w:lang w:eastAsia="en-GB"/>
    </w:rPr>
  </w:style>
  <w:style w:type="paragraph" w:styleId="NormalWeb">
    <w:name w:val="Normal (Web)"/>
    <w:basedOn w:val="Normal"/>
    <w:uiPriority w:val="99"/>
    <w:unhideWhenUsed/>
    <w:rsid w:val="001527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96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716"/>
  </w:style>
  <w:style w:type="paragraph" w:styleId="Footer">
    <w:name w:val="footer"/>
    <w:basedOn w:val="Normal"/>
    <w:link w:val="FooterChar"/>
    <w:uiPriority w:val="99"/>
    <w:unhideWhenUsed/>
    <w:rsid w:val="00696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716"/>
  </w:style>
  <w:style w:type="character" w:styleId="CommentReference">
    <w:name w:val="annotation reference"/>
    <w:basedOn w:val="DefaultParagraphFont"/>
    <w:uiPriority w:val="99"/>
    <w:semiHidden/>
    <w:unhideWhenUsed/>
    <w:rsid w:val="000915F3"/>
    <w:rPr>
      <w:sz w:val="16"/>
      <w:szCs w:val="16"/>
    </w:rPr>
  </w:style>
  <w:style w:type="paragraph" w:styleId="CommentText">
    <w:name w:val="annotation text"/>
    <w:basedOn w:val="Normal"/>
    <w:link w:val="CommentTextChar"/>
    <w:uiPriority w:val="99"/>
    <w:unhideWhenUsed/>
    <w:rsid w:val="000915F3"/>
    <w:pPr>
      <w:spacing w:line="240" w:lineRule="auto"/>
    </w:pPr>
    <w:rPr>
      <w:sz w:val="20"/>
      <w:szCs w:val="20"/>
    </w:rPr>
  </w:style>
  <w:style w:type="character" w:customStyle="1" w:styleId="CommentTextChar">
    <w:name w:val="Comment Text Char"/>
    <w:basedOn w:val="DefaultParagraphFont"/>
    <w:link w:val="CommentText"/>
    <w:uiPriority w:val="99"/>
    <w:rsid w:val="000915F3"/>
    <w:rPr>
      <w:sz w:val="20"/>
      <w:szCs w:val="20"/>
    </w:rPr>
  </w:style>
  <w:style w:type="paragraph" w:styleId="CommentSubject">
    <w:name w:val="annotation subject"/>
    <w:basedOn w:val="CommentText"/>
    <w:next w:val="CommentText"/>
    <w:link w:val="CommentSubjectChar"/>
    <w:uiPriority w:val="99"/>
    <w:semiHidden/>
    <w:unhideWhenUsed/>
    <w:rsid w:val="000915F3"/>
    <w:rPr>
      <w:b/>
      <w:bCs/>
    </w:rPr>
  </w:style>
  <w:style w:type="character" w:customStyle="1" w:styleId="CommentSubjectChar">
    <w:name w:val="Comment Subject Char"/>
    <w:basedOn w:val="CommentTextChar"/>
    <w:link w:val="CommentSubject"/>
    <w:uiPriority w:val="99"/>
    <w:semiHidden/>
    <w:rsid w:val="000915F3"/>
    <w:rPr>
      <w:b/>
      <w:bCs/>
      <w:sz w:val="20"/>
      <w:szCs w:val="20"/>
    </w:rPr>
  </w:style>
  <w:style w:type="character" w:customStyle="1" w:styleId="Heading3Char">
    <w:name w:val="Heading 3 Char"/>
    <w:basedOn w:val="DefaultParagraphFont"/>
    <w:link w:val="Heading3"/>
    <w:uiPriority w:val="1"/>
    <w:rsid w:val="00D57B6F"/>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D57B6F"/>
    <w:pPr>
      <w:widowControl w:val="0"/>
      <w:autoSpaceDE w:val="0"/>
      <w:autoSpaceDN w:val="0"/>
      <w:spacing w:after="0" w:line="240" w:lineRule="auto"/>
    </w:pPr>
    <w:rPr>
      <w:rFonts w:ascii="Arial" w:eastAsia="Arial" w:hAnsi="Arial" w:cs="Arial"/>
    </w:rPr>
  </w:style>
  <w:style w:type="character" w:customStyle="1" w:styleId="UnresolvedMention1">
    <w:name w:val="Unresolved Mention1"/>
    <w:basedOn w:val="DefaultParagraphFont"/>
    <w:uiPriority w:val="99"/>
    <w:semiHidden/>
    <w:unhideWhenUsed/>
    <w:rsid w:val="009B6427"/>
    <w:rPr>
      <w:color w:val="605E5C"/>
      <w:shd w:val="clear" w:color="auto" w:fill="E1DFDD"/>
    </w:rPr>
  </w:style>
  <w:style w:type="numbering" w:customStyle="1" w:styleId="NoList1">
    <w:name w:val="No List1"/>
    <w:next w:val="NoList"/>
    <w:uiPriority w:val="99"/>
    <w:semiHidden/>
    <w:unhideWhenUsed/>
    <w:rsid w:val="009B6427"/>
  </w:style>
  <w:style w:type="table" w:customStyle="1" w:styleId="MediumGrid3-Accent11">
    <w:name w:val="Medium Grid 3 - Accent 11"/>
    <w:basedOn w:val="TableNormal"/>
    <w:next w:val="MediumGrid3-Accent1"/>
    <w:uiPriority w:val="69"/>
    <w:rsid w:val="009B6427"/>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2">
    <w:name w:val="No List2"/>
    <w:next w:val="NoList"/>
    <w:uiPriority w:val="99"/>
    <w:semiHidden/>
    <w:unhideWhenUsed/>
    <w:rsid w:val="009B6427"/>
  </w:style>
  <w:style w:type="table" w:customStyle="1" w:styleId="TableGrid1">
    <w:name w:val="Table Grid1"/>
    <w:basedOn w:val="TableNormal"/>
    <w:next w:val="TableGrid"/>
    <w:uiPriority w:val="39"/>
    <w:rsid w:val="009B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93A7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93A74"/>
    <w:rPr>
      <w:rFonts w:ascii="Calibri" w:hAnsi="Calibri"/>
      <w:szCs w:val="21"/>
    </w:rPr>
  </w:style>
  <w:style w:type="paragraph" w:styleId="Revision">
    <w:name w:val="Revision"/>
    <w:hidden/>
    <w:uiPriority w:val="99"/>
    <w:semiHidden/>
    <w:rsid w:val="00CC16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7062">
      <w:bodyDiv w:val="1"/>
      <w:marLeft w:val="0"/>
      <w:marRight w:val="0"/>
      <w:marTop w:val="0"/>
      <w:marBottom w:val="0"/>
      <w:divBdr>
        <w:top w:val="none" w:sz="0" w:space="0" w:color="auto"/>
        <w:left w:val="none" w:sz="0" w:space="0" w:color="auto"/>
        <w:bottom w:val="none" w:sz="0" w:space="0" w:color="auto"/>
        <w:right w:val="none" w:sz="0" w:space="0" w:color="auto"/>
      </w:divBdr>
    </w:div>
    <w:div w:id="90661340">
      <w:bodyDiv w:val="1"/>
      <w:marLeft w:val="0"/>
      <w:marRight w:val="0"/>
      <w:marTop w:val="0"/>
      <w:marBottom w:val="0"/>
      <w:divBdr>
        <w:top w:val="none" w:sz="0" w:space="0" w:color="auto"/>
        <w:left w:val="none" w:sz="0" w:space="0" w:color="auto"/>
        <w:bottom w:val="none" w:sz="0" w:space="0" w:color="auto"/>
        <w:right w:val="none" w:sz="0" w:space="0" w:color="auto"/>
      </w:divBdr>
    </w:div>
    <w:div w:id="119614321">
      <w:bodyDiv w:val="1"/>
      <w:marLeft w:val="0"/>
      <w:marRight w:val="0"/>
      <w:marTop w:val="0"/>
      <w:marBottom w:val="0"/>
      <w:divBdr>
        <w:top w:val="none" w:sz="0" w:space="0" w:color="auto"/>
        <w:left w:val="none" w:sz="0" w:space="0" w:color="auto"/>
        <w:bottom w:val="none" w:sz="0" w:space="0" w:color="auto"/>
        <w:right w:val="none" w:sz="0" w:space="0" w:color="auto"/>
      </w:divBdr>
    </w:div>
    <w:div w:id="146213671">
      <w:bodyDiv w:val="1"/>
      <w:marLeft w:val="0"/>
      <w:marRight w:val="0"/>
      <w:marTop w:val="0"/>
      <w:marBottom w:val="0"/>
      <w:divBdr>
        <w:top w:val="none" w:sz="0" w:space="0" w:color="auto"/>
        <w:left w:val="none" w:sz="0" w:space="0" w:color="auto"/>
        <w:bottom w:val="none" w:sz="0" w:space="0" w:color="auto"/>
        <w:right w:val="none" w:sz="0" w:space="0" w:color="auto"/>
      </w:divBdr>
    </w:div>
    <w:div w:id="152726769">
      <w:bodyDiv w:val="1"/>
      <w:marLeft w:val="0"/>
      <w:marRight w:val="0"/>
      <w:marTop w:val="0"/>
      <w:marBottom w:val="0"/>
      <w:divBdr>
        <w:top w:val="none" w:sz="0" w:space="0" w:color="auto"/>
        <w:left w:val="none" w:sz="0" w:space="0" w:color="auto"/>
        <w:bottom w:val="none" w:sz="0" w:space="0" w:color="auto"/>
        <w:right w:val="none" w:sz="0" w:space="0" w:color="auto"/>
      </w:divBdr>
      <w:divsChild>
        <w:div w:id="328102236">
          <w:marLeft w:val="0"/>
          <w:marRight w:val="0"/>
          <w:marTop w:val="0"/>
          <w:marBottom w:val="0"/>
          <w:divBdr>
            <w:top w:val="none" w:sz="0" w:space="0" w:color="auto"/>
            <w:left w:val="none" w:sz="0" w:space="0" w:color="auto"/>
            <w:bottom w:val="none" w:sz="0" w:space="0" w:color="auto"/>
            <w:right w:val="none" w:sz="0" w:space="0" w:color="auto"/>
          </w:divBdr>
          <w:divsChild>
            <w:div w:id="5948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3860">
      <w:bodyDiv w:val="1"/>
      <w:marLeft w:val="0"/>
      <w:marRight w:val="0"/>
      <w:marTop w:val="0"/>
      <w:marBottom w:val="0"/>
      <w:divBdr>
        <w:top w:val="none" w:sz="0" w:space="0" w:color="auto"/>
        <w:left w:val="none" w:sz="0" w:space="0" w:color="auto"/>
        <w:bottom w:val="none" w:sz="0" w:space="0" w:color="auto"/>
        <w:right w:val="none" w:sz="0" w:space="0" w:color="auto"/>
      </w:divBdr>
    </w:div>
    <w:div w:id="367686910">
      <w:bodyDiv w:val="1"/>
      <w:marLeft w:val="0"/>
      <w:marRight w:val="0"/>
      <w:marTop w:val="0"/>
      <w:marBottom w:val="0"/>
      <w:divBdr>
        <w:top w:val="none" w:sz="0" w:space="0" w:color="auto"/>
        <w:left w:val="none" w:sz="0" w:space="0" w:color="auto"/>
        <w:bottom w:val="none" w:sz="0" w:space="0" w:color="auto"/>
        <w:right w:val="none" w:sz="0" w:space="0" w:color="auto"/>
      </w:divBdr>
    </w:div>
    <w:div w:id="524904725">
      <w:bodyDiv w:val="1"/>
      <w:marLeft w:val="0"/>
      <w:marRight w:val="0"/>
      <w:marTop w:val="0"/>
      <w:marBottom w:val="0"/>
      <w:divBdr>
        <w:top w:val="none" w:sz="0" w:space="0" w:color="auto"/>
        <w:left w:val="none" w:sz="0" w:space="0" w:color="auto"/>
        <w:bottom w:val="none" w:sz="0" w:space="0" w:color="auto"/>
        <w:right w:val="none" w:sz="0" w:space="0" w:color="auto"/>
      </w:divBdr>
    </w:div>
    <w:div w:id="807666064">
      <w:bodyDiv w:val="1"/>
      <w:marLeft w:val="0"/>
      <w:marRight w:val="0"/>
      <w:marTop w:val="0"/>
      <w:marBottom w:val="0"/>
      <w:divBdr>
        <w:top w:val="none" w:sz="0" w:space="0" w:color="auto"/>
        <w:left w:val="none" w:sz="0" w:space="0" w:color="auto"/>
        <w:bottom w:val="none" w:sz="0" w:space="0" w:color="auto"/>
        <w:right w:val="none" w:sz="0" w:space="0" w:color="auto"/>
      </w:divBdr>
    </w:div>
    <w:div w:id="839656451">
      <w:bodyDiv w:val="1"/>
      <w:marLeft w:val="0"/>
      <w:marRight w:val="0"/>
      <w:marTop w:val="0"/>
      <w:marBottom w:val="0"/>
      <w:divBdr>
        <w:top w:val="none" w:sz="0" w:space="0" w:color="auto"/>
        <w:left w:val="none" w:sz="0" w:space="0" w:color="auto"/>
        <w:bottom w:val="none" w:sz="0" w:space="0" w:color="auto"/>
        <w:right w:val="none" w:sz="0" w:space="0" w:color="auto"/>
      </w:divBdr>
    </w:div>
    <w:div w:id="916868149">
      <w:bodyDiv w:val="1"/>
      <w:marLeft w:val="0"/>
      <w:marRight w:val="0"/>
      <w:marTop w:val="0"/>
      <w:marBottom w:val="0"/>
      <w:divBdr>
        <w:top w:val="none" w:sz="0" w:space="0" w:color="auto"/>
        <w:left w:val="none" w:sz="0" w:space="0" w:color="auto"/>
        <w:bottom w:val="none" w:sz="0" w:space="0" w:color="auto"/>
        <w:right w:val="none" w:sz="0" w:space="0" w:color="auto"/>
      </w:divBdr>
    </w:div>
    <w:div w:id="1150755690">
      <w:bodyDiv w:val="1"/>
      <w:marLeft w:val="0"/>
      <w:marRight w:val="0"/>
      <w:marTop w:val="0"/>
      <w:marBottom w:val="0"/>
      <w:divBdr>
        <w:top w:val="none" w:sz="0" w:space="0" w:color="auto"/>
        <w:left w:val="none" w:sz="0" w:space="0" w:color="auto"/>
        <w:bottom w:val="none" w:sz="0" w:space="0" w:color="auto"/>
        <w:right w:val="none" w:sz="0" w:space="0" w:color="auto"/>
      </w:divBdr>
    </w:div>
    <w:div w:id="1273052448">
      <w:bodyDiv w:val="1"/>
      <w:marLeft w:val="0"/>
      <w:marRight w:val="0"/>
      <w:marTop w:val="0"/>
      <w:marBottom w:val="0"/>
      <w:divBdr>
        <w:top w:val="none" w:sz="0" w:space="0" w:color="auto"/>
        <w:left w:val="none" w:sz="0" w:space="0" w:color="auto"/>
        <w:bottom w:val="none" w:sz="0" w:space="0" w:color="auto"/>
        <w:right w:val="none" w:sz="0" w:space="0" w:color="auto"/>
      </w:divBdr>
    </w:div>
    <w:div w:id="1297836696">
      <w:bodyDiv w:val="1"/>
      <w:marLeft w:val="0"/>
      <w:marRight w:val="0"/>
      <w:marTop w:val="0"/>
      <w:marBottom w:val="0"/>
      <w:divBdr>
        <w:top w:val="none" w:sz="0" w:space="0" w:color="auto"/>
        <w:left w:val="none" w:sz="0" w:space="0" w:color="auto"/>
        <w:bottom w:val="none" w:sz="0" w:space="0" w:color="auto"/>
        <w:right w:val="none" w:sz="0" w:space="0" w:color="auto"/>
      </w:divBdr>
    </w:div>
    <w:div w:id="1395853250">
      <w:bodyDiv w:val="1"/>
      <w:marLeft w:val="0"/>
      <w:marRight w:val="0"/>
      <w:marTop w:val="0"/>
      <w:marBottom w:val="0"/>
      <w:divBdr>
        <w:top w:val="none" w:sz="0" w:space="0" w:color="auto"/>
        <w:left w:val="none" w:sz="0" w:space="0" w:color="auto"/>
        <w:bottom w:val="none" w:sz="0" w:space="0" w:color="auto"/>
        <w:right w:val="none" w:sz="0" w:space="0" w:color="auto"/>
      </w:divBdr>
    </w:div>
    <w:div w:id="1594776438">
      <w:bodyDiv w:val="1"/>
      <w:marLeft w:val="0"/>
      <w:marRight w:val="0"/>
      <w:marTop w:val="0"/>
      <w:marBottom w:val="0"/>
      <w:divBdr>
        <w:top w:val="none" w:sz="0" w:space="0" w:color="auto"/>
        <w:left w:val="none" w:sz="0" w:space="0" w:color="auto"/>
        <w:bottom w:val="none" w:sz="0" w:space="0" w:color="auto"/>
        <w:right w:val="none" w:sz="0" w:space="0" w:color="auto"/>
      </w:divBdr>
    </w:div>
    <w:div w:id="1631352567">
      <w:bodyDiv w:val="1"/>
      <w:marLeft w:val="0"/>
      <w:marRight w:val="0"/>
      <w:marTop w:val="0"/>
      <w:marBottom w:val="0"/>
      <w:divBdr>
        <w:top w:val="none" w:sz="0" w:space="0" w:color="auto"/>
        <w:left w:val="none" w:sz="0" w:space="0" w:color="auto"/>
        <w:bottom w:val="none" w:sz="0" w:space="0" w:color="auto"/>
        <w:right w:val="none" w:sz="0" w:space="0" w:color="auto"/>
      </w:divBdr>
    </w:div>
    <w:div w:id="1704553962">
      <w:bodyDiv w:val="1"/>
      <w:marLeft w:val="0"/>
      <w:marRight w:val="0"/>
      <w:marTop w:val="0"/>
      <w:marBottom w:val="0"/>
      <w:divBdr>
        <w:top w:val="none" w:sz="0" w:space="0" w:color="auto"/>
        <w:left w:val="none" w:sz="0" w:space="0" w:color="auto"/>
        <w:bottom w:val="none" w:sz="0" w:space="0" w:color="auto"/>
        <w:right w:val="none" w:sz="0" w:space="0" w:color="auto"/>
      </w:divBdr>
    </w:div>
    <w:div w:id="1758600437">
      <w:bodyDiv w:val="1"/>
      <w:marLeft w:val="0"/>
      <w:marRight w:val="0"/>
      <w:marTop w:val="0"/>
      <w:marBottom w:val="0"/>
      <w:divBdr>
        <w:top w:val="none" w:sz="0" w:space="0" w:color="auto"/>
        <w:left w:val="none" w:sz="0" w:space="0" w:color="auto"/>
        <w:bottom w:val="none" w:sz="0" w:space="0" w:color="auto"/>
        <w:right w:val="none" w:sz="0" w:space="0" w:color="auto"/>
      </w:divBdr>
    </w:div>
    <w:div w:id="1882355293">
      <w:bodyDiv w:val="1"/>
      <w:marLeft w:val="0"/>
      <w:marRight w:val="0"/>
      <w:marTop w:val="0"/>
      <w:marBottom w:val="0"/>
      <w:divBdr>
        <w:top w:val="none" w:sz="0" w:space="0" w:color="auto"/>
        <w:left w:val="none" w:sz="0" w:space="0" w:color="auto"/>
        <w:bottom w:val="none" w:sz="0" w:space="0" w:color="auto"/>
        <w:right w:val="none" w:sz="0" w:space="0" w:color="auto"/>
      </w:divBdr>
    </w:div>
    <w:div w:id="1938441418">
      <w:bodyDiv w:val="1"/>
      <w:marLeft w:val="0"/>
      <w:marRight w:val="0"/>
      <w:marTop w:val="0"/>
      <w:marBottom w:val="0"/>
      <w:divBdr>
        <w:top w:val="none" w:sz="0" w:space="0" w:color="auto"/>
        <w:left w:val="none" w:sz="0" w:space="0" w:color="auto"/>
        <w:bottom w:val="none" w:sz="0" w:space="0" w:color="auto"/>
        <w:right w:val="none" w:sz="0" w:space="0" w:color="auto"/>
      </w:divBdr>
    </w:div>
    <w:div w:id="1947544868">
      <w:bodyDiv w:val="1"/>
      <w:marLeft w:val="0"/>
      <w:marRight w:val="0"/>
      <w:marTop w:val="0"/>
      <w:marBottom w:val="0"/>
      <w:divBdr>
        <w:top w:val="none" w:sz="0" w:space="0" w:color="auto"/>
        <w:left w:val="none" w:sz="0" w:space="0" w:color="auto"/>
        <w:bottom w:val="none" w:sz="0" w:space="0" w:color="auto"/>
        <w:right w:val="none" w:sz="0" w:space="0" w:color="auto"/>
      </w:divBdr>
    </w:div>
    <w:div w:id="1955600526">
      <w:bodyDiv w:val="1"/>
      <w:marLeft w:val="0"/>
      <w:marRight w:val="0"/>
      <w:marTop w:val="0"/>
      <w:marBottom w:val="0"/>
      <w:divBdr>
        <w:top w:val="none" w:sz="0" w:space="0" w:color="auto"/>
        <w:left w:val="none" w:sz="0" w:space="0" w:color="auto"/>
        <w:bottom w:val="none" w:sz="0" w:space="0" w:color="auto"/>
        <w:right w:val="none" w:sz="0" w:space="0" w:color="auto"/>
      </w:divBdr>
    </w:div>
    <w:div w:id="2038770839">
      <w:bodyDiv w:val="1"/>
      <w:marLeft w:val="0"/>
      <w:marRight w:val="0"/>
      <w:marTop w:val="0"/>
      <w:marBottom w:val="0"/>
      <w:divBdr>
        <w:top w:val="none" w:sz="0" w:space="0" w:color="auto"/>
        <w:left w:val="none" w:sz="0" w:space="0" w:color="auto"/>
        <w:bottom w:val="none" w:sz="0" w:space="0" w:color="auto"/>
        <w:right w:val="none" w:sz="0" w:space="0" w:color="auto"/>
      </w:divBdr>
    </w:div>
    <w:div w:id="2070691835">
      <w:bodyDiv w:val="1"/>
      <w:marLeft w:val="0"/>
      <w:marRight w:val="0"/>
      <w:marTop w:val="0"/>
      <w:marBottom w:val="0"/>
      <w:divBdr>
        <w:top w:val="none" w:sz="0" w:space="0" w:color="auto"/>
        <w:left w:val="none" w:sz="0" w:space="0" w:color="auto"/>
        <w:bottom w:val="none" w:sz="0" w:space="0" w:color="auto"/>
        <w:right w:val="none" w:sz="0" w:space="0" w:color="auto"/>
      </w:divBdr>
    </w:div>
    <w:div w:id="2077119804">
      <w:bodyDiv w:val="1"/>
      <w:marLeft w:val="0"/>
      <w:marRight w:val="0"/>
      <w:marTop w:val="0"/>
      <w:marBottom w:val="0"/>
      <w:divBdr>
        <w:top w:val="none" w:sz="0" w:space="0" w:color="auto"/>
        <w:left w:val="none" w:sz="0" w:space="0" w:color="auto"/>
        <w:bottom w:val="none" w:sz="0" w:space="0" w:color="auto"/>
        <w:right w:val="none" w:sz="0" w:space="0" w:color="auto"/>
      </w:divBdr>
    </w:div>
    <w:div w:id="2114131289">
      <w:bodyDiv w:val="1"/>
      <w:marLeft w:val="0"/>
      <w:marRight w:val="0"/>
      <w:marTop w:val="0"/>
      <w:marBottom w:val="0"/>
      <w:divBdr>
        <w:top w:val="none" w:sz="0" w:space="0" w:color="auto"/>
        <w:left w:val="none" w:sz="0" w:space="0" w:color="auto"/>
        <w:bottom w:val="none" w:sz="0" w:space="0" w:color="auto"/>
        <w:right w:val="none" w:sz="0" w:space="0" w:color="auto"/>
      </w:divBdr>
    </w:div>
    <w:div w:id="2130510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D1F0E-C4ED-4537-AA74-9E410305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4705</Words>
  <Characters>26823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NHFT</Company>
  <LinksUpToDate>false</LinksUpToDate>
  <CharactersWithSpaces>31466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Martin</dc:creator>
  <cp:keywords/>
  <dc:description/>
  <cp:lastModifiedBy>HEMSLEY, Amanda (LEICESTERSHIRE PARTNERSHIP NHS TRUST)</cp:lastModifiedBy>
  <cp:revision>2</cp:revision>
  <dcterms:created xsi:type="dcterms:W3CDTF">2022-07-12T15:48:00Z</dcterms:created>
  <dcterms:modified xsi:type="dcterms:W3CDTF">2022-07-12T15:48:00Z</dcterms:modified>
</cp:coreProperties>
</file>