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62EC" w14:textId="77777777" w:rsidR="001D7B29" w:rsidRDefault="00016DFC" w:rsidP="008013B6">
      <w:pPr>
        <w:rPr>
          <w:b/>
          <w:color w:val="4F81BD" w:themeColor="accent1"/>
          <w:sz w:val="30"/>
        </w:rPr>
      </w:pPr>
      <w:r w:rsidRPr="00153EAD">
        <w:rPr>
          <w:rFonts w:ascii="Arial" w:hAnsi="Arial" w:cs="Arial"/>
          <w:noProof/>
          <w:szCs w:val="24"/>
          <w:lang w:eastAsia="en-GB"/>
        </w:rPr>
        <w:drawing>
          <wp:anchor distT="0" distB="0" distL="114300" distR="114300" simplePos="0" relativeHeight="251461632" behindDoc="0" locked="0" layoutInCell="1" allowOverlap="1" wp14:anchorId="3DFF126F" wp14:editId="7D73057C">
            <wp:simplePos x="0" y="0"/>
            <wp:positionH relativeFrom="column">
              <wp:posOffset>4269740</wp:posOffset>
            </wp:positionH>
            <wp:positionV relativeFrom="paragraph">
              <wp:posOffset>-187960</wp:posOffset>
            </wp:positionV>
            <wp:extent cx="2409190" cy="715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265" t="17215" r="8093" b="33543"/>
                    <a:stretch>
                      <a:fillRect/>
                    </a:stretch>
                  </pic:blipFill>
                  <pic:spPr bwMode="auto">
                    <a:xfrm>
                      <a:off x="0" y="0"/>
                      <a:ext cx="240919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9EAAE" w14:textId="77777777" w:rsidR="001D7B29" w:rsidRDefault="001D7B29" w:rsidP="008013B6">
      <w:pPr>
        <w:rPr>
          <w:b/>
          <w:color w:val="4F81BD" w:themeColor="accent1"/>
          <w:sz w:val="30"/>
        </w:rPr>
      </w:pPr>
    </w:p>
    <w:p w14:paraId="45ECD1D4" w14:textId="49EFB563" w:rsidR="0043360A" w:rsidRPr="00127224" w:rsidRDefault="00414BBF" w:rsidP="005F5260">
      <w:pPr>
        <w:ind w:right="687"/>
        <w:rPr>
          <w:b/>
          <w:color w:val="4F81BD" w:themeColor="accent1"/>
          <w:sz w:val="30"/>
        </w:rPr>
      </w:pPr>
      <w:r>
        <w:rPr>
          <w:b/>
          <w:color w:val="4F81BD" w:themeColor="accent1"/>
          <w:sz w:val="30"/>
        </w:rPr>
        <w:t xml:space="preserve">Public </w:t>
      </w:r>
      <w:r w:rsidR="001D7B29">
        <w:rPr>
          <w:b/>
          <w:color w:val="4F81BD" w:themeColor="accent1"/>
          <w:sz w:val="30"/>
        </w:rPr>
        <w:t>Trust Board</w:t>
      </w:r>
      <w:r w:rsidR="0043360A" w:rsidRPr="00127224">
        <w:rPr>
          <w:b/>
          <w:color w:val="4F81BD" w:themeColor="accent1"/>
          <w:sz w:val="30"/>
        </w:rPr>
        <w:t xml:space="preserve"> </w:t>
      </w:r>
      <w:r w:rsidR="005C2928" w:rsidRPr="00127224">
        <w:rPr>
          <w:b/>
          <w:color w:val="4F81BD" w:themeColor="accent1"/>
          <w:sz w:val="30"/>
        </w:rPr>
        <w:t xml:space="preserve">– </w:t>
      </w:r>
      <w:r w:rsidR="00E24AF9">
        <w:rPr>
          <w:b/>
          <w:color w:val="4F81BD" w:themeColor="accent1"/>
          <w:sz w:val="30"/>
        </w:rPr>
        <w:t>July</w:t>
      </w:r>
      <w:r w:rsidR="00B876A1">
        <w:rPr>
          <w:b/>
          <w:color w:val="4F81BD" w:themeColor="accent1"/>
          <w:sz w:val="30"/>
        </w:rPr>
        <w:t xml:space="preserve"> 2023</w:t>
      </w:r>
    </w:p>
    <w:p w14:paraId="293A89D5" w14:textId="77777777" w:rsidR="0043360A" w:rsidRDefault="003762AB" w:rsidP="005F5260">
      <w:pPr>
        <w:ind w:right="687"/>
        <w:rPr>
          <w:b/>
          <w:color w:val="4F81BD" w:themeColor="accent1"/>
          <w:sz w:val="30"/>
        </w:rPr>
      </w:pPr>
      <w:r>
        <w:rPr>
          <w:b/>
          <w:color w:val="4F81BD" w:themeColor="accent1"/>
          <w:sz w:val="30"/>
        </w:rPr>
        <w:t xml:space="preserve">Infection Prevention and Control </w:t>
      </w:r>
      <w:r w:rsidR="000915F3">
        <w:rPr>
          <w:b/>
          <w:color w:val="4F81BD" w:themeColor="accent1"/>
          <w:sz w:val="30"/>
        </w:rPr>
        <w:t>Six</w:t>
      </w:r>
      <w:r>
        <w:rPr>
          <w:b/>
          <w:color w:val="4F81BD" w:themeColor="accent1"/>
          <w:sz w:val="30"/>
        </w:rPr>
        <w:t xml:space="preserve">-Monthly </w:t>
      </w:r>
      <w:r w:rsidR="0043360A" w:rsidRPr="00127224">
        <w:rPr>
          <w:b/>
          <w:color w:val="4F81BD" w:themeColor="accent1"/>
          <w:sz w:val="30"/>
        </w:rPr>
        <w:t xml:space="preserve">Report </w:t>
      </w:r>
      <w:r>
        <w:rPr>
          <w:b/>
          <w:color w:val="4F81BD" w:themeColor="accent1"/>
          <w:sz w:val="30"/>
        </w:rPr>
        <w:t>to Trust Board</w:t>
      </w:r>
    </w:p>
    <w:p w14:paraId="45C685B9" w14:textId="77777777" w:rsidR="008511D6" w:rsidRPr="000E645A" w:rsidRDefault="008511D6" w:rsidP="005F5260">
      <w:pPr>
        <w:ind w:right="687"/>
        <w:rPr>
          <w:b/>
          <w:color w:val="4F81BD" w:themeColor="accent1"/>
          <w:sz w:val="28"/>
          <w:szCs w:val="28"/>
        </w:rPr>
      </w:pPr>
      <w:r w:rsidRPr="000E645A">
        <w:rPr>
          <w:b/>
          <w:color w:val="4F81BD" w:themeColor="accent1"/>
          <w:sz w:val="28"/>
          <w:szCs w:val="28"/>
        </w:rPr>
        <w:t>Introduction</w:t>
      </w:r>
    </w:p>
    <w:p w14:paraId="78EB2ED2" w14:textId="4F98A7A5" w:rsidR="00557593" w:rsidRPr="00C246D7" w:rsidRDefault="003762AB" w:rsidP="00C246D7">
      <w:pPr>
        <w:spacing w:after="120"/>
        <w:ind w:right="686"/>
        <w:rPr>
          <w:noProof/>
          <w:color w:val="000000"/>
          <w:sz w:val="24"/>
          <w:szCs w:val="24"/>
        </w:rPr>
      </w:pPr>
      <w:r w:rsidRPr="006B6E62">
        <w:rPr>
          <w:noProof/>
          <w:color w:val="000000"/>
          <w:sz w:val="24"/>
          <w:szCs w:val="24"/>
        </w:rPr>
        <w:t xml:space="preserve">This six monthly report provides assurance from the Director of Infection Prevention and Control (DIPaC) that the trust has a robust, effective and proactive </w:t>
      </w:r>
      <w:r w:rsidR="000915F3" w:rsidRPr="006B6E62">
        <w:rPr>
          <w:noProof/>
          <w:color w:val="000000"/>
          <w:sz w:val="24"/>
          <w:szCs w:val="24"/>
        </w:rPr>
        <w:t>I</w:t>
      </w:r>
      <w:r w:rsidRPr="006B6E62">
        <w:rPr>
          <w:noProof/>
          <w:color w:val="000000"/>
          <w:sz w:val="24"/>
          <w:szCs w:val="24"/>
        </w:rPr>
        <w:t xml:space="preserve">nfection </w:t>
      </w:r>
      <w:r w:rsidR="000915F3" w:rsidRPr="006B6E62">
        <w:rPr>
          <w:noProof/>
          <w:color w:val="000000"/>
          <w:sz w:val="24"/>
          <w:szCs w:val="24"/>
        </w:rPr>
        <w:t>P</w:t>
      </w:r>
      <w:r w:rsidRPr="006B6E62">
        <w:rPr>
          <w:noProof/>
          <w:color w:val="000000"/>
          <w:sz w:val="24"/>
          <w:szCs w:val="24"/>
        </w:rPr>
        <w:t xml:space="preserve">revention and </w:t>
      </w:r>
      <w:r w:rsidR="000915F3" w:rsidRPr="006B6E62">
        <w:rPr>
          <w:noProof/>
          <w:color w:val="000000"/>
          <w:sz w:val="24"/>
          <w:szCs w:val="24"/>
        </w:rPr>
        <w:t>C</w:t>
      </w:r>
      <w:r w:rsidRPr="006B6E62">
        <w:rPr>
          <w:noProof/>
          <w:color w:val="000000"/>
          <w:sz w:val="24"/>
          <w:szCs w:val="24"/>
        </w:rPr>
        <w:t xml:space="preserve">ontrol </w:t>
      </w:r>
      <w:r w:rsidR="000915F3" w:rsidRPr="006B6E62">
        <w:rPr>
          <w:noProof/>
          <w:color w:val="000000"/>
          <w:sz w:val="24"/>
          <w:szCs w:val="24"/>
        </w:rPr>
        <w:t xml:space="preserve">(IPC) </w:t>
      </w:r>
      <w:r w:rsidRPr="006B6E62">
        <w:rPr>
          <w:noProof/>
          <w:color w:val="000000"/>
          <w:sz w:val="24"/>
          <w:szCs w:val="24"/>
        </w:rPr>
        <w:t xml:space="preserve">strategy and work programme in place, that demonstrates compliance with the Health and Social Care Act 2008 (updated July 2015) also referred to as the Hygiene Code. </w:t>
      </w:r>
    </w:p>
    <w:p w14:paraId="19EB6488" w14:textId="35BEEF32" w:rsidR="005C2928" w:rsidRPr="005C2928" w:rsidRDefault="005C2928" w:rsidP="005C2928">
      <w:pPr>
        <w:ind w:right="687"/>
        <w:rPr>
          <w:b/>
          <w:color w:val="4F81BD" w:themeColor="accent1"/>
          <w:sz w:val="28"/>
          <w:szCs w:val="28"/>
        </w:rPr>
      </w:pPr>
      <w:r>
        <w:rPr>
          <w:b/>
          <w:color w:val="4F81BD" w:themeColor="accent1"/>
          <w:sz w:val="28"/>
          <w:szCs w:val="28"/>
        </w:rPr>
        <w:t>Background</w:t>
      </w:r>
    </w:p>
    <w:p w14:paraId="12099968" w14:textId="5A2004DA" w:rsidR="00FF6B00" w:rsidRDefault="003762AB" w:rsidP="008511D6">
      <w:pPr>
        <w:spacing w:after="120"/>
        <w:ind w:right="687"/>
        <w:rPr>
          <w:noProof/>
          <w:color w:val="000000"/>
          <w:sz w:val="24"/>
          <w:szCs w:val="24"/>
        </w:rPr>
      </w:pPr>
      <w:r w:rsidRPr="006B6E62">
        <w:rPr>
          <w:noProof/>
          <w:color w:val="000000"/>
          <w:sz w:val="24"/>
          <w:szCs w:val="24"/>
        </w:rPr>
        <w:t>The Infection Prevention and Control (IP</w:t>
      </w:r>
      <w:r w:rsidR="001F69F3" w:rsidRPr="006B6E62">
        <w:rPr>
          <w:noProof/>
          <w:color w:val="000000"/>
          <w:sz w:val="24"/>
          <w:szCs w:val="24"/>
        </w:rPr>
        <w:t xml:space="preserve">C) team currently </w:t>
      </w:r>
      <w:r w:rsidR="007344B6">
        <w:rPr>
          <w:noProof/>
          <w:color w:val="000000"/>
          <w:sz w:val="24"/>
          <w:szCs w:val="24"/>
        </w:rPr>
        <w:t>has</w:t>
      </w:r>
      <w:r w:rsidR="001F69F3" w:rsidRPr="006B6E62">
        <w:rPr>
          <w:noProof/>
          <w:color w:val="000000"/>
          <w:sz w:val="24"/>
          <w:szCs w:val="24"/>
        </w:rPr>
        <w:t xml:space="preserve"> </w:t>
      </w:r>
      <w:r w:rsidR="004C0F60">
        <w:rPr>
          <w:noProof/>
          <w:color w:val="000000"/>
          <w:sz w:val="24"/>
          <w:szCs w:val="24"/>
        </w:rPr>
        <w:t>5.1</w:t>
      </w:r>
      <w:r w:rsidRPr="006B6E62">
        <w:rPr>
          <w:noProof/>
          <w:color w:val="000000"/>
          <w:sz w:val="24"/>
          <w:szCs w:val="24"/>
        </w:rPr>
        <w:t xml:space="preserve"> W</w:t>
      </w:r>
      <w:r w:rsidR="007344B6">
        <w:rPr>
          <w:noProof/>
          <w:color w:val="000000"/>
          <w:sz w:val="24"/>
          <w:szCs w:val="24"/>
        </w:rPr>
        <w:t xml:space="preserve">hole </w:t>
      </w:r>
      <w:r w:rsidRPr="006B6E62">
        <w:rPr>
          <w:noProof/>
          <w:color w:val="000000"/>
          <w:sz w:val="24"/>
          <w:szCs w:val="24"/>
        </w:rPr>
        <w:t>T</w:t>
      </w:r>
      <w:r w:rsidR="007344B6">
        <w:rPr>
          <w:noProof/>
          <w:color w:val="000000"/>
          <w:sz w:val="24"/>
          <w:szCs w:val="24"/>
        </w:rPr>
        <w:t xml:space="preserve">ime </w:t>
      </w:r>
      <w:r w:rsidRPr="006B6E62">
        <w:rPr>
          <w:noProof/>
          <w:color w:val="000000"/>
          <w:sz w:val="24"/>
          <w:szCs w:val="24"/>
        </w:rPr>
        <w:t>E</w:t>
      </w:r>
      <w:r w:rsidR="007344B6">
        <w:rPr>
          <w:noProof/>
          <w:color w:val="000000"/>
          <w:sz w:val="24"/>
          <w:szCs w:val="24"/>
        </w:rPr>
        <w:t>quivalent (WTE)</w:t>
      </w:r>
      <w:r w:rsidRPr="006B6E62">
        <w:rPr>
          <w:noProof/>
          <w:color w:val="000000"/>
          <w:sz w:val="24"/>
          <w:szCs w:val="24"/>
        </w:rPr>
        <w:t xml:space="preserve"> Infection Prevention and Control Nurses</w:t>
      </w:r>
      <w:r w:rsidR="004A1E8F">
        <w:rPr>
          <w:noProof/>
          <w:color w:val="000000"/>
          <w:sz w:val="24"/>
          <w:szCs w:val="24"/>
        </w:rPr>
        <w:t xml:space="preserve"> and 1 WTE IPC administrator.  The team is </w:t>
      </w:r>
      <w:r w:rsidRPr="006B6E62">
        <w:rPr>
          <w:noProof/>
          <w:color w:val="000000"/>
          <w:sz w:val="24"/>
          <w:szCs w:val="24"/>
        </w:rPr>
        <w:t>supported and managed by the</w:t>
      </w:r>
      <w:r w:rsidR="00A477F8">
        <w:rPr>
          <w:noProof/>
          <w:color w:val="000000"/>
          <w:sz w:val="24"/>
          <w:szCs w:val="24"/>
        </w:rPr>
        <w:t xml:space="preserve"> Deputy</w:t>
      </w:r>
      <w:r w:rsidRPr="006B6E62">
        <w:rPr>
          <w:noProof/>
          <w:color w:val="000000"/>
          <w:sz w:val="24"/>
          <w:szCs w:val="24"/>
        </w:rPr>
        <w:t xml:space="preserve"> Director of Nursing and </w:t>
      </w:r>
      <w:r w:rsidR="007344B6">
        <w:rPr>
          <w:noProof/>
          <w:color w:val="000000"/>
          <w:sz w:val="24"/>
          <w:szCs w:val="24"/>
        </w:rPr>
        <w:t>Quality</w:t>
      </w:r>
      <w:r w:rsidR="008511D6" w:rsidRPr="006B6E62">
        <w:rPr>
          <w:noProof/>
          <w:color w:val="000000"/>
          <w:sz w:val="24"/>
          <w:szCs w:val="24"/>
        </w:rPr>
        <w:t>/Deputy Director of Infection Prevention and Control (DDIPaC)</w:t>
      </w:r>
      <w:r w:rsidRPr="006B6E62">
        <w:rPr>
          <w:noProof/>
          <w:color w:val="000000"/>
          <w:sz w:val="24"/>
          <w:szCs w:val="24"/>
        </w:rPr>
        <w:t xml:space="preserve">. </w:t>
      </w:r>
    </w:p>
    <w:p w14:paraId="09322FAE" w14:textId="77777777" w:rsidR="00445FE3" w:rsidRDefault="00605C2B" w:rsidP="008511D6">
      <w:pPr>
        <w:spacing w:after="120"/>
        <w:ind w:right="687"/>
        <w:rPr>
          <w:sz w:val="24"/>
          <w:szCs w:val="24"/>
        </w:rPr>
      </w:pPr>
      <w:r w:rsidRPr="000915F3">
        <w:rPr>
          <w:sz w:val="24"/>
          <w:szCs w:val="24"/>
        </w:rPr>
        <w:t xml:space="preserve">The Infection Prevention and Control Board Assurance Framework (BAF) </w:t>
      </w:r>
      <w:r w:rsidR="004A1E8F">
        <w:rPr>
          <w:sz w:val="24"/>
          <w:szCs w:val="24"/>
        </w:rPr>
        <w:t>has been updated</w:t>
      </w:r>
      <w:r w:rsidR="00604023">
        <w:rPr>
          <w:sz w:val="24"/>
          <w:szCs w:val="24"/>
        </w:rPr>
        <w:t xml:space="preserve"> by NHS</w:t>
      </w:r>
      <w:r w:rsidR="00A434A8">
        <w:rPr>
          <w:sz w:val="24"/>
          <w:szCs w:val="24"/>
        </w:rPr>
        <w:t xml:space="preserve"> </w:t>
      </w:r>
      <w:r w:rsidR="00604023">
        <w:rPr>
          <w:sz w:val="24"/>
          <w:szCs w:val="24"/>
        </w:rPr>
        <w:t>E</w:t>
      </w:r>
      <w:r w:rsidR="00A434A8">
        <w:rPr>
          <w:sz w:val="24"/>
          <w:szCs w:val="24"/>
        </w:rPr>
        <w:t>ngland (NHSE)</w:t>
      </w:r>
      <w:r w:rsidR="00271EBD">
        <w:rPr>
          <w:sz w:val="24"/>
          <w:szCs w:val="24"/>
        </w:rPr>
        <w:t xml:space="preserve"> </w:t>
      </w:r>
      <w:r w:rsidR="00483787">
        <w:rPr>
          <w:sz w:val="24"/>
          <w:szCs w:val="24"/>
        </w:rPr>
        <w:t xml:space="preserve">in September of this year.  This document is intended to support the organisation in responding in an evidence-based way to maintain the safety of patients, service users and staff.  </w:t>
      </w:r>
    </w:p>
    <w:p w14:paraId="06BD615F" w14:textId="1134C92C" w:rsidR="00483787" w:rsidRDefault="00604023" w:rsidP="008511D6">
      <w:pPr>
        <w:spacing w:after="120"/>
        <w:ind w:right="687"/>
        <w:rPr>
          <w:sz w:val="24"/>
          <w:szCs w:val="24"/>
        </w:rPr>
      </w:pPr>
      <w:r>
        <w:rPr>
          <w:sz w:val="24"/>
          <w:szCs w:val="24"/>
        </w:rPr>
        <w:t xml:space="preserve">Whilst the </w:t>
      </w:r>
      <w:r w:rsidR="00A434A8">
        <w:rPr>
          <w:sz w:val="24"/>
          <w:szCs w:val="24"/>
        </w:rPr>
        <w:t>United Kingdom Health Security Agency (</w:t>
      </w:r>
      <w:r>
        <w:rPr>
          <w:sz w:val="24"/>
          <w:szCs w:val="24"/>
        </w:rPr>
        <w:t>U</w:t>
      </w:r>
      <w:r w:rsidR="00483787">
        <w:rPr>
          <w:sz w:val="24"/>
          <w:szCs w:val="24"/>
        </w:rPr>
        <w:t>KHSA</w:t>
      </w:r>
      <w:r w:rsidR="00A434A8">
        <w:rPr>
          <w:sz w:val="24"/>
          <w:szCs w:val="24"/>
        </w:rPr>
        <w:t>)</w:t>
      </w:r>
      <w:r w:rsidR="00483787">
        <w:rPr>
          <w:sz w:val="24"/>
          <w:szCs w:val="24"/>
        </w:rPr>
        <w:t xml:space="preserve"> guidance for the application of measures of Infection Prevention and Control in response to the SARS-CoV-2 pandemic was archived at the end of April 2022</w:t>
      </w:r>
      <w:r>
        <w:rPr>
          <w:sz w:val="24"/>
          <w:szCs w:val="24"/>
        </w:rPr>
        <w:t>,</w:t>
      </w:r>
      <w:r w:rsidR="00483787">
        <w:rPr>
          <w:sz w:val="24"/>
          <w:szCs w:val="24"/>
        </w:rPr>
        <w:t xml:space="preserve"> </w:t>
      </w:r>
      <w:r>
        <w:rPr>
          <w:sz w:val="24"/>
          <w:szCs w:val="24"/>
        </w:rPr>
        <w:t>t</w:t>
      </w:r>
      <w:r w:rsidR="00832FED">
        <w:rPr>
          <w:sz w:val="24"/>
          <w:szCs w:val="24"/>
        </w:rPr>
        <w:t>he intention is that the BAF combined with the National Infection Prevention and Control Manual for England (April 2022) will support the trust to develop, review and support internal assurances.</w:t>
      </w:r>
      <w:r>
        <w:rPr>
          <w:sz w:val="24"/>
          <w:szCs w:val="24"/>
        </w:rPr>
        <w:t xml:space="preserve"> </w:t>
      </w:r>
    </w:p>
    <w:p w14:paraId="0E581427" w14:textId="77777777" w:rsidR="0043360A" w:rsidRDefault="0043360A" w:rsidP="008511D6">
      <w:pPr>
        <w:spacing w:after="120"/>
        <w:ind w:right="687"/>
        <w:rPr>
          <w:b/>
          <w:color w:val="4F81BD" w:themeColor="accent1"/>
          <w:sz w:val="28"/>
        </w:rPr>
      </w:pPr>
      <w:r w:rsidRPr="00E2366B">
        <w:rPr>
          <w:b/>
          <w:color w:val="4F81BD" w:themeColor="accent1"/>
          <w:sz w:val="28"/>
        </w:rPr>
        <w:t>Purpose of the report</w:t>
      </w:r>
    </w:p>
    <w:p w14:paraId="6409C65A" w14:textId="77777777" w:rsidR="003762AB" w:rsidRDefault="003762AB" w:rsidP="008511D6">
      <w:pPr>
        <w:spacing w:after="120"/>
        <w:ind w:right="687"/>
        <w:rPr>
          <w:rFonts w:eastAsia="Arial"/>
          <w:bCs/>
          <w:sz w:val="24"/>
          <w:szCs w:val="24"/>
        </w:rPr>
      </w:pPr>
      <w:r w:rsidRPr="006B6E62">
        <w:rPr>
          <w:sz w:val="24"/>
          <w:szCs w:val="24"/>
        </w:rPr>
        <w:t>The aim of this report is to provide the Trust Board with assurance there is</w:t>
      </w:r>
      <w:r w:rsidRPr="006B6E62">
        <w:rPr>
          <w:noProof/>
          <w:color w:val="000000"/>
          <w:sz w:val="24"/>
          <w:szCs w:val="24"/>
        </w:rPr>
        <w:t xml:space="preserve"> a robust, effective and proactive infection prevention and control programme in place, that demonstrates compliance with</w:t>
      </w:r>
      <w:r w:rsidRPr="000915F3">
        <w:rPr>
          <w:noProof/>
          <w:color w:val="000000"/>
          <w:sz w:val="24"/>
          <w:szCs w:val="24"/>
        </w:rPr>
        <w:t xml:space="preserve"> the Health and Social Care Act 2008 (updated July 2015) and to assure the board</w:t>
      </w:r>
      <w:r w:rsidRPr="000915F3">
        <w:rPr>
          <w:rFonts w:eastAsia="Arial"/>
          <w:bCs/>
          <w:sz w:val="24"/>
          <w:szCs w:val="24"/>
        </w:rPr>
        <w:t xml:space="preserve"> that all IPC measures taken are in line with government COVID-19 IPC guidance.</w:t>
      </w:r>
    </w:p>
    <w:p w14:paraId="1B1CDC85" w14:textId="238C9787" w:rsidR="00123925" w:rsidRPr="00556F55" w:rsidRDefault="00556F55" w:rsidP="00453DD1">
      <w:pPr>
        <w:spacing w:after="120"/>
        <w:rPr>
          <w:bCs/>
          <w:sz w:val="24"/>
          <w:szCs w:val="24"/>
        </w:rPr>
      </w:pPr>
      <w:r>
        <w:rPr>
          <w:bCs/>
          <w:sz w:val="24"/>
          <w:szCs w:val="24"/>
        </w:rPr>
        <w:t>Publication of a further Board Assurance Framework (BAF’s)  in April 2023 replaces the previous BAF’s which centred predominantly around Covid-19 and IPC.  The most recent publication is in line with the National Infection Prevention and Control Manual (updated April 2023) and contains 160 Key Lines of Enquiry (KLOE’s).  A meeting was held with representatives from all directorate and enabling services where the BAF is reflective of the service.  The meeting identified the actions required and the assurances required to meet the KLOE’s.  The compliance with the BAF will be reported through the bi-monthly IPC assurance group to outline progression and any barriers.</w:t>
      </w:r>
    </w:p>
    <w:p w14:paraId="7C4FAE80" w14:textId="311656D5" w:rsidR="00556F55" w:rsidRDefault="00556F55" w:rsidP="00453DD1">
      <w:pPr>
        <w:spacing w:after="120"/>
        <w:rPr>
          <w:b/>
          <w:color w:val="4F81BD" w:themeColor="accent1"/>
          <w:sz w:val="28"/>
          <w:szCs w:val="28"/>
        </w:rPr>
      </w:pPr>
    </w:p>
    <w:p w14:paraId="410DE58C" w14:textId="77777777" w:rsidR="001B571B" w:rsidRDefault="001B571B" w:rsidP="00453DD1">
      <w:pPr>
        <w:spacing w:after="120"/>
        <w:rPr>
          <w:b/>
          <w:color w:val="4F81BD" w:themeColor="accent1"/>
          <w:sz w:val="28"/>
          <w:szCs w:val="28"/>
        </w:rPr>
      </w:pPr>
    </w:p>
    <w:p w14:paraId="5B3B0292" w14:textId="77777777" w:rsidR="00991BD3" w:rsidRDefault="008511D6" w:rsidP="00991BD3">
      <w:pPr>
        <w:spacing w:after="120"/>
        <w:rPr>
          <w:b/>
          <w:color w:val="4F81BD" w:themeColor="accent1"/>
          <w:sz w:val="28"/>
          <w:szCs w:val="28"/>
        </w:rPr>
      </w:pPr>
      <w:r w:rsidRPr="000E645A">
        <w:rPr>
          <w:b/>
          <w:color w:val="4F81BD" w:themeColor="accent1"/>
          <w:sz w:val="28"/>
          <w:szCs w:val="28"/>
        </w:rPr>
        <w:lastRenderedPageBreak/>
        <w:t>Analysis of the issue</w:t>
      </w:r>
    </w:p>
    <w:p w14:paraId="67FEBA0C" w14:textId="77777777" w:rsidR="009D4573" w:rsidRPr="009D4573" w:rsidRDefault="009D4573" w:rsidP="009D4573">
      <w:pPr>
        <w:spacing w:after="120"/>
        <w:rPr>
          <w:rFonts w:cstheme="minorHAnsi"/>
          <w:sz w:val="24"/>
          <w:szCs w:val="24"/>
        </w:rPr>
      </w:pPr>
      <w:bookmarkStart w:id="0" w:name="_Hlk139618703"/>
      <w:r w:rsidRPr="009D4573">
        <w:rPr>
          <w:rFonts w:cstheme="minorHAnsi"/>
          <w:b/>
          <w:bCs/>
          <w:sz w:val="24"/>
          <w:szCs w:val="24"/>
        </w:rPr>
        <w:t>1.0</w:t>
      </w:r>
      <w:r w:rsidRPr="009D4573">
        <w:rPr>
          <w:rFonts w:cstheme="minorHAnsi"/>
          <w:b/>
          <w:bCs/>
          <w:sz w:val="28"/>
          <w:szCs w:val="28"/>
        </w:rPr>
        <w:t xml:space="preserve">       </w:t>
      </w:r>
      <w:r w:rsidRPr="009D4573">
        <w:rPr>
          <w:rFonts w:cstheme="minorHAnsi"/>
          <w:b/>
          <w:bCs/>
          <w:sz w:val="24"/>
          <w:szCs w:val="24"/>
        </w:rPr>
        <w:t>COVID-19 pandemic</w:t>
      </w:r>
    </w:p>
    <w:p w14:paraId="5086ED68" w14:textId="2FD5987E" w:rsidR="001B571B" w:rsidRDefault="00F10CA2" w:rsidP="00F10CA2">
      <w:pPr>
        <w:pStyle w:val="Default"/>
        <w:spacing w:after="120" w:line="276" w:lineRule="auto"/>
        <w:ind w:left="720" w:hanging="720"/>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1B571B" w:rsidRPr="001B571B">
        <w:rPr>
          <w:rFonts w:asciiTheme="minorHAnsi" w:hAnsiTheme="minorHAnsi" w:cstheme="minorHAnsi"/>
        </w:rPr>
        <w:t>With an increase of COVID-19 and Influenza during the autumn into winter 2022/23 there have been a number of recent guidance publications.</w:t>
      </w:r>
      <w:r>
        <w:rPr>
          <w:rFonts w:asciiTheme="minorHAnsi" w:hAnsiTheme="minorHAnsi" w:cstheme="minorHAnsi"/>
        </w:rPr>
        <w:t xml:space="preserve"> Appendix 1 maps the number of COVID-19 cases with the updates in IPC guidance and response/changes to practice since April 2022.</w:t>
      </w:r>
    </w:p>
    <w:p w14:paraId="323444CA" w14:textId="5067F3E9" w:rsidR="009D4573" w:rsidRPr="009D4573" w:rsidRDefault="001B571B" w:rsidP="009D4573">
      <w:pPr>
        <w:pStyle w:val="NormalWeb"/>
        <w:spacing w:before="0" w:beforeAutospacing="0" w:after="120" w:afterAutospacing="0" w:line="276" w:lineRule="auto"/>
        <w:ind w:left="720" w:hanging="720"/>
        <w:rPr>
          <w:rFonts w:asciiTheme="minorHAnsi" w:hAnsiTheme="minorHAnsi" w:cstheme="minorHAnsi"/>
          <w:sz w:val="22"/>
          <w:szCs w:val="22"/>
        </w:rPr>
      </w:pPr>
      <w:r>
        <w:rPr>
          <w:rFonts w:asciiTheme="minorHAnsi" w:hAnsiTheme="minorHAnsi" w:cstheme="minorHAnsi"/>
        </w:rPr>
        <w:t>1.2</w:t>
      </w:r>
      <w:r>
        <w:rPr>
          <w:rFonts w:asciiTheme="minorHAnsi" w:hAnsiTheme="minorHAnsi" w:cstheme="minorHAnsi"/>
        </w:rPr>
        <w:tab/>
      </w:r>
      <w:r w:rsidR="009D4573" w:rsidRPr="009D4573">
        <w:rPr>
          <w:rFonts w:asciiTheme="minorHAnsi" w:hAnsiTheme="minorHAnsi" w:cstheme="minorHAnsi"/>
        </w:rPr>
        <w:t>Between 1</w:t>
      </w:r>
      <w:r w:rsidR="009D4573" w:rsidRPr="009D4573">
        <w:rPr>
          <w:rFonts w:asciiTheme="minorHAnsi" w:hAnsiTheme="minorHAnsi" w:cstheme="minorHAnsi"/>
          <w:vertAlign w:val="superscript"/>
        </w:rPr>
        <w:t>st</w:t>
      </w:r>
      <w:r w:rsidR="009D4573" w:rsidRPr="009D4573">
        <w:rPr>
          <w:rFonts w:asciiTheme="minorHAnsi" w:hAnsiTheme="minorHAnsi" w:cstheme="minorHAnsi"/>
        </w:rPr>
        <w:t xml:space="preserve"> January 2023 and 31</w:t>
      </w:r>
      <w:r w:rsidR="009D4573" w:rsidRPr="009D4573">
        <w:rPr>
          <w:rFonts w:asciiTheme="minorHAnsi" w:hAnsiTheme="minorHAnsi" w:cstheme="minorHAnsi"/>
          <w:vertAlign w:val="superscript"/>
        </w:rPr>
        <w:t>st</w:t>
      </w:r>
      <w:r w:rsidR="009D4573" w:rsidRPr="009D4573">
        <w:rPr>
          <w:rFonts w:asciiTheme="minorHAnsi" w:hAnsiTheme="minorHAnsi" w:cstheme="minorHAnsi"/>
        </w:rPr>
        <w:t xml:space="preserve"> May 2023, LPT recorded 24 COVID -19 outbreaks, including incidents that occurred in non-</w:t>
      </w:r>
      <w:r w:rsidR="009D4573" w:rsidRPr="009D4573">
        <w:rPr>
          <w:rFonts w:asciiTheme="minorHAnsi" w:hAnsiTheme="minorHAnsi" w:cstheme="minorHAnsi"/>
          <w:spacing w:val="1"/>
        </w:rPr>
        <w:t xml:space="preserve"> </w:t>
      </w:r>
      <w:r w:rsidR="009D4573" w:rsidRPr="009D4573">
        <w:rPr>
          <w:rFonts w:asciiTheme="minorHAnsi" w:hAnsiTheme="minorHAnsi" w:cstheme="minorHAnsi"/>
        </w:rPr>
        <w:t>clinical areas affecting staff only. 17 of the outbreaks occurred in Community Health Services and 6 occurred in Directorates of Mental Health, Families and Young People and Learning Disabilities Services. 1 was a staff only outbreak at Bridge Park Plaza.</w:t>
      </w:r>
    </w:p>
    <w:p w14:paraId="1A3FB87A" w14:textId="40351230" w:rsidR="009D4573" w:rsidRPr="009D4573" w:rsidRDefault="009D4573" w:rsidP="009D4573">
      <w:pPr>
        <w:pStyle w:val="BodyText"/>
        <w:ind w:left="0" w:right="393"/>
        <w:jc w:val="both"/>
        <w:rPr>
          <w:rFonts w:asciiTheme="minorHAnsi" w:hAnsiTheme="minorHAnsi" w:cstheme="minorHAnsi"/>
          <w:sz w:val="24"/>
          <w:szCs w:val="24"/>
          <w:u w:val="single"/>
        </w:rPr>
      </w:pPr>
      <w:r w:rsidRPr="009D4573">
        <w:rPr>
          <w:rFonts w:asciiTheme="minorHAnsi" w:hAnsiTheme="minorHAnsi" w:cstheme="minorHAnsi"/>
          <w:sz w:val="24"/>
          <w:szCs w:val="24"/>
        </w:rPr>
        <w:t>1.</w:t>
      </w:r>
      <w:r w:rsidR="00F10CA2">
        <w:rPr>
          <w:rFonts w:asciiTheme="minorHAnsi" w:hAnsiTheme="minorHAnsi" w:cstheme="minorHAnsi"/>
          <w:sz w:val="24"/>
          <w:szCs w:val="24"/>
        </w:rPr>
        <w:t>3</w:t>
      </w:r>
      <w:r w:rsidRPr="009D4573">
        <w:rPr>
          <w:rFonts w:asciiTheme="minorHAnsi" w:hAnsiTheme="minorHAnsi" w:cstheme="minorHAnsi"/>
          <w:sz w:val="24"/>
          <w:szCs w:val="24"/>
        </w:rPr>
        <w:t xml:space="preserve">        </w:t>
      </w:r>
      <w:r w:rsidRPr="009D4573">
        <w:rPr>
          <w:rFonts w:asciiTheme="minorHAnsi" w:hAnsiTheme="minorHAnsi" w:cstheme="minorHAnsi"/>
          <w:sz w:val="24"/>
          <w:szCs w:val="24"/>
          <w:u w:val="single"/>
        </w:rPr>
        <w:t>COVID-19 figures from 1</w:t>
      </w:r>
      <w:r w:rsidRPr="009D4573">
        <w:rPr>
          <w:rFonts w:asciiTheme="minorHAnsi" w:hAnsiTheme="minorHAnsi" w:cstheme="minorHAnsi"/>
          <w:sz w:val="24"/>
          <w:szCs w:val="24"/>
          <w:u w:val="single"/>
          <w:vertAlign w:val="superscript"/>
        </w:rPr>
        <w:t>st</w:t>
      </w:r>
      <w:r w:rsidRPr="009D4573">
        <w:rPr>
          <w:rFonts w:asciiTheme="minorHAnsi" w:hAnsiTheme="minorHAnsi" w:cstheme="minorHAnsi"/>
          <w:sz w:val="24"/>
          <w:szCs w:val="24"/>
          <w:u w:val="single"/>
        </w:rPr>
        <w:t xml:space="preserve"> January 2023 – 31 May 2023:</w:t>
      </w:r>
    </w:p>
    <w:p w14:paraId="1994D18D" w14:textId="77777777" w:rsidR="009D4573" w:rsidRPr="009D4573" w:rsidRDefault="009D4573" w:rsidP="009D4573">
      <w:pPr>
        <w:pStyle w:val="BodyText"/>
        <w:ind w:right="393"/>
        <w:rPr>
          <w:rFonts w:asciiTheme="minorHAnsi" w:hAnsiTheme="minorHAnsi" w:cstheme="minorHAnsi"/>
          <w:sz w:val="24"/>
          <w:szCs w:val="24"/>
          <w:u w:val="single"/>
        </w:rPr>
      </w:pPr>
    </w:p>
    <w:p w14:paraId="7D37CEA8" w14:textId="1D21212E" w:rsidR="009D4573" w:rsidRPr="009D4573" w:rsidRDefault="009D4573" w:rsidP="009D4573">
      <w:pPr>
        <w:pStyle w:val="BodyText"/>
        <w:ind w:left="720" w:right="393"/>
        <w:rPr>
          <w:rFonts w:asciiTheme="minorHAnsi" w:hAnsiTheme="minorHAnsi" w:cstheme="minorHAnsi"/>
          <w:sz w:val="24"/>
          <w:szCs w:val="24"/>
        </w:rPr>
      </w:pPr>
      <w:r w:rsidRPr="009D4573">
        <w:rPr>
          <w:rFonts w:asciiTheme="minorHAnsi" w:hAnsiTheme="minorHAnsi" w:cstheme="minorHAnsi"/>
          <w:sz w:val="24"/>
          <w:szCs w:val="24"/>
        </w:rPr>
        <w:t xml:space="preserve">Total number of COVID-19 patient cases </w:t>
      </w:r>
      <w:r w:rsidR="00556F55" w:rsidRPr="009D4573">
        <w:rPr>
          <w:rFonts w:asciiTheme="minorHAnsi" w:hAnsiTheme="minorHAnsi" w:cstheme="minorHAnsi"/>
          <w:sz w:val="24"/>
          <w:szCs w:val="24"/>
        </w:rPr>
        <w:t>= 191</w:t>
      </w:r>
    </w:p>
    <w:p w14:paraId="61000B53" w14:textId="77777777" w:rsidR="009D4573" w:rsidRPr="009D4573" w:rsidRDefault="009D4573" w:rsidP="009D4573">
      <w:pPr>
        <w:pStyle w:val="BodyText"/>
        <w:ind w:left="720" w:right="393"/>
        <w:rPr>
          <w:rFonts w:asciiTheme="minorHAnsi" w:hAnsiTheme="minorHAnsi" w:cstheme="minorHAnsi"/>
          <w:sz w:val="24"/>
          <w:szCs w:val="24"/>
        </w:rPr>
      </w:pPr>
    </w:p>
    <w:p w14:paraId="59BF5893" w14:textId="77777777" w:rsidR="009D4573" w:rsidRPr="009D4573" w:rsidRDefault="009D4573" w:rsidP="009D4573">
      <w:pPr>
        <w:pStyle w:val="BodyText"/>
        <w:widowControl/>
        <w:numPr>
          <w:ilvl w:val="0"/>
          <w:numId w:val="15"/>
        </w:numPr>
        <w:ind w:right="393"/>
        <w:rPr>
          <w:rFonts w:asciiTheme="minorHAnsi" w:eastAsia="Times New Roman" w:hAnsiTheme="minorHAnsi" w:cstheme="minorHAnsi"/>
          <w:sz w:val="24"/>
          <w:szCs w:val="24"/>
        </w:rPr>
      </w:pPr>
      <w:r w:rsidRPr="009D4573">
        <w:rPr>
          <w:rFonts w:asciiTheme="minorHAnsi" w:eastAsia="Times New Roman" w:hAnsiTheme="minorHAnsi" w:cstheme="minorHAnsi"/>
          <w:sz w:val="24"/>
          <w:szCs w:val="24"/>
        </w:rPr>
        <w:t>Total number of COVID-19 cases 0-2 days = 15</w:t>
      </w:r>
    </w:p>
    <w:p w14:paraId="1CB5EF0C" w14:textId="77777777" w:rsidR="009D4573" w:rsidRPr="009D4573" w:rsidRDefault="009D4573" w:rsidP="009D4573">
      <w:pPr>
        <w:pStyle w:val="BodyText"/>
        <w:widowControl/>
        <w:numPr>
          <w:ilvl w:val="0"/>
          <w:numId w:val="15"/>
        </w:numPr>
        <w:autoSpaceDE w:val="0"/>
        <w:autoSpaceDN w:val="0"/>
        <w:ind w:right="393"/>
        <w:rPr>
          <w:rFonts w:asciiTheme="minorHAnsi" w:eastAsia="Times New Roman" w:hAnsiTheme="minorHAnsi" w:cstheme="minorHAnsi"/>
          <w:sz w:val="24"/>
          <w:szCs w:val="24"/>
        </w:rPr>
      </w:pPr>
      <w:r w:rsidRPr="009D4573">
        <w:rPr>
          <w:rFonts w:asciiTheme="minorHAnsi" w:eastAsia="Times New Roman" w:hAnsiTheme="minorHAnsi" w:cstheme="minorHAnsi"/>
          <w:sz w:val="24"/>
          <w:szCs w:val="24"/>
        </w:rPr>
        <w:t>Total number of COVID-19 cases 3-7 days = 54</w:t>
      </w:r>
    </w:p>
    <w:p w14:paraId="0AA06B91" w14:textId="77777777" w:rsidR="009D4573" w:rsidRPr="009D4573" w:rsidRDefault="009D4573" w:rsidP="009D4573">
      <w:pPr>
        <w:pStyle w:val="BodyText"/>
        <w:widowControl/>
        <w:numPr>
          <w:ilvl w:val="0"/>
          <w:numId w:val="15"/>
        </w:numPr>
        <w:autoSpaceDE w:val="0"/>
        <w:autoSpaceDN w:val="0"/>
        <w:ind w:right="393"/>
        <w:rPr>
          <w:rFonts w:asciiTheme="minorHAnsi" w:eastAsia="Times New Roman" w:hAnsiTheme="minorHAnsi" w:cstheme="minorHAnsi"/>
          <w:sz w:val="24"/>
          <w:szCs w:val="24"/>
        </w:rPr>
      </w:pPr>
      <w:r w:rsidRPr="009D4573">
        <w:rPr>
          <w:rFonts w:asciiTheme="minorHAnsi" w:eastAsia="Times New Roman" w:hAnsiTheme="minorHAnsi" w:cstheme="minorHAnsi"/>
          <w:sz w:val="24"/>
          <w:szCs w:val="24"/>
        </w:rPr>
        <w:t>Total number of COVID-19 probable nosocomial cases = 41</w:t>
      </w:r>
    </w:p>
    <w:p w14:paraId="474B42BD" w14:textId="77777777" w:rsidR="009D4573" w:rsidRPr="009D4573" w:rsidRDefault="009D4573" w:rsidP="009D4573">
      <w:pPr>
        <w:pStyle w:val="BodyText"/>
        <w:widowControl/>
        <w:numPr>
          <w:ilvl w:val="0"/>
          <w:numId w:val="15"/>
        </w:numPr>
        <w:autoSpaceDE w:val="0"/>
        <w:autoSpaceDN w:val="0"/>
        <w:ind w:right="393"/>
        <w:rPr>
          <w:rFonts w:asciiTheme="minorHAnsi" w:eastAsia="Times New Roman" w:hAnsiTheme="minorHAnsi" w:cstheme="minorHAnsi"/>
          <w:sz w:val="24"/>
          <w:szCs w:val="24"/>
        </w:rPr>
      </w:pPr>
      <w:r w:rsidRPr="009D4573">
        <w:rPr>
          <w:rFonts w:asciiTheme="minorHAnsi" w:eastAsia="Times New Roman" w:hAnsiTheme="minorHAnsi" w:cstheme="minorHAnsi"/>
          <w:sz w:val="24"/>
          <w:szCs w:val="24"/>
        </w:rPr>
        <w:t>Total number of COVID-19 definite nosocomial cases = 81</w:t>
      </w:r>
    </w:p>
    <w:p w14:paraId="2D4C14D1" w14:textId="77777777" w:rsidR="009D4573" w:rsidRPr="009D4573" w:rsidRDefault="009D4573" w:rsidP="009D4573">
      <w:pPr>
        <w:pStyle w:val="BodyText"/>
        <w:ind w:left="0" w:right="393"/>
        <w:rPr>
          <w:rFonts w:asciiTheme="minorHAnsi" w:eastAsiaTheme="minorHAnsi" w:hAnsiTheme="minorHAnsi" w:cstheme="minorHAnsi"/>
          <w:sz w:val="24"/>
          <w:szCs w:val="24"/>
        </w:rPr>
      </w:pPr>
    </w:p>
    <w:p w14:paraId="5AC76CB1" w14:textId="7201EA6F" w:rsidR="009D4573" w:rsidRPr="009D4573" w:rsidRDefault="009D4573" w:rsidP="009D4573">
      <w:pPr>
        <w:pStyle w:val="BodyText"/>
        <w:ind w:left="720" w:right="393" w:hanging="720"/>
        <w:rPr>
          <w:rFonts w:asciiTheme="minorHAnsi" w:hAnsiTheme="minorHAnsi" w:cstheme="minorHAnsi"/>
          <w:sz w:val="24"/>
          <w:szCs w:val="24"/>
        </w:rPr>
      </w:pPr>
      <w:r w:rsidRPr="009D4573">
        <w:rPr>
          <w:rFonts w:asciiTheme="minorHAnsi" w:hAnsiTheme="minorHAnsi" w:cstheme="minorHAnsi"/>
          <w:sz w:val="24"/>
          <w:szCs w:val="24"/>
        </w:rPr>
        <w:t>1.</w:t>
      </w:r>
      <w:r w:rsidR="00F10CA2">
        <w:rPr>
          <w:rFonts w:asciiTheme="minorHAnsi" w:hAnsiTheme="minorHAnsi" w:cstheme="minorHAnsi"/>
          <w:sz w:val="24"/>
          <w:szCs w:val="24"/>
        </w:rPr>
        <w:t>4</w:t>
      </w:r>
      <w:r w:rsidRPr="009D4573">
        <w:rPr>
          <w:rFonts w:asciiTheme="minorHAnsi" w:hAnsiTheme="minorHAnsi" w:cstheme="minorHAnsi"/>
          <w:sz w:val="24"/>
          <w:szCs w:val="24"/>
        </w:rPr>
        <w:t>      36% of the COVID-19 cases were attributed to community onset, picked up by screening. The remaining 64% cases are nosocomial healthcare acquired. Reviews of each case have identified learning in line with the regional picture. Discussions with NHSE advise that some areas have increased numbers, but that benchmarking with other trusts is not advised due to a number of variables.</w:t>
      </w:r>
    </w:p>
    <w:p w14:paraId="4C3CEBE7" w14:textId="77777777" w:rsidR="00991BD3" w:rsidRPr="00991BD3" w:rsidRDefault="00991BD3" w:rsidP="00991BD3">
      <w:pPr>
        <w:pStyle w:val="BodyText"/>
        <w:ind w:left="720" w:right="393" w:hanging="620"/>
        <w:rPr>
          <w:b/>
          <w:sz w:val="24"/>
          <w:szCs w:val="24"/>
        </w:rPr>
      </w:pPr>
    </w:p>
    <w:bookmarkEnd w:id="0"/>
    <w:p w14:paraId="14CE20C6" w14:textId="5E30C0FE" w:rsidR="00677F05" w:rsidRPr="000915F3" w:rsidRDefault="003F1C91" w:rsidP="002038FA">
      <w:pPr>
        <w:spacing w:after="120"/>
        <w:ind w:left="720" w:hanging="720"/>
        <w:rPr>
          <w:sz w:val="24"/>
          <w:szCs w:val="24"/>
        </w:rPr>
      </w:pPr>
      <w:r>
        <w:rPr>
          <w:sz w:val="24"/>
          <w:szCs w:val="24"/>
        </w:rPr>
        <w:t>1</w:t>
      </w:r>
      <w:r w:rsidR="001527C1" w:rsidRPr="000915F3">
        <w:rPr>
          <w:sz w:val="24"/>
          <w:szCs w:val="24"/>
        </w:rPr>
        <w:t>.</w:t>
      </w:r>
      <w:r w:rsidR="00F10CA2">
        <w:rPr>
          <w:sz w:val="24"/>
          <w:szCs w:val="24"/>
        </w:rPr>
        <w:t>5</w:t>
      </w:r>
      <w:r w:rsidR="001527C1" w:rsidRPr="000915F3">
        <w:rPr>
          <w:sz w:val="24"/>
          <w:szCs w:val="24"/>
        </w:rPr>
        <w:tab/>
      </w:r>
      <w:r w:rsidR="00677F05" w:rsidRPr="000915F3">
        <w:rPr>
          <w:sz w:val="24"/>
          <w:szCs w:val="24"/>
        </w:rPr>
        <w:t>The C</w:t>
      </w:r>
      <w:r w:rsidR="00C4637D">
        <w:rPr>
          <w:sz w:val="24"/>
          <w:szCs w:val="24"/>
        </w:rPr>
        <w:t>OVID</w:t>
      </w:r>
      <w:r w:rsidR="00502B09">
        <w:rPr>
          <w:sz w:val="24"/>
          <w:szCs w:val="24"/>
        </w:rPr>
        <w:t>-19</w:t>
      </w:r>
      <w:r w:rsidR="00677F05" w:rsidRPr="000915F3">
        <w:rPr>
          <w:sz w:val="24"/>
          <w:szCs w:val="24"/>
        </w:rPr>
        <w:t xml:space="preserve"> pandemic </w:t>
      </w:r>
      <w:r w:rsidR="008119AC">
        <w:rPr>
          <w:sz w:val="24"/>
          <w:szCs w:val="24"/>
        </w:rPr>
        <w:t xml:space="preserve">continues to be flagged at </w:t>
      </w:r>
      <w:r w:rsidR="00DE343D">
        <w:rPr>
          <w:sz w:val="24"/>
          <w:szCs w:val="24"/>
        </w:rPr>
        <w:t xml:space="preserve">level 2, </w:t>
      </w:r>
      <w:r w:rsidR="00AB305A">
        <w:rPr>
          <w:sz w:val="24"/>
          <w:szCs w:val="24"/>
        </w:rPr>
        <w:t xml:space="preserve">COVID-19 is in general </w:t>
      </w:r>
      <w:r w:rsidR="00874E15">
        <w:rPr>
          <w:sz w:val="24"/>
          <w:szCs w:val="24"/>
        </w:rPr>
        <w:t>circulation,</w:t>
      </w:r>
      <w:r w:rsidR="00AB305A">
        <w:rPr>
          <w:sz w:val="24"/>
          <w:szCs w:val="24"/>
        </w:rPr>
        <w:t xml:space="preserve"> but direct COVID-19 healthcare pressures and transmission are declining</w:t>
      </w:r>
      <w:r w:rsidR="00B17ECE">
        <w:rPr>
          <w:sz w:val="24"/>
          <w:szCs w:val="24"/>
        </w:rPr>
        <w:t xml:space="preserve">. </w:t>
      </w:r>
    </w:p>
    <w:p w14:paraId="7ACC3BCB" w14:textId="3FF66DD1" w:rsidR="00A477F8" w:rsidRDefault="00B6500F" w:rsidP="00C846E6">
      <w:pPr>
        <w:pStyle w:val="NormalWeb"/>
        <w:spacing w:before="0" w:beforeAutospacing="0" w:after="120" w:afterAutospacing="0" w:line="276" w:lineRule="auto"/>
        <w:ind w:left="720" w:hanging="720"/>
        <w:rPr>
          <w:rFonts w:asciiTheme="minorHAnsi" w:hAnsiTheme="minorHAnsi" w:cstheme="minorHAnsi"/>
        </w:rPr>
      </w:pPr>
      <w:bookmarkStart w:id="1" w:name="_Hlk89436979"/>
      <w:r>
        <w:rPr>
          <w:rFonts w:asciiTheme="minorHAnsi" w:hAnsiTheme="minorHAnsi" w:cstheme="minorHAnsi"/>
        </w:rPr>
        <w:t>1.</w:t>
      </w:r>
      <w:r w:rsidR="00F10CA2">
        <w:rPr>
          <w:rFonts w:asciiTheme="minorHAnsi" w:hAnsiTheme="minorHAnsi" w:cstheme="minorHAnsi"/>
        </w:rPr>
        <w:t>6</w:t>
      </w:r>
      <w:r w:rsidR="00E07CBE" w:rsidRPr="00E07CBE">
        <w:rPr>
          <w:rFonts w:asciiTheme="minorHAnsi" w:hAnsiTheme="minorHAnsi" w:cstheme="minorHAnsi"/>
        </w:rPr>
        <w:tab/>
      </w:r>
      <w:bookmarkStart w:id="2" w:name="_Hlk124254827"/>
      <w:r w:rsidR="00C846E6">
        <w:rPr>
          <w:rFonts w:asciiTheme="minorHAnsi" w:hAnsiTheme="minorHAnsi" w:cstheme="minorHAnsi"/>
        </w:rPr>
        <w:t>A review of all patients within LPT whose death was associated with C</w:t>
      </w:r>
      <w:r w:rsidR="001634C5">
        <w:rPr>
          <w:rFonts w:asciiTheme="minorHAnsi" w:hAnsiTheme="minorHAnsi" w:cstheme="minorHAnsi"/>
        </w:rPr>
        <w:t>OVID</w:t>
      </w:r>
      <w:r w:rsidR="00C846E6">
        <w:rPr>
          <w:rFonts w:asciiTheme="minorHAnsi" w:hAnsiTheme="minorHAnsi" w:cstheme="minorHAnsi"/>
        </w:rPr>
        <w:t xml:space="preserve">-19 </w:t>
      </w:r>
      <w:r w:rsidR="00E36778">
        <w:rPr>
          <w:rFonts w:asciiTheme="minorHAnsi" w:hAnsiTheme="minorHAnsi" w:cstheme="minorHAnsi"/>
        </w:rPr>
        <w:t>is still undertaken.</w:t>
      </w:r>
      <w:r w:rsidR="00C846E6">
        <w:rPr>
          <w:rFonts w:asciiTheme="minorHAnsi" w:hAnsiTheme="minorHAnsi" w:cstheme="minorHAnsi"/>
        </w:rPr>
        <w:t xml:space="preserve">  </w:t>
      </w:r>
    </w:p>
    <w:p w14:paraId="2200BFAE" w14:textId="0113D5D2" w:rsidR="00991BD3" w:rsidRPr="00C246D7" w:rsidRDefault="009D4573" w:rsidP="00C246D7">
      <w:pPr>
        <w:pStyle w:val="NormalWeb"/>
        <w:spacing w:before="0" w:beforeAutospacing="0" w:after="120" w:afterAutospacing="0" w:line="276" w:lineRule="auto"/>
        <w:ind w:left="720" w:hanging="720"/>
        <w:rPr>
          <w:rFonts w:asciiTheme="minorHAnsi" w:hAnsiTheme="minorHAnsi" w:cstheme="minorHAnsi"/>
        </w:rPr>
      </w:pPr>
      <w:r>
        <w:rPr>
          <w:rFonts w:asciiTheme="minorHAnsi" w:hAnsiTheme="minorHAnsi" w:cstheme="minorHAnsi"/>
        </w:rPr>
        <w:t>1.</w:t>
      </w:r>
      <w:r w:rsidR="00F10CA2">
        <w:rPr>
          <w:rFonts w:asciiTheme="minorHAnsi" w:hAnsiTheme="minorHAnsi" w:cstheme="minorHAnsi"/>
        </w:rPr>
        <w:t>7</w:t>
      </w:r>
      <w:r>
        <w:rPr>
          <w:rFonts w:asciiTheme="minorHAnsi" w:hAnsiTheme="minorHAnsi" w:cstheme="minorHAnsi"/>
        </w:rPr>
        <w:tab/>
        <w:t xml:space="preserve">The use of Personal Protective Equipment is in line with the National Infection Prevention and Control Manual 2023. </w:t>
      </w:r>
      <w:bookmarkEnd w:id="1"/>
      <w:bookmarkEnd w:id="2"/>
    </w:p>
    <w:p w14:paraId="2CE44DC5" w14:textId="354E32BE" w:rsidR="00B6500F" w:rsidRDefault="00B6500F" w:rsidP="00F10CA2">
      <w:pPr>
        <w:pStyle w:val="Default"/>
        <w:numPr>
          <w:ilvl w:val="1"/>
          <w:numId w:val="28"/>
        </w:numPr>
        <w:spacing w:after="120" w:line="276" w:lineRule="auto"/>
        <w:rPr>
          <w:rFonts w:asciiTheme="minorHAnsi" w:hAnsiTheme="minorHAnsi"/>
          <w:b/>
          <w:color w:val="auto"/>
        </w:rPr>
      </w:pPr>
      <w:bookmarkStart w:id="3" w:name="_Hlk108086106"/>
      <w:r w:rsidRPr="00524AF2">
        <w:rPr>
          <w:rFonts w:asciiTheme="minorHAnsi" w:hAnsiTheme="minorHAnsi"/>
          <w:b/>
          <w:color w:val="auto"/>
        </w:rPr>
        <w:t>Decontamination</w:t>
      </w:r>
    </w:p>
    <w:p w14:paraId="3C215DDE" w14:textId="77777777" w:rsidR="00F10CA2" w:rsidRDefault="00F10CA2" w:rsidP="00F10CA2">
      <w:pPr>
        <w:pStyle w:val="Default"/>
        <w:spacing w:after="120" w:line="276" w:lineRule="auto"/>
        <w:ind w:left="720" w:hanging="720"/>
        <w:rPr>
          <w:rFonts w:asciiTheme="minorHAnsi" w:hAnsiTheme="minorHAnsi"/>
          <w:bCs/>
          <w:color w:val="auto"/>
        </w:rPr>
      </w:pPr>
      <w:r>
        <w:rPr>
          <w:rFonts w:asciiTheme="minorHAnsi" w:hAnsiTheme="minorHAnsi"/>
          <w:bCs/>
          <w:color w:val="auto"/>
        </w:rPr>
        <w:t>2.1</w:t>
      </w:r>
      <w:r>
        <w:rPr>
          <w:rFonts w:asciiTheme="minorHAnsi" w:hAnsiTheme="minorHAnsi"/>
          <w:bCs/>
          <w:color w:val="auto"/>
        </w:rPr>
        <w:tab/>
      </w:r>
      <w:r w:rsidR="00E11283">
        <w:rPr>
          <w:rFonts w:asciiTheme="minorHAnsi" w:hAnsiTheme="minorHAnsi"/>
          <w:bCs/>
          <w:color w:val="auto"/>
        </w:rPr>
        <w:t>A Quarterly decontamination meeting is in place with the first 3 meetings having taken place. Membership of the group includes, Medical Devices, Estates, Health and Safety, Podiatry and Dental services. Terms of reference are in place and the group reports to the Infection Prevention and Control Assurance Group</w:t>
      </w:r>
      <w:r w:rsidR="00C246D7">
        <w:rPr>
          <w:rFonts w:asciiTheme="minorHAnsi" w:hAnsiTheme="minorHAnsi"/>
          <w:bCs/>
          <w:color w:val="auto"/>
        </w:rPr>
        <w:t>.</w:t>
      </w:r>
    </w:p>
    <w:p w14:paraId="2D7D921B" w14:textId="42E8D22C" w:rsidR="005C3B0F" w:rsidRPr="00F10CA2" w:rsidRDefault="00F10CA2" w:rsidP="00F10CA2">
      <w:pPr>
        <w:pStyle w:val="Default"/>
        <w:spacing w:after="120" w:line="276" w:lineRule="auto"/>
        <w:ind w:left="720" w:hanging="720"/>
        <w:rPr>
          <w:rFonts w:asciiTheme="minorHAnsi" w:hAnsiTheme="minorHAnsi" w:cstheme="minorHAnsi"/>
          <w:bCs/>
          <w:color w:val="auto"/>
        </w:rPr>
      </w:pPr>
      <w:r>
        <w:rPr>
          <w:rFonts w:asciiTheme="minorHAnsi" w:hAnsiTheme="minorHAnsi"/>
          <w:bCs/>
          <w:color w:val="auto"/>
        </w:rPr>
        <w:t>2.2</w:t>
      </w:r>
      <w:r>
        <w:rPr>
          <w:rFonts w:asciiTheme="minorHAnsi" w:hAnsiTheme="minorHAnsi"/>
          <w:bCs/>
          <w:color w:val="auto"/>
        </w:rPr>
        <w:tab/>
      </w:r>
      <w:r w:rsidR="00C55A67" w:rsidRPr="00F10CA2">
        <w:rPr>
          <w:rFonts w:asciiTheme="minorHAnsi" w:hAnsiTheme="minorHAnsi" w:cstheme="minorHAnsi"/>
        </w:rPr>
        <w:t>LPT owned sterilisation equipment and washer disinfectors are in service date and maintenance  regimes are compliant with HTM 01-01 Management and Decontamination of Surgical Instruments (medical devices) used in Acute Care.</w:t>
      </w:r>
      <w:r>
        <w:rPr>
          <w:rFonts w:asciiTheme="minorHAnsi" w:hAnsiTheme="minorHAnsi" w:cstheme="minorHAnsi"/>
        </w:rPr>
        <w:t xml:space="preserve"> </w:t>
      </w:r>
      <w:r w:rsidR="00C55A67" w:rsidRPr="00F10CA2">
        <w:rPr>
          <w:rFonts w:asciiTheme="minorHAnsi" w:hAnsiTheme="minorHAnsi" w:cstheme="minorHAnsi"/>
        </w:rPr>
        <w:t>Monthly compliance reports completed by the Medical Device Team and shared with the Podiatry Service to provide assurance, deviation from the planned maintenance programme will be reported by exception to the Decontamination Group and the Medical Device Group</w:t>
      </w:r>
    </w:p>
    <w:p w14:paraId="624344D4" w14:textId="6C60D043" w:rsidR="005C3B0F" w:rsidRDefault="005C3B0F" w:rsidP="00E11283">
      <w:pPr>
        <w:keepNext/>
        <w:ind w:left="720" w:hanging="720"/>
        <w:rPr>
          <w:rFonts w:eastAsia="Times New Roman"/>
          <w:sz w:val="24"/>
          <w:szCs w:val="24"/>
        </w:rPr>
      </w:pPr>
      <w:r>
        <w:rPr>
          <w:sz w:val="24"/>
          <w:szCs w:val="24"/>
        </w:rPr>
        <w:t>2.</w:t>
      </w:r>
      <w:r w:rsidR="00F10CA2">
        <w:rPr>
          <w:sz w:val="24"/>
          <w:szCs w:val="24"/>
        </w:rPr>
        <w:t>3</w:t>
      </w:r>
      <w:r w:rsidR="00C55A67">
        <w:rPr>
          <w:sz w:val="24"/>
          <w:szCs w:val="24"/>
        </w:rPr>
        <w:tab/>
      </w:r>
      <w:r w:rsidR="00C55A67">
        <w:rPr>
          <w:rFonts w:eastAsia="Times New Roman"/>
          <w:sz w:val="24"/>
          <w:szCs w:val="24"/>
        </w:rPr>
        <w:t xml:space="preserve">The second phase of </w:t>
      </w:r>
      <w:r w:rsidR="00C246D7">
        <w:rPr>
          <w:rFonts w:eastAsia="Times New Roman"/>
          <w:sz w:val="24"/>
          <w:szCs w:val="24"/>
        </w:rPr>
        <w:t>an</w:t>
      </w:r>
      <w:r w:rsidR="00C55A67">
        <w:rPr>
          <w:rFonts w:eastAsia="Times New Roman"/>
          <w:sz w:val="24"/>
          <w:szCs w:val="24"/>
        </w:rPr>
        <w:t xml:space="preserve"> </w:t>
      </w:r>
      <w:r w:rsidR="00C246D7">
        <w:rPr>
          <w:rFonts w:eastAsia="Times New Roman"/>
          <w:sz w:val="24"/>
          <w:szCs w:val="24"/>
        </w:rPr>
        <w:t>Authorised Engineer(A</w:t>
      </w:r>
      <w:r w:rsidR="00C55A67">
        <w:rPr>
          <w:rFonts w:eastAsia="Times New Roman"/>
          <w:sz w:val="24"/>
          <w:szCs w:val="24"/>
        </w:rPr>
        <w:t>E</w:t>
      </w:r>
      <w:r w:rsidR="00C246D7">
        <w:rPr>
          <w:rFonts w:eastAsia="Times New Roman"/>
          <w:sz w:val="24"/>
          <w:szCs w:val="24"/>
        </w:rPr>
        <w:t>)</w:t>
      </w:r>
      <w:r w:rsidR="00C55A67">
        <w:rPr>
          <w:rFonts w:eastAsia="Times New Roman"/>
          <w:sz w:val="24"/>
          <w:szCs w:val="24"/>
        </w:rPr>
        <w:t xml:space="preserve"> review of management processes </w:t>
      </w:r>
      <w:r w:rsidR="00E11283">
        <w:rPr>
          <w:rFonts w:eastAsia="Times New Roman"/>
          <w:sz w:val="24"/>
          <w:szCs w:val="24"/>
        </w:rPr>
        <w:t xml:space="preserve">was due to commence earlier this year, however due </w:t>
      </w:r>
      <w:r w:rsidR="00C246D7">
        <w:rPr>
          <w:rFonts w:eastAsia="Times New Roman"/>
          <w:sz w:val="24"/>
          <w:szCs w:val="24"/>
        </w:rPr>
        <w:t xml:space="preserve">some </w:t>
      </w:r>
      <w:r w:rsidR="00E11283">
        <w:rPr>
          <w:rFonts w:eastAsia="Times New Roman"/>
          <w:sz w:val="24"/>
          <w:szCs w:val="24"/>
        </w:rPr>
        <w:t xml:space="preserve"> communication</w:t>
      </w:r>
      <w:r w:rsidR="00C246D7">
        <w:rPr>
          <w:rFonts w:eastAsia="Times New Roman"/>
          <w:sz w:val="24"/>
          <w:szCs w:val="24"/>
        </w:rPr>
        <w:t xml:space="preserve"> issues with the current provider,</w:t>
      </w:r>
      <w:r w:rsidR="00445FE3">
        <w:rPr>
          <w:rFonts w:eastAsia="Times New Roman"/>
          <w:sz w:val="24"/>
          <w:szCs w:val="24"/>
        </w:rPr>
        <w:t xml:space="preserve"> </w:t>
      </w:r>
      <w:r w:rsidR="00C246D7">
        <w:rPr>
          <w:rFonts w:eastAsia="Times New Roman"/>
          <w:sz w:val="24"/>
          <w:szCs w:val="24"/>
        </w:rPr>
        <w:lastRenderedPageBreak/>
        <w:t xml:space="preserve">we </w:t>
      </w:r>
      <w:r w:rsidR="00E11283">
        <w:rPr>
          <w:rFonts w:eastAsia="Times New Roman"/>
          <w:sz w:val="24"/>
          <w:szCs w:val="24"/>
        </w:rPr>
        <w:t xml:space="preserve">will be reviewing </w:t>
      </w:r>
      <w:r w:rsidR="00C246D7">
        <w:rPr>
          <w:rFonts w:eastAsia="Times New Roman"/>
          <w:sz w:val="24"/>
          <w:szCs w:val="24"/>
        </w:rPr>
        <w:t>our</w:t>
      </w:r>
      <w:r w:rsidR="00E11283">
        <w:rPr>
          <w:rFonts w:eastAsia="Times New Roman"/>
          <w:sz w:val="24"/>
          <w:szCs w:val="24"/>
        </w:rPr>
        <w:t xml:space="preserve"> contract and looking to scope the option of a new AE.  Currently this does not affect the assurance of the management of the </w:t>
      </w:r>
      <w:r w:rsidR="00556F55">
        <w:rPr>
          <w:rFonts w:eastAsia="Times New Roman"/>
          <w:sz w:val="24"/>
          <w:szCs w:val="24"/>
        </w:rPr>
        <w:t>machines.</w:t>
      </w:r>
    </w:p>
    <w:p w14:paraId="529EF82D" w14:textId="1FEB941B" w:rsidR="00E11283" w:rsidRDefault="00E11283" w:rsidP="00E11283">
      <w:pPr>
        <w:keepNext/>
        <w:ind w:left="720" w:hanging="720"/>
        <w:rPr>
          <w:rFonts w:eastAsia="Times New Roman"/>
          <w:sz w:val="24"/>
          <w:szCs w:val="24"/>
        </w:rPr>
      </w:pPr>
      <w:r>
        <w:rPr>
          <w:rFonts w:eastAsia="Times New Roman"/>
          <w:sz w:val="24"/>
          <w:szCs w:val="24"/>
        </w:rPr>
        <w:t>2.</w:t>
      </w:r>
      <w:r w:rsidR="00F10CA2">
        <w:rPr>
          <w:rFonts w:eastAsia="Times New Roman"/>
          <w:sz w:val="24"/>
          <w:szCs w:val="24"/>
        </w:rPr>
        <w:t>4</w:t>
      </w:r>
      <w:r>
        <w:rPr>
          <w:rFonts w:eastAsia="Times New Roman"/>
          <w:sz w:val="24"/>
          <w:szCs w:val="24"/>
        </w:rPr>
        <w:tab/>
        <w:t>Sourcing for a contracted Dangerous Goods Safety Advisor (DGSA) is currently in progress with quotes received for these services through procurement.</w:t>
      </w:r>
    </w:p>
    <w:p w14:paraId="4B5C82EA" w14:textId="58F848B1" w:rsidR="005C3B0F" w:rsidRPr="00C246D7" w:rsidRDefault="00E11283" w:rsidP="00C246D7">
      <w:pPr>
        <w:keepNext/>
        <w:ind w:left="720" w:hanging="720"/>
        <w:rPr>
          <w:rFonts w:eastAsia="Times New Roman"/>
          <w:sz w:val="24"/>
          <w:szCs w:val="24"/>
        </w:rPr>
      </w:pPr>
      <w:r>
        <w:rPr>
          <w:rFonts w:eastAsia="Times New Roman"/>
          <w:sz w:val="24"/>
          <w:szCs w:val="24"/>
        </w:rPr>
        <w:t>2.</w:t>
      </w:r>
      <w:r w:rsidR="00F10CA2">
        <w:rPr>
          <w:rFonts w:eastAsia="Times New Roman"/>
          <w:sz w:val="24"/>
          <w:szCs w:val="24"/>
        </w:rPr>
        <w:t>5</w:t>
      </w:r>
      <w:r>
        <w:rPr>
          <w:rFonts w:eastAsia="Times New Roman"/>
          <w:sz w:val="24"/>
          <w:szCs w:val="24"/>
        </w:rPr>
        <w:t xml:space="preserve"> </w:t>
      </w:r>
      <w:r>
        <w:rPr>
          <w:rFonts w:eastAsia="Times New Roman"/>
          <w:sz w:val="24"/>
          <w:szCs w:val="24"/>
        </w:rPr>
        <w:tab/>
        <w:t>The action plan for Serious Incident report regarding pharmacy continues to be monitored through the Decontamination meeting and any areas of concern escalated to the Community Hospital Services Clinical Governance team and through the IPC assurance route.</w:t>
      </w:r>
    </w:p>
    <w:p w14:paraId="6E387DD2" w14:textId="33802FB3" w:rsidR="00285F76" w:rsidRDefault="00415608" w:rsidP="00080C8F">
      <w:pPr>
        <w:pStyle w:val="Default"/>
        <w:spacing w:after="120" w:line="276" w:lineRule="auto"/>
        <w:rPr>
          <w:rFonts w:asciiTheme="minorHAnsi" w:hAnsiTheme="minorHAnsi" w:cstheme="minorHAnsi"/>
          <w:b/>
          <w:color w:val="auto"/>
        </w:rPr>
      </w:pPr>
      <w:bookmarkStart w:id="4" w:name="_Hlk138068071"/>
      <w:bookmarkEnd w:id="3"/>
      <w:r w:rsidRPr="00C46818">
        <w:rPr>
          <w:rFonts w:asciiTheme="minorHAnsi" w:hAnsiTheme="minorHAnsi" w:cstheme="minorHAnsi"/>
          <w:b/>
          <w:color w:val="auto"/>
        </w:rPr>
        <w:t>3.</w:t>
      </w:r>
      <w:r w:rsidR="00C416DB" w:rsidRPr="00C46818">
        <w:rPr>
          <w:rFonts w:asciiTheme="minorHAnsi" w:hAnsiTheme="minorHAnsi" w:cstheme="minorHAnsi"/>
          <w:b/>
          <w:color w:val="auto"/>
        </w:rPr>
        <w:t>0</w:t>
      </w:r>
      <w:r w:rsidRPr="00C46818">
        <w:rPr>
          <w:rFonts w:asciiTheme="minorHAnsi" w:hAnsiTheme="minorHAnsi" w:cstheme="minorHAnsi"/>
          <w:b/>
          <w:color w:val="auto"/>
        </w:rPr>
        <w:tab/>
      </w:r>
      <w:bookmarkStart w:id="5" w:name="_Hlk104555045"/>
      <w:r w:rsidR="00080C8F" w:rsidRPr="00C46818">
        <w:rPr>
          <w:rFonts w:asciiTheme="minorHAnsi" w:hAnsiTheme="minorHAnsi" w:cstheme="minorHAnsi"/>
          <w:b/>
          <w:color w:val="auto"/>
        </w:rPr>
        <w:t>Legionella</w:t>
      </w:r>
    </w:p>
    <w:p w14:paraId="1A683BEC" w14:textId="3AE188B2" w:rsidR="00683955" w:rsidRPr="00C46818" w:rsidRDefault="00683955" w:rsidP="00080C8F">
      <w:pPr>
        <w:pStyle w:val="Default"/>
        <w:spacing w:after="120" w:line="276" w:lineRule="auto"/>
        <w:rPr>
          <w:rFonts w:asciiTheme="minorHAnsi" w:hAnsiTheme="minorHAnsi" w:cstheme="minorHAnsi"/>
          <w:b/>
          <w:color w:val="auto"/>
        </w:rPr>
      </w:pPr>
      <w:r>
        <w:rPr>
          <w:rFonts w:asciiTheme="minorHAnsi" w:hAnsiTheme="minorHAnsi" w:cstheme="minorHAnsi"/>
          <w:b/>
          <w:color w:val="auto"/>
        </w:rPr>
        <w:t>Scoping for Legionella across our community hospitals is ongoing and determined the following results so fa</w:t>
      </w:r>
      <w:r w:rsidR="00445FE3">
        <w:rPr>
          <w:rFonts w:asciiTheme="minorHAnsi" w:hAnsiTheme="minorHAnsi" w:cstheme="minorHAnsi"/>
          <w:b/>
          <w:color w:val="auto"/>
        </w:rPr>
        <w:t>r:</w:t>
      </w:r>
    </w:p>
    <w:p w14:paraId="3AC13842" w14:textId="2B407EFD" w:rsidR="00080C8F" w:rsidRDefault="00080C8F" w:rsidP="00080C8F">
      <w:pPr>
        <w:pStyle w:val="Default"/>
        <w:spacing w:after="120" w:line="276" w:lineRule="auto"/>
        <w:rPr>
          <w:rFonts w:asciiTheme="minorHAnsi" w:hAnsiTheme="minorHAnsi"/>
          <w:b/>
          <w:color w:val="auto"/>
        </w:rPr>
      </w:pPr>
      <w:r>
        <w:rPr>
          <w:rFonts w:asciiTheme="minorHAnsi" w:hAnsiTheme="minorHAnsi"/>
          <w:b/>
          <w:color w:val="auto"/>
        </w:rPr>
        <w:t>3.</w:t>
      </w:r>
      <w:r w:rsidR="004953F5">
        <w:rPr>
          <w:rFonts w:asciiTheme="minorHAnsi" w:hAnsiTheme="minorHAnsi"/>
          <w:b/>
          <w:color w:val="auto"/>
        </w:rPr>
        <w:t>1</w:t>
      </w:r>
      <w:r>
        <w:rPr>
          <w:rFonts w:asciiTheme="minorHAnsi" w:hAnsiTheme="minorHAnsi"/>
          <w:b/>
          <w:color w:val="auto"/>
        </w:rPr>
        <w:tab/>
        <w:t>Loughborough Community Hospital</w:t>
      </w:r>
    </w:p>
    <w:p w14:paraId="3041AAAB" w14:textId="0055809C" w:rsidR="00C46818" w:rsidRPr="00400725" w:rsidRDefault="00C46818" w:rsidP="00C46818">
      <w:pPr>
        <w:rPr>
          <w:rFonts w:cstheme="minorHAnsi"/>
          <w:sz w:val="24"/>
          <w:szCs w:val="24"/>
        </w:rPr>
      </w:pPr>
      <w:r w:rsidRPr="00400725">
        <w:rPr>
          <w:rFonts w:cstheme="minorHAnsi"/>
          <w:sz w:val="24"/>
          <w:szCs w:val="24"/>
        </w:rPr>
        <w:t>Water testing results taken in the 1</w:t>
      </w:r>
      <w:r w:rsidRPr="00400725">
        <w:rPr>
          <w:rFonts w:cstheme="minorHAnsi"/>
          <w:sz w:val="24"/>
          <w:szCs w:val="24"/>
          <w:vertAlign w:val="superscript"/>
        </w:rPr>
        <w:t>st</w:t>
      </w:r>
      <w:r w:rsidRPr="00400725">
        <w:rPr>
          <w:rFonts w:cstheme="minorHAnsi"/>
          <w:sz w:val="24"/>
          <w:szCs w:val="24"/>
        </w:rPr>
        <w:t xml:space="preserve"> week in November 2022 for Phase 2 of Loughborough Hospital were identified as positive for Legionella.</w:t>
      </w:r>
      <w:r w:rsidR="00E07733">
        <w:rPr>
          <w:rFonts w:cstheme="minorHAnsi"/>
          <w:sz w:val="24"/>
          <w:szCs w:val="24"/>
        </w:rPr>
        <w:t xml:space="preserve"> </w:t>
      </w:r>
      <w:r w:rsidR="00E07733" w:rsidRPr="00C46818">
        <w:rPr>
          <w:rFonts w:cstheme="minorHAnsi"/>
          <w:sz w:val="24"/>
          <w:szCs w:val="24"/>
        </w:rPr>
        <w:t xml:space="preserve">An emergency meeting was arranged with all key staff on site </w:t>
      </w:r>
      <w:r w:rsidR="00E07733">
        <w:rPr>
          <w:rFonts w:cstheme="minorHAnsi"/>
          <w:sz w:val="24"/>
          <w:szCs w:val="24"/>
        </w:rPr>
        <w:t xml:space="preserve">and the Trust Water Safety Group. A risk review of water activities was </w:t>
      </w:r>
      <w:r w:rsidR="00557593">
        <w:rPr>
          <w:rFonts w:cstheme="minorHAnsi"/>
          <w:sz w:val="24"/>
          <w:szCs w:val="24"/>
        </w:rPr>
        <w:t>undertaken</w:t>
      </w:r>
      <w:r w:rsidR="00C246D7">
        <w:rPr>
          <w:rFonts w:cstheme="minorHAnsi"/>
          <w:sz w:val="24"/>
          <w:szCs w:val="24"/>
        </w:rPr>
        <w:t xml:space="preserve"> </w:t>
      </w:r>
      <w:r w:rsidR="00683955">
        <w:rPr>
          <w:rFonts w:cstheme="minorHAnsi"/>
          <w:sz w:val="24"/>
          <w:szCs w:val="24"/>
        </w:rPr>
        <w:t>which identified:</w:t>
      </w:r>
    </w:p>
    <w:p w14:paraId="623D3BCF" w14:textId="0011A548" w:rsidR="00C46818" w:rsidRPr="00874E15" w:rsidRDefault="00C46818" w:rsidP="00874E15">
      <w:pPr>
        <w:pStyle w:val="ListParagraph"/>
        <w:numPr>
          <w:ilvl w:val="0"/>
          <w:numId w:val="14"/>
        </w:numPr>
        <w:rPr>
          <w:rFonts w:cstheme="minorHAnsi"/>
          <w:sz w:val="24"/>
          <w:szCs w:val="24"/>
        </w:rPr>
      </w:pPr>
      <w:r w:rsidRPr="00874E15">
        <w:rPr>
          <w:rFonts w:cstheme="minorHAnsi"/>
          <w:sz w:val="24"/>
          <w:szCs w:val="24"/>
        </w:rPr>
        <w:t xml:space="preserve">Point of use (PoU) filters  installed </w:t>
      </w:r>
      <w:r w:rsidR="00683955">
        <w:rPr>
          <w:rFonts w:cstheme="minorHAnsi"/>
          <w:sz w:val="24"/>
          <w:szCs w:val="24"/>
        </w:rPr>
        <w:t xml:space="preserve">- </w:t>
      </w:r>
      <w:r w:rsidRPr="00874E15">
        <w:rPr>
          <w:rFonts w:cstheme="minorHAnsi"/>
          <w:sz w:val="24"/>
          <w:szCs w:val="24"/>
        </w:rPr>
        <w:t>All filters fitted by Thursday 17</w:t>
      </w:r>
      <w:r w:rsidR="00C82066" w:rsidRPr="00874E15">
        <w:rPr>
          <w:rFonts w:cstheme="minorHAnsi"/>
          <w:sz w:val="24"/>
          <w:szCs w:val="24"/>
        </w:rPr>
        <w:t xml:space="preserve"> November, which would deem the water safe.</w:t>
      </w:r>
    </w:p>
    <w:p w14:paraId="30DFF260" w14:textId="68EBC8DC" w:rsidR="00C82066" w:rsidRPr="00874E15" w:rsidRDefault="00C82066" w:rsidP="00874E15">
      <w:pPr>
        <w:pStyle w:val="ListParagraph"/>
        <w:numPr>
          <w:ilvl w:val="0"/>
          <w:numId w:val="14"/>
        </w:numPr>
        <w:rPr>
          <w:rFonts w:cstheme="minorHAnsi"/>
          <w:sz w:val="24"/>
          <w:szCs w:val="24"/>
        </w:rPr>
      </w:pPr>
      <w:r w:rsidRPr="00874E15">
        <w:rPr>
          <w:rFonts w:cstheme="minorHAnsi"/>
          <w:sz w:val="24"/>
          <w:szCs w:val="24"/>
        </w:rPr>
        <w:t xml:space="preserve">A review of the pipework to understand how the different areas received their water feed was implemented as this would inform the remedial work of cleaning/chlorinating the system. </w:t>
      </w:r>
    </w:p>
    <w:p w14:paraId="3885A0B9" w14:textId="69AB23EC" w:rsidR="00C82066" w:rsidRPr="00874E15" w:rsidRDefault="00C82066" w:rsidP="00874E15">
      <w:pPr>
        <w:pStyle w:val="ListParagraph"/>
        <w:numPr>
          <w:ilvl w:val="0"/>
          <w:numId w:val="14"/>
        </w:numPr>
        <w:rPr>
          <w:rFonts w:cstheme="minorHAnsi"/>
          <w:sz w:val="24"/>
          <w:szCs w:val="24"/>
        </w:rPr>
      </w:pPr>
      <w:r w:rsidRPr="00874E15">
        <w:rPr>
          <w:rFonts w:cstheme="minorHAnsi"/>
          <w:sz w:val="24"/>
          <w:szCs w:val="24"/>
        </w:rPr>
        <w:t>Meetings were held on a daily basis and included all external services who are delivering services within the building. As part of the ongoing planned preventative maintenance,  phase 1 of the hospital was sampled.</w:t>
      </w:r>
    </w:p>
    <w:p w14:paraId="63135220" w14:textId="77777777" w:rsidR="00E07733" w:rsidRDefault="00C416DB" w:rsidP="00E07733">
      <w:pPr>
        <w:pStyle w:val="ListParagraph"/>
        <w:numPr>
          <w:ilvl w:val="0"/>
          <w:numId w:val="14"/>
        </w:numPr>
        <w:rPr>
          <w:rFonts w:cstheme="minorHAnsi"/>
          <w:sz w:val="24"/>
          <w:szCs w:val="24"/>
        </w:rPr>
      </w:pPr>
      <w:r w:rsidRPr="00874E15">
        <w:rPr>
          <w:rFonts w:cstheme="minorHAnsi"/>
          <w:sz w:val="24"/>
          <w:szCs w:val="24"/>
        </w:rPr>
        <w:t>Legionella bacteria non pneumonia (Anisa) was detected in 63% of the samples taken.  </w:t>
      </w:r>
    </w:p>
    <w:p w14:paraId="5C494DE7" w14:textId="2A8AB1B1" w:rsidR="00E07733" w:rsidRDefault="00C416DB" w:rsidP="00E07733">
      <w:pPr>
        <w:pStyle w:val="ListParagraph"/>
        <w:numPr>
          <w:ilvl w:val="0"/>
          <w:numId w:val="14"/>
        </w:numPr>
        <w:rPr>
          <w:rFonts w:cstheme="minorHAnsi"/>
          <w:sz w:val="24"/>
          <w:szCs w:val="24"/>
        </w:rPr>
      </w:pPr>
      <w:r w:rsidRPr="00874E15">
        <w:rPr>
          <w:rFonts w:cstheme="minorHAnsi"/>
          <w:sz w:val="24"/>
          <w:szCs w:val="24"/>
        </w:rPr>
        <w:t xml:space="preserve">Due to the age of the outlets in order to fit T-Safe filters the majority of the outlets had to be changed to new fittings.  </w:t>
      </w:r>
    </w:p>
    <w:p w14:paraId="55FB106A" w14:textId="3A835B10" w:rsidR="00C82066" w:rsidRPr="00874E15" w:rsidRDefault="00C416DB" w:rsidP="00874E15">
      <w:pPr>
        <w:pStyle w:val="ListParagraph"/>
        <w:numPr>
          <w:ilvl w:val="0"/>
          <w:numId w:val="14"/>
        </w:numPr>
        <w:rPr>
          <w:rFonts w:cstheme="minorHAnsi"/>
          <w:sz w:val="24"/>
          <w:szCs w:val="24"/>
        </w:rPr>
      </w:pPr>
      <w:r w:rsidRPr="00874E15">
        <w:rPr>
          <w:rFonts w:cstheme="minorHAnsi"/>
          <w:sz w:val="24"/>
          <w:szCs w:val="24"/>
        </w:rPr>
        <w:t>The majority of phase 1 is now fitted with T-Safe filters.  </w:t>
      </w:r>
      <w:r w:rsidR="00C82066" w:rsidRPr="00874E15">
        <w:rPr>
          <w:rFonts w:cstheme="minorHAnsi"/>
          <w:sz w:val="24"/>
          <w:szCs w:val="24"/>
        </w:rPr>
        <w:t>All actions identified at the Rutland ward incident were also replicated at Loughborough hospital where applicable and appropriate.</w:t>
      </w:r>
    </w:p>
    <w:p w14:paraId="73CCA7F9" w14:textId="50FB5BBC" w:rsidR="00C416DB" w:rsidRPr="00874E15" w:rsidRDefault="00C416DB" w:rsidP="00874E15">
      <w:pPr>
        <w:pStyle w:val="ListParagraph"/>
        <w:numPr>
          <w:ilvl w:val="0"/>
          <w:numId w:val="14"/>
        </w:numPr>
        <w:rPr>
          <w:rFonts w:cstheme="minorHAnsi"/>
          <w:sz w:val="24"/>
          <w:szCs w:val="24"/>
        </w:rPr>
      </w:pPr>
      <w:r w:rsidRPr="00874E15">
        <w:rPr>
          <w:rFonts w:cstheme="minorHAnsi"/>
          <w:sz w:val="24"/>
          <w:szCs w:val="24"/>
        </w:rPr>
        <w:t>Due to resource levels and the higher risk of Serogroup 1 in Phase 2 the disinfection of phase 1 will take place after the phase 2 is under control.</w:t>
      </w:r>
    </w:p>
    <w:p w14:paraId="7E91F506" w14:textId="52E3C502" w:rsidR="00C416DB" w:rsidRDefault="00C82066" w:rsidP="00874E15">
      <w:pPr>
        <w:pStyle w:val="ListParagraph"/>
        <w:numPr>
          <w:ilvl w:val="0"/>
          <w:numId w:val="14"/>
        </w:numPr>
        <w:rPr>
          <w:rFonts w:cstheme="minorHAnsi"/>
          <w:sz w:val="24"/>
          <w:szCs w:val="24"/>
        </w:rPr>
      </w:pPr>
      <w:r w:rsidRPr="00874E15">
        <w:rPr>
          <w:rFonts w:cstheme="minorHAnsi"/>
          <w:sz w:val="24"/>
          <w:szCs w:val="24"/>
        </w:rPr>
        <w:t xml:space="preserve">The </w:t>
      </w:r>
      <w:r w:rsidR="00C416DB" w:rsidRPr="00874E15">
        <w:rPr>
          <w:rFonts w:cstheme="minorHAnsi"/>
          <w:sz w:val="24"/>
          <w:szCs w:val="24"/>
        </w:rPr>
        <w:t>Renal</w:t>
      </w:r>
      <w:r w:rsidRPr="00874E15">
        <w:rPr>
          <w:rFonts w:cstheme="minorHAnsi"/>
          <w:sz w:val="24"/>
          <w:szCs w:val="24"/>
        </w:rPr>
        <w:t xml:space="preserve"> unit</w:t>
      </w:r>
      <w:r w:rsidR="00E07733">
        <w:rPr>
          <w:rFonts w:cstheme="minorHAnsi"/>
          <w:sz w:val="24"/>
          <w:szCs w:val="24"/>
        </w:rPr>
        <w:t xml:space="preserve"> (high risk vulnerable patient areas)</w:t>
      </w:r>
      <w:r w:rsidR="00C416DB" w:rsidRPr="00874E15">
        <w:rPr>
          <w:rFonts w:cstheme="minorHAnsi"/>
          <w:sz w:val="24"/>
          <w:szCs w:val="24"/>
        </w:rPr>
        <w:t xml:space="preserve"> has </w:t>
      </w:r>
      <w:r w:rsidR="00E07733">
        <w:rPr>
          <w:rFonts w:cstheme="minorHAnsi"/>
          <w:sz w:val="24"/>
          <w:szCs w:val="24"/>
        </w:rPr>
        <w:t>n</w:t>
      </w:r>
      <w:r w:rsidR="00C416DB" w:rsidRPr="00874E15">
        <w:rPr>
          <w:rFonts w:cstheme="minorHAnsi"/>
          <w:sz w:val="24"/>
          <w:szCs w:val="24"/>
        </w:rPr>
        <w:t>o positive Legionella samples and is on an independent supply  from both phase 1 and phase 2.</w:t>
      </w:r>
      <w:r w:rsidRPr="00874E15">
        <w:rPr>
          <w:rFonts w:cstheme="minorHAnsi"/>
          <w:sz w:val="24"/>
          <w:szCs w:val="24"/>
        </w:rPr>
        <w:t xml:space="preserve">The Lead Consultant Microbiologist from University Hospitals of Leicester has attended </w:t>
      </w:r>
      <w:r w:rsidR="00E07733">
        <w:rPr>
          <w:rFonts w:cstheme="minorHAnsi"/>
          <w:sz w:val="24"/>
          <w:szCs w:val="24"/>
        </w:rPr>
        <w:t>all</w:t>
      </w:r>
      <w:r w:rsidRPr="00874E15">
        <w:rPr>
          <w:rFonts w:cstheme="minorHAnsi"/>
          <w:sz w:val="24"/>
          <w:szCs w:val="24"/>
        </w:rPr>
        <w:t xml:space="preserve"> meetings and continues to support the processes </w:t>
      </w:r>
      <w:r w:rsidR="00F10CA2" w:rsidRPr="00874E15">
        <w:rPr>
          <w:rFonts w:cstheme="minorHAnsi"/>
          <w:sz w:val="24"/>
          <w:szCs w:val="24"/>
        </w:rPr>
        <w:t>and</w:t>
      </w:r>
      <w:r w:rsidR="00400725" w:rsidRPr="00874E15">
        <w:rPr>
          <w:rFonts w:cstheme="minorHAnsi"/>
          <w:sz w:val="24"/>
          <w:szCs w:val="24"/>
        </w:rPr>
        <w:t xml:space="preserve"> attends LPT’s Water Safety Meetings.</w:t>
      </w:r>
      <w:bookmarkEnd w:id="4"/>
    </w:p>
    <w:p w14:paraId="6F13477C" w14:textId="1D15CD5B" w:rsidR="00683955" w:rsidRPr="00874E15" w:rsidRDefault="00683955" w:rsidP="00874E15">
      <w:pPr>
        <w:pStyle w:val="ListParagraph"/>
        <w:numPr>
          <w:ilvl w:val="0"/>
          <w:numId w:val="14"/>
        </w:numPr>
        <w:rPr>
          <w:rFonts w:cstheme="minorHAnsi"/>
          <w:sz w:val="24"/>
          <w:szCs w:val="24"/>
        </w:rPr>
      </w:pPr>
      <w:r>
        <w:rPr>
          <w:rFonts w:cstheme="minorHAnsi"/>
          <w:sz w:val="24"/>
          <w:szCs w:val="24"/>
        </w:rPr>
        <w:t xml:space="preserve">Phase 1 and Phase 2 of this work is ongoing </w:t>
      </w:r>
      <w:r w:rsidR="00F10CA2">
        <w:rPr>
          <w:rFonts w:cstheme="minorHAnsi"/>
          <w:sz w:val="24"/>
          <w:szCs w:val="24"/>
        </w:rPr>
        <w:t>to</w:t>
      </w:r>
      <w:r>
        <w:rPr>
          <w:rFonts w:cstheme="minorHAnsi"/>
          <w:sz w:val="24"/>
          <w:szCs w:val="24"/>
        </w:rPr>
        <w:t xml:space="preserve"> maintain monitoring of levels and safety.</w:t>
      </w:r>
    </w:p>
    <w:p w14:paraId="581D0442" w14:textId="43C2055C" w:rsidR="007D4502" w:rsidRDefault="007D4502" w:rsidP="00683955">
      <w:pPr>
        <w:pStyle w:val="Default"/>
        <w:numPr>
          <w:ilvl w:val="1"/>
          <w:numId w:val="24"/>
        </w:numPr>
        <w:spacing w:after="120" w:line="276" w:lineRule="auto"/>
        <w:rPr>
          <w:rFonts w:ascii="Calibri" w:hAnsi="Calibri"/>
          <w:b/>
          <w:bCs/>
          <w:color w:val="auto"/>
        </w:rPr>
      </w:pPr>
      <w:r>
        <w:rPr>
          <w:rFonts w:ascii="Calibri" w:hAnsi="Calibri"/>
          <w:b/>
          <w:bCs/>
          <w:color w:val="auto"/>
        </w:rPr>
        <w:t>       Rutland Memorial Hospital</w:t>
      </w:r>
    </w:p>
    <w:p w14:paraId="3778E85D" w14:textId="77777777" w:rsidR="00F10CA2" w:rsidRDefault="00683955" w:rsidP="00F10CA2">
      <w:pPr>
        <w:pStyle w:val="Default"/>
        <w:spacing w:after="120" w:line="276" w:lineRule="auto"/>
        <w:ind w:left="720"/>
        <w:rPr>
          <w:rFonts w:ascii="Calibri" w:hAnsi="Calibri"/>
          <w:color w:val="auto"/>
        </w:rPr>
      </w:pPr>
      <w:r>
        <w:rPr>
          <w:rFonts w:ascii="Calibri" w:hAnsi="Calibri"/>
          <w:color w:val="auto"/>
        </w:rPr>
        <w:t xml:space="preserve">In </w:t>
      </w:r>
      <w:r w:rsidR="007D4502" w:rsidRPr="004953F5">
        <w:rPr>
          <w:rFonts w:ascii="Calibri" w:hAnsi="Calibri"/>
          <w:color w:val="auto"/>
        </w:rPr>
        <w:t xml:space="preserve">June 2023 all the hospital </w:t>
      </w:r>
      <w:r>
        <w:rPr>
          <w:rFonts w:ascii="Calibri" w:hAnsi="Calibri"/>
          <w:color w:val="auto"/>
        </w:rPr>
        <w:t>was</w:t>
      </w:r>
      <w:r w:rsidR="007D4502" w:rsidRPr="004953F5">
        <w:rPr>
          <w:rFonts w:ascii="Calibri" w:hAnsi="Calibri"/>
          <w:color w:val="auto"/>
        </w:rPr>
        <w:t xml:space="preserve"> clear</w:t>
      </w:r>
      <w:r>
        <w:rPr>
          <w:rFonts w:ascii="Calibri" w:hAnsi="Calibri"/>
          <w:color w:val="auto"/>
        </w:rPr>
        <w:t xml:space="preserve"> of Legionella </w:t>
      </w:r>
      <w:r w:rsidR="007D4502" w:rsidRPr="004953F5">
        <w:rPr>
          <w:rFonts w:ascii="Calibri" w:hAnsi="Calibri"/>
          <w:color w:val="auto"/>
        </w:rPr>
        <w:t xml:space="preserve"> expect for 5 positive results in the Rutland Ward outlets , all positive outlets have T-Safe filters.  </w:t>
      </w:r>
      <w:r>
        <w:rPr>
          <w:rFonts w:ascii="Calibri" w:hAnsi="Calibri"/>
          <w:color w:val="auto"/>
        </w:rPr>
        <w:t xml:space="preserve">Further work is ongoing with outlet cleaning and samples being taken. </w:t>
      </w:r>
    </w:p>
    <w:p w14:paraId="36D80921" w14:textId="734F9F6B" w:rsidR="004953F5" w:rsidRPr="00F10CA2" w:rsidRDefault="00F10CA2" w:rsidP="00F10CA2">
      <w:pPr>
        <w:pStyle w:val="Default"/>
        <w:spacing w:after="120" w:line="276" w:lineRule="auto"/>
        <w:rPr>
          <w:rFonts w:ascii="Calibri" w:hAnsi="Calibri"/>
          <w:color w:val="auto"/>
        </w:rPr>
      </w:pPr>
      <w:r w:rsidRPr="00F10CA2">
        <w:rPr>
          <w:rFonts w:ascii="Calibri" w:hAnsi="Calibri"/>
          <w:b/>
          <w:bCs/>
          <w:color w:val="auto"/>
        </w:rPr>
        <w:t>3.3</w:t>
      </w:r>
      <w:r>
        <w:rPr>
          <w:rFonts w:ascii="Calibri" w:hAnsi="Calibri"/>
          <w:color w:val="auto"/>
        </w:rPr>
        <w:t xml:space="preserve"> </w:t>
      </w:r>
      <w:r>
        <w:rPr>
          <w:rFonts w:ascii="Calibri" w:hAnsi="Calibri"/>
          <w:color w:val="auto"/>
        </w:rPr>
        <w:tab/>
      </w:r>
      <w:r w:rsidR="007D4502">
        <w:rPr>
          <w:rFonts w:ascii="Calibri" w:hAnsi="Calibri"/>
          <w:b/>
          <w:bCs/>
          <w:color w:val="auto"/>
        </w:rPr>
        <w:t xml:space="preserve">Coalville Community Hospital </w:t>
      </w:r>
    </w:p>
    <w:p w14:paraId="32DAAF69" w14:textId="77777777" w:rsidR="004953F5" w:rsidRPr="004953F5" w:rsidRDefault="007D4502" w:rsidP="004953F5">
      <w:pPr>
        <w:pStyle w:val="Default"/>
        <w:numPr>
          <w:ilvl w:val="0"/>
          <w:numId w:val="23"/>
        </w:numPr>
        <w:spacing w:after="120" w:line="276" w:lineRule="auto"/>
        <w:rPr>
          <w:rFonts w:ascii="Calibri" w:hAnsi="Calibri"/>
          <w:b/>
          <w:bCs/>
          <w:color w:val="auto"/>
        </w:rPr>
      </w:pPr>
      <w:r w:rsidRPr="004953F5">
        <w:rPr>
          <w:rFonts w:ascii="Calibri" w:hAnsi="Calibri"/>
          <w:color w:val="auto"/>
        </w:rPr>
        <w:t>Capital projects identified five positive outlets in preparation for tap change.</w:t>
      </w:r>
    </w:p>
    <w:p w14:paraId="0E2918EB" w14:textId="54F06847" w:rsidR="004953F5" w:rsidRPr="004953F5" w:rsidRDefault="007D4502" w:rsidP="004953F5">
      <w:pPr>
        <w:pStyle w:val="Default"/>
        <w:numPr>
          <w:ilvl w:val="0"/>
          <w:numId w:val="23"/>
        </w:numPr>
        <w:spacing w:after="120" w:line="276" w:lineRule="auto"/>
        <w:rPr>
          <w:rFonts w:ascii="Calibri" w:hAnsi="Calibri"/>
          <w:b/>
          <w:bCs/>
          <w:color w:val="auto"/>
        </w:rPr>
      </w:pPr>
      <w:r w:rsidRPr="004953F5">
        <w:rPr>
          <w:rFonts w:ascii="Calibri" w:hAnsi="Calibri"/>
          <w:color w:val="auto"/>
        </w:rPr>
        <w:lastRenderedPageBreak/>
        <w:t xml:space="preserve"> Chlorine levels checked and the CLO2 system is </w:t>
      </w:r>
      <w:r w:rsidR="00556F55" w:rsidRPr="004953F5">
        <w:rPr>
          <w:rFonts w:ascii="Calibri" w:hAnsi="Calibri"/>
          <w:color w:val="auto"/>
        </w:rPr>
        <w:t>working.</w:t>
      </w:r>
    </w:p>
    <w:p w14:paraId="6E3FAF6F" w14:textId="2266FB5F" w:rsidR="004953F5" w:rsidRPr="004953F5" w:rsidRDefault="007D4502" w:rsidP="004953F5">
      <w:pPr>
        <w:pStyle w:val="Default"/>
        <w:numPr>
          <w:ilvl w:val="0"/>
          <w:numId w:val="23"/>
        </w:numPr>
        <w:spacing w:after="120" w:line="276" w:lineRule="auto"/>
        <w:rPr>
          <w:rFonts w:ascii="Calibri" w:hAnsi="Calibri"/>
          <w:b/>
          <w:bCs/>
          <w:color w:val="auto"/>
        </w:rPr>
      </w:pPr>
      <w:r w:rsidRPr="004953F5">
        <w:rPr>
          <w:rFonts w:ascii="Calibri" w:hAnsi="Calibri"/>
          <w:color w:val="auto"/>
        </w:rPr>
        <w:t xml:space="preserve"> CLO2 contractor to check the chlorine levels in the positive outlets on 22nd </w:t>
      </w:r>
      <w:r w:rsidR="00556F55" w:rsidRPr="004953F5">
        <w:rPr>
          <w:rFonts w:ascii="Calibri" w:hAnsi="Calibri"/>
          <w:color w:val="auto"/>
        </w:rPr>
        <w:t>June.</w:t>
      </w:r>
    </w:p>
    <w:p w14:paraId="4C338EF5" w14:textId="7212DC4F" w:rsidR="007D4502" w:rsidRPr="00683955" w:rsidRDefault="007D4502" w:rsidP="00683955">
      <w:pPr>
        <w:pStyle w:val="Default"/>
        <w:numPr>
          <w:ilvl w:val="0"/>
          <w:numId w:val="23"/>
        </w:numPr>
        <w:spacing w:after="120" w:line="276" w:lineRule="auto"/>
        <w:rPr>
          <w:rFonts w:ascii="Calibri" w:hAnsi="Calibri"/>
          <w:b/>
          <w:bCs/>
          <w:color w:val="auto"/>
        </w:rPr>
      </w:pPr>
      <w:r w:rsidRPr="004953F5">
        <w:rPr>
          <w:rFonts w:ascii="Calibri" w:hAnsi="Calibri"/>
          <w:color w:val="auto"/>
        </w:rPr>
        <w:t xml:space="preserve"> Legionella samples to be taken after the outlets have been changed by Capital Projects.</w:t>
      </w:r>
    </w:p>
    <w:p w14:paraId="083FDB80" w14:textId="2146729B" w:rsidR="00285F76" w:rsidRDefault="00285F76" w:rsidP="00285F76">
      <w:pPr>
        <w:pStyle w:val="Default"/>
        <w:spacing w:after="120" w:line="276" w:lineRule="auto"/>
        <w:rPr>
          <w:rFonts w:ascii="Calibri" w:hAnsi="Calibri"/>
          <w:b/>
          <w:bCs/>
          <w:color w:val="auto"/>
        </w:rPr>
      </w:pPr>
      <w:r>
        <w:rPr>
          <w:rFonts w:asciiTheme="minorHAnsi" w:hAnsiTheme="minorHAnsi"/>
          <w:b/>
          <w:color w:val="auto"/>
        </w:rPr>
        <w:t>4</w:t>
      </w:r>
      <w:r w:rsidRPr="000915F3">
        <w:rPr>
          <w:rFonts w:asciiTheme="minorHAnsi" w:hAnsiTheme="minorHAnsi"/>
          <w:b/>
          <w:color w:val="auto"/>
        </w:rPr>
        <w:t>.</w:t>
      </w:r>
      <w:r w:rsidR="00400725">
        <w:rPr>
          <w:rFonts w:asciiTheme="minorHAnsi" w:hAnsiTheme="minorHAnsi"/>
          <w:b/>
          <w:color w:val="auto"/>
        </w:rPr>
        <w:t>0</w:t>
      </w:r>
      <w:r w:rsidRPr="000915F3">
        <w:rPr>
          <w:rFonts w:asciiTheme="minorHAnsi" w:hAnsiTheme="minorHAnsi"/>
          <w:b/>
          <w:color w:val="auto"/>
        </w:rPr>
        <w:tab/>
      </w:r>
      <w:bookmarkStart w:id="6" w:name="_Hlk138069737"/>
      <w:r>
        <w:rPr>
          <w:rFonts w:ascii="Calibri" w:hAnsi="Calibri"/>
          <w:b/>
          <w:bCs/>
          <w:color w:val="auto"/>
        </w:rPr>
        <w:t>Seasonal Flu vaccination programme – interim update</w:t>
      </w:r>
    </w:p>
    <w:p w14:paraId="14D47ADF" w14:textId="4833FE1B" w:rsidR="00285F76" w:rsidRDefault="00285F76" w:rsidP="00285F76">
      <w:pPr>
        <w:autoSpaceDE w:val="0"/>
        <w:autoSpaceDN w:val="0"/>
        <w:spacing w:after="120"/>
        <w:ind w:left="720" w:hanging="720"/>
        <w:rPr>
          <w:rFonts w:ascii="Calibri" w:hAnsi="Calibri"/>
          <w:sz w:val="24"/>
          <w:szCs w:val="24"/>
        </w:rPr>
      </w:pPr>
      <w:r>
        <w:rPr>
          <w:sz w:val="24"/>
          <w:szCs w:val="24"/>
        </w:rPr>
        <w:t xml:space="preserve">4.1        </w:t>
      </w:r>
      <w:r w:rsidR="00C550C4" w:rsidRPr="006D7A52">
        <w:rPr>
          <w:sz w:val="24"/>
          <w:szCs w:val="24"/>
        </w:rPr>
        <w:t>All frontline health care workers, including both clinical and non-clinical staff who have contact with patients, should be offered a flu vaccine as part of the organisations’ policy for the prevention of the transmission of flu to help protect both staff and those that they care for.</w:t>
      </w:r>
      <w:r w:rsidR="00C550C4">
        <w:rPr>
          <w:sz w:val="24"/>
          <w:szCs w:val="24"/>
        </w:rPr>
        <w:t xml:space="preserve"> LPT maximise the opportunity for colleagues to receive their flu vaccination close to where they live or at their workplace.</w:t>
      </w:r>
    </w:p>
    <w:p w14:paraId="367A676C" w14:textId="4D60E350" w:rsidR="00285F76" w:rsidRDefault="00285F76" w:rsidP="00285F76">
      <w:pPr>
        <w:spacing w:after="120"/>
        <w:ind w:left="720" w:hanging="720"/>
        <w:rPr>
          <w:sz w:val="24"/>
          <w:szCs w:val="24"/>
        </w:rPr>
      </w:pPr>
      <w:r>
        <w:rPr>
          <w:sz w:val="24"/>
          <w:szCs w:val="24"/>
        </w:rPr>
        <w:t xml:space="preserve">4.2        </w:t>
      </w:r>
      <w:r w:rsidR="00C550C4">
        <w:rPr>
          <w:sz w:val="24"/>
          <w:szCs w:val="24"/>
        </w:rPr>
        <w:t>For context, the flu vaccination programme runs between October and February every year.  The flu vaccination programme ran alongside the staff Covid-19 vaccination booster programme for the Autumn delivery 2022 / 2023. The LPT staff flu vaccination programme commenced on 3</w:t>
      </w:r>
      <w:r w:rsidR="00C550C4">
        <w:rPr>
          <w:sz w:val="24"/>
          <w:szCs w:val="24"/>
          <w:vertAlign w:val="superscript"/>
        </w:rPr>
        <w:t>rd</w:t>
      </w:r>
      <w:r w:rsidR="00C550C4">
        <w:rPr>
          <w:sz w:val="24"/>
          <w:szCs w:val="24"/>
        </w:rPr>
        <w:t xml:space="preserve"> October 2022 and offers the 18 – 64 vaccine and the 65+ vaccine.</w:t>
      </w:r>
    </w:p>
    <w:p w14:paraId="10DE6CBC" w14:textId="1C7D6787" w:rsidR="00285F76" w:rsidRDefault="00285F76" w:rsidP="00285F76">
      <w:pPr>
        <w:spacing w:after="120"/>
        <w:ind w:left="720" w:hanging="720"/>
        <w:rPr>
          <w:sz w:val="24"/>
          <w:szCs w:val="24"/>
        </w:rPr>
      </w:pPr>
      <w:r>
        <w:rPr>
          <w:sz w:val="24"/>
          <w:szCs w:val="24"/>
        </w:rPr>
        <w:t>4.3</w:t>
      </w:r>
      <w:r>
        <w:rPr>
          <w:sz w:val="24"/>
          <w:szCs w:val="24"/>
        </w:rPr>
        <w:tab/>
      </w:r>
      <w:r w:rsidR="00C550C4">
        <w:rPr>
          <w:sz w:val="24"/>
          <w:szCs w:val="24"/>
        </w:rPr>
        <w:t>The staff flu uptake in March 2023 was 53.5%. The figures for National, Midlands and local Trusts are presented for context.</w:t>
      </w:r>
    </w:p>
    <w:tbl>
      <w:tblPr>
        <w:tblStyle w:val="TableGrid"/>
        <w:tblW w:w="0" w:type="auto"/>
        <w:tblInd w:w="392" w:type="dxa"/>
        <w:tblLook w:val="04A0" w:firstRow="1" w:lastRow="0" w:firstColumn="1" w:lastColumn="0" w:noHBand="0" w:noVBand="1"/>
      </w:tblPr>
      <w:tblGrid>
        <w:gridCol w:w="3289"/>
        <w:gridCol w:w="3373"/>
      </w:tblGrid>
      <w:tr w:rsidR="00C550C4" w:rsidRPr="006D7A52" w14:paraId="41ECD99B" w14:textId="77777777" w:rsidTr="001526F2">
        <w:tc>
          <w:tcPr>
            <w:tcW w:w="3289" w:type="dxa"/>
            <w:shd w:val="clear" w:color="auto" w:fill="EEECE1" w:themeFill="background2"/>
            <w:vAlign w:val="bottom"/>
          </w:tcPr>
          <w:p w14:paraId="72E28215" w14:textId="77777777" w:rsidR="00C550C4" w:rsidRPr="006D7A52" w:rsidRDefault="00C550C4" w:rsidP="001526F2">
            <w:pPr>
              <w:rPr>
                <w:rFonts w:eastAsia="Times New Roman" w:cstheme="minorHAnsi"/>
                <w:b/>
                <w:bCs/>
                <w:color w:val="000000" w:themeColor="text1"/>
                <w:sz w:val="24"/>
                <w:szCs w:val="24"/>
                <w:lang w:eastAsia="en-GB"/>
              </w:rPr>
            </w:pPr>
            <w:r w:rsidRPr="006D7A52">
              <w:rPr>
                <w:rFonts w:eastAsia="Times New Roman" w:cstheme="minorHAnsi"/>
                <w:b/>
                <w:bCs/>
                <w:color w:val="000000" w:themeColor="text1"/>
                <w:sz w:val="24"/>
                <w:szCs w:val="24"/>
                <w:lang w:eastAsia="en-GB"/>
              </w:rPr>
              <w:t>Regional uptake</w:t>
            </w:r>
          </w:p>
        </w:tc>
        <w:tc>
          <w:tcPr>
            <w:tcW w:w="3373" w:type="dxa"/>
            <w:shd w:val="clear" w:color="auto" w:fill="EEECE1" w:themeFill="background2"/>
            <w:vAlign w:val="bottom"/>
          </w:tcPr>
          <w:p w14:paraId="76A563A6" w14:textId="77777777" w:rsidR="00C550C4" w:rsidRPr="006D7A52" w:rsidRDefault="00C550C4" w:rsidP="001526F2">
            <w:pPr>
              <w:rPr>
                <w:rFonts w:eastAsia="Times New Roman" w:cstheme="minorHAnsi"/>
                <w:b/>
                <w:bCs/>
                <w:color w:val="000000" w:themeColor="text1"/>
                <w:sz w:val="24"/>
                <w:szCs w:val="24"/>
                <w:lang w:eastAsia="en-GB"/>
              </w:rPr>
            </w:pPr>
            <w:r w:rsidRPr="006D7A52">
              <w:rPr>
                <w:rFonts w:eastAsia="Times New Roman" w:cstheme="minorHAnsi"/>
                <w:b/>
                <w:bCs/>
                <w:color w:val="000000" w:themeColor="text1"/>
                <w:sz w:val="24"/>
                <w:szCs w:val="24"/>
                <w:lang w:eastAsia="en-GB"/>
              </w:rPr>
              <w:t>%</w:t>
            </w:r>
          </w:p>
        </w:tc>
      </w:tr>
      <w:tr w:rsidR="00C550C4" w:rsidRPr="006D7A52" w14:paraId="2AF030B5" w14:textId="77777777" w:rsidTr="001526F2">
        <w:tc>
          <w:tcPr>
            <w:tcW w:w="3289" w:type="dxa"/>
          </w:tcPr>
          <w:p w14:paraId="3664E45A" w14:textId="77777777" w:rsidR="00C550C4" w:rsidRPr="006D7A52" w:rsidRDefault="00C550C4" w:rsidP="001526F2">
            <w:pPr>
              <w:rPr>
                <w:rFonts w:cstheme="minorHAnsi"/>
                <w:b/>
                <w:bCs/>
                <w:color w:val="000000" w:themeColor="text1"/>
                <w:sz w:val="24"/>
                <w:szCs w:val="24"/>
              </w:rPr>
            </w:pPr>
            <w:r w:rsidRPr="006D7A52">
              <w:rPr>
                <w:rFonts w:cstheme="minorHAnsi"/>
                <w:b/>
                <w:bCs/>
                <w:color w:val="000000" w:themeColor="text1"/>
                <w:sz w:val="24"/>
                <w:szCs w:val="24"/>
              </w:rPr>
              <w:t xml:space="preserve">National </w:t>
            </w:r>
          </w:p>
        </w:tc>
        <w:tc>
          <w:tcPr>
            <w:tcW w:w="3373" w:type="dxa"/>
          </w:tcPr>
          <w:p w14:paraId="579930C1" w14:textId="77777777" w:rsidR="00C550C4" w:rsidRPr="006D7A52" w:rsidRDefault="00C550C4" w:rsidP="001526F2">
            <w:pPr>
              <w:rPr>
                <w:rFonts w:cstheme="minorHAnsi"/>
                <w:b/>
                <w:bCs/>
                <w:color w:val="000000" w:themeColor="text1"/>
                <w:sz w:val="24"/>
                <w:szCs w:val="24"/>
              </w:rPr>
            </w:pPr>
            <w:r w:rsidRPr="006D7A52">
              <w:rPr>
                <w:rFonts w:cstheme="minorHAnsi"/>
                <w:b/>
                <w:bCs/>
                <w:color w:val="000000" w:themeColor="text1"/>
                <w:sz w:val="24"/>
                <w:szCs w:val="24"/>
              </w:rPr>
              <w:t>51.9%</w:t>
            </w:r>
          </w:p>
        </w:tc>
      </w:tr>
      <w:tr w:rsidR="00C550C4" w:rsidRPr="006D7A52" w14:paraId="5842FB2C" w14:textId="77777777" w:rsidTr="001526F2">
        <w:tc>
          <w:tcPr>
            <w:tcW w:w="3289" w:type="dxa"/>
          </w:tcPr>
          <w:p w14:paraId="5B896C5D" w14:textId="77777777" w:rsidR="00C550C4" w:rsidRPr="006D7A52" w:rsidRDefault="00C550C4" w:rsidP="001526F2">
            <w:pPr>
              <w:rPr>
                <w:rFonts w:cstheme="minorHAnsi"/>
                <w:color w:val="000000" w:themeColor="text1"/>
                <w:sz w:val="24"/>
                <w:szCs w:val="24"/>
              </w:rPr>
            </w:pPr>
            <w:r w:rsidRPr="006D7A52">
              <w:rPr>
                <w:rFonts w:cstheme="minorHAnsi"/>
                <w:color w:val="000000" w:themeColor="text1"/>
                <w:sz w:val="24"/>
                <w:szCs w:val="24"/>
              </w:rPr>
              <w:t>Midlands</w:t>
            </w:r>
          </w:p>
        </w:tc>
        <w:tc>
          <w:tcPr>
            <w:tcW w:w="3373" w:type="dxa"/>
          </w:tcPr>
          <w:p w14:paraId="420F191B" w14:textId="77777777" w:rsidR="00C550C4" w:rsidRPr="006D7A52" w:rsidRDefault="00C550C4" w:rsidP="001526F2">
            <w:pPr>
              <w:rPr>
                <w:rFonts w:cstheme="minorHAnsi"/>
                <w:color w:val="000000" w:themeColor="text1"/>
                <w:sz w:val="24"/>
                <w:szCs w:val="24"/>
              </w:rPr>
            </w:pPr>
            <w:r w:rsidRPr="006D7A52">
              <w:rPr>
                <w:rFonts w:cstheme="minorHAnsi"/>
                <w:color w:val="000000" w:themeColor="text1"/>
                <w:sz w:val="24"/>
                <w:szCs w:val="24"/>
              </w:rPr>
              <w:t>51.8%</w:t>
            </w:r>
          </w:p>
        </w:tc>
      </w:tr>
      <w:tr w:rsidR="00C550C4" w:rsidRPr="006D7A52" w14:paraId="59360243" w14:textId="77777777" w:rsidTr="001526F2">
        <w:tc>
          <w:tcPr>
            <w:tcW w:w="3289" w:type="dxa"/>
          </w:tcPr>
          <w:p w14:paraId="1CAAA313" w14:textId="77777777" w:rsidR="00C550C4" w:rsidRPr="006D7A52" w:rsidRDefault="00C550C4" w:rsidP="001526F2">
            <w:pPr>
              <w:rPr>
                <w:rFonts w:cstheme="minorHAnsi"/>
                <w:b/>
                <w:bCs/>
                <w:color w:val="000000" w:themeColor="text1"/>
                <w:sz w:val="24"/>
                <w:szCs w:val="24"/>
              </w:rPr>
            </w:pPr>
            <w:r w:rsidRPr="006D7A52">
              <w:rPr>
                <w:rFonts w:cstheme="minorHAnsi"/>
                <w:b/>
                <w:bCs/>
                <w:color w:val="000000" w:themeColor="text1"/>
                <w:sz w:val="24"/>
                <w:szCs w:val="24"/>
              </w:rPr>
              <w:t>LPT</w:t>
            </w:r>
          </w:p>
        </w:tc>
        <w:tc>
          <w:tcPr>
            <w:tcW w:w="3373" w:type="dxa"/>
          </w:tcPr>
          <w:p w14:paraId="593ECC71" w14:textId="77777777" w:rsidR="00C550C4" w:rsidRPr="006D7A52" w:rsidRDefault="00C550C4" w:rsidP="001526F2">
            <w:pPr>
              <w:rPr>
                <w:rFonts w:cstheme="minorHAnsi"/>
                <w:b/>
                <w:bCs/>
                <w:color w:val="000000" w:themeColor="text1"/>
                <w:sz w:val="24"/>
                <w:szCs w:val="24"/>
              </w:rPr>
            </w:pPr>
            <w:r w:rsidRPr="006D7A52">
              <w:rPr>
                <w:rFonts w:cstheme="minorHAnsi"/>
                <w:b/>
                <w:bCs/>
                <w:color w:val="000000" w:themeColor="text1"/>
                <w:sz w:val="24"/>
                <w:szCs w:val="24"/>
              </w:rPr>
              <w:t>53.5%</w:t>
            </w:r>
          </w:p>
        </w:tc>
      </w:tr>
      <w:tr w:rsidR="00C550C4" w:rsidRPr="006D7A52" w14:paraId="13D3A38A" w14:textId="77777777" w:rsidTr="001526F2">
        <w:tc>
          <w:tcPr>
            <w:tcW w:w="3289" w:type="dxa"/>
          </w:tcPr>
          <w:p w14:paraId="08019DCF" w14:textId="77777777" w:rsidR="00C550C4" w:rsidRPr="006D7A52" w:rsidRDefault="00C550C4" w:rsidP="001526F2">
            <w:pPr>
              <w:rPr>
                <w:rFonts w:cstheme="minorHAnsi"/>
                <w:color w:val="000000" w:themeColor="text1"/>
                <w:sz w:val="24"/>
                <w:szCs w:val="24"/>
              </w:rPr>
            </w:pPr>
            <w:r w:rsidRPr="006D7A52">
              <w:rPr>
                <w:rFonts w:cstheme="minorHAnsi"/>
                <w:color w:val="000000" w:themeColor="text1"/>
                <w:sz w:val="24"/>
                <w:szCs w:val="24"/>
              </w:rPr>
              <w:t>NHFT</w:t>
            </w:r>
          </w:p>
        </w:tc>
        <w:tc>
          <w:tcPr>
            <w:tcW w:w="3373" w:type="dxa"/>
          </w:tcPr>
          <w:p w14:paraId="410FBD08" w14:textId="77777777" w:rsidR="00C550C4" w:rsidRPr="006D7A52" w:rsidRDefault="00C550C4" w:rsidP="001526F2">
            <w:pPr>
              <w:rPr>
                <w:rFonts w:cstheme="minorHAnsi"/>
                <w:color w:val="000000" w:themeColor="text1"/>
                <w:sz w:val="24"/>
                <w:szCs w:val="24"/>
              </w:rPr>
            </w:pPr>
            <w:r w:rsidRPr="006D7A52">
              <w:rPr>
                <w:rFonts w:cstheme="minorHAnsi"/>
                <w:color w:val="000000" w:themeColor="text1"/>
                <w:sz w:val="24"/>
                <w:szCs w:val="24"/>
              </w:rPr>
              <w:t>50.4%</w:t>
            </w:r>
          </w:p>
        </w:tc>
      </w:tr>
      <w:tr w:rsidR="00C550C4" w:rsidRPr="006D7A52" w14:paraId="3E49DF0F" w14:textId="77777777" w:rsidTr="001526F2">
        <w:tc>
          <w:tcPr>
            <w:tcW w:w="3289" w:type="dxa"/>
          </w:tcPr>
          <w:p w14:paraId="3935B17C" w14:textId="77777777" w:rsidR="00C550C4" w:rsidRPr="006D7A52" w:rsidRDefault="00C550C4" w:rsidP="001526F2">
            <w:pPr>
              <w:rPr>
                <w:rFonts w:cstheme="minorHAnsi"/>
                <w:color w:val="000000" w:themeColor="text1"/>
                <w:sz w:val="24"/>
                <w:szCs w:val="24"/>
              </w:rPr>
            </w:pPr>
            <w:r w:rsidRPr="006D7A52">
              <w:rPr>
                <w:rFonts w:cstheme="minorHAnsi"/>
                <w:color w:val="000000" w:themeColor="text1"/>
                <w:sz w:val="24"/>
                <w:szCs w:val="24"/>
              </w:rPr>
              <w:t>UHL</w:t>
            </w:r>
          </w:p>
        </w:tc>
        <w:tc>
          <w:tcPr>
            <w:tcW w:w="3373" w:type="dxa"/>
          </w:tcPr>
          <w:p w14:paraId="5BE6BF68" w14:textId="77777777" w:rsidR="00C550C4" w:rsidRPr="006D7A52" w:rsidRDefault="00C550C4" w:rsidP="001526F2">
            <w:pPr>
              <w:rPr>
                <w:rFonts w:cstheme="minorHAnsi"/>
                <w:color w:val="000000" w:themeColor="text1"/>
                <w:sz w:val="24"/>
                <w:szCs w:val="24"/>
              </w:rPr>
            </w:pPr>
            <w:r w:rsidRPr="006D7A52">
              <w:rPr>
                <w:rFonts w:cstheme="minorHAnsi"/>
                <w:color w:val="000000" w:themeColor="text1"/>
                <w:sz w:val="24"/>
                <w:szCs w:val="24"/>
              </w:rPr>
              <w:t>46.6%</w:t>
            </w:r>
          </w:p>
        </w:tc>
      </w:tr>
    </w:tbl>
    <w:p w14:paraId="15D33167" w14:textId="77777777" w:rsidR="00C550C4" w:rsidRDefault="00C550C4" w:rsidP="00285F76">
      <w:pPr>
        <w:spacing w:after="120"/>
        <w:ind w:left="720" w:hanging="720"/>
        <w:rPr>
          <w:sz w:val="24"/>
          <w:szCs w:val="24"/>
        </w:rPr>
      </w:pPr>
    </w:p>
    <w:p w14:paraId="5FB838F8" w14:textId="77777777" w:rsidR="00C550C4" w:rsidRDefault="00285F76" w:rsidP="00285F76">
      <w:pPr>
        <w:spacing w:after="120"/>
        <w:ind w:left="720" w:hanging="720"/>
        <w:rPr>
          <w:sz w:val="24"/>
          <w:szCs w:val="24"/>
        </w:rPr>
      </w:pPr>
      <w:r>
        <w:rPr>
          <w:sz w:val="24"/>
          <w:szCs w:val="24"/>
        </w:rPr>
        <w:t xml:space="preserve">4.4       </w:t>
      </w:r>
      <w:r w:rsidR="00C550C4">
        <w:rPr>
          <w:sz w:val="24"/>
          <w:szCs w:val="24"/>
        </w:rPr>
        <w:t xml:space="preserve">The flu vaccination programme for staff has been delivered alongside COVID-19 vaccinations to promote uptake of both vaccines for LPT staff where it is operationally viable. </w:t>
      </w:r>
    </w:p>
    <w:p w14:paraId="0F67D8A5" w14:textId="77777777" w:rsidR="00C550C4" w:rsidRDefault="00285F76" w:rsidP="00285F76">
      <w:pPr>
        <w:spacing w:after="120"/>
        <w:ind w:left="720" w:hanging="720"/>
        <w:rPr>
          <w:sz w:val="24"/>
          <w:szCs w:val="24"/>
        </w:rPr>
      </w:pPr>
      <w:r>
        <w:rPr>
          <w:sz w:val="24"/>
          <w:szCs w:val="24"/>
        </w:rPr>
        <w:t>4.5</w:t>
      </w:r>
      <w:r>
        <w:rPr>
          <w:sz w:val="24"/>
          <w:szCs w:val="24"/>
        </w:rPr>
        <w:tab/>
      </w:r>
      <w:r w:rsidR="00C550C4">
        <w:rPr>
          <w:sz w:val="24"/>
          <w:szCs w:val="24"/>
        </w:rPr>
        <w:t xml:space="preserve">The co-delivery vaccination programme has been offered at the two LPT vaccination sites – Loughborough and Fielding Palmer Hospitals to all LPT staff. </w:t>
      </w:r>
    </w:p>
    <w:p w14:paraId="41A6A41A" w14:textId="14D77CD7" w:rsidR="00285F76" w:rsidRDefault="00285F76" w:rsidP="00285F76">
      <w:pPr>
        <w:spacing w:after="120"/>
        <w:ind w:left="720" w:hanging="720"/>
        <w:rPr>
          <w:sz w:val="24"/>
          <w:szCs w:val="24"/>
        </w:rPr>
      </w:pPr>
      <w:r>
        <w:rPr>
          <w:sz w:val="24"/>
          <w:szCs w:val="24"/>
        </w:rPr>
        <w:t>4.6</w:t>
      </w:r>
      <w:r>
        <w:rPr>
          <w:sz w:val="24"/>
          <w:szCs w:val="24"/>
        </w:rPr>
        <w:tab/>
      </w:r>
      <w:r w:rsidR="00C550C4">
        <w:rPr>
          <w:sz w:val="24"/>
          <w:szCs w:val="24"/>
        </w:rPr>
        <w:t>Delivery of the programme is through a team of roving vaccinators and local clinical peer vaccinators and delivery is incentivised at the point of vaccination with flu incentives: pen, KitKat and stickers. </w:t>
      </w:r>
    </w:p>
    <w:p w14:paraId="30F2450D" w14:textId="7AFEA1AD" w:rsidR="00285F76" w:rsidRDefault="00285F76" w:rsidP="00285F76">
      <w:pPr>
        <w:spacing w:after="120"/>
        <w:ind w:left="720" w:hanging="720"/>
        <w:rPr>
          <w:sz w:val="24"/>
          <w:szCs w:val="24"/>
        </w:rPr>
      </w:pPr>
      <w:r>
        <w:rPr>
          <w:sz w:val="24"/>
          <w:szCs w:val="24"/>
        </w:rPr>
        <w:t>4.7</w:t>
      </w:r>
      <w:r>
        <w:rPr>
          <w:sz w:val="24"/>
          <w:szCs w:val="24"/>
        </w:rPr>
        <w:tab/>
      </w:r>
      <w:r w:rsidR="00C550C4">
        <w:rPr>
          <w:sz w:val="24"/>
          <w:szCs w:val="24"/>
        </w:rPr>
        <w:t>Recording of flu uptake is through NIVS, and the uptake reported national through the Foundry reporting mechanism. This is a reduced source of information compared with previously as the data provides staff data for the Trust by employee staff group, gender, age and ethnicity only and does not enable data at a local or team level. Details from Foundry include all LPT staff vaccinated regardless of where they had their flu jab – LPT site, GP or community pharmacy.</w:t>
      </w:r>
    </w:p>
    <w:p w14:paraId="594FC1C3" w14:textId="77932CB7" w:rsidR="00285F76" w:rsidRPr="00557593" w:rsidRDefault="00285F76" w:rsidP="00285F76">
      <w:pPr>
        <w:spacing w:after="120"/>
        <w:ind w:left="720" w:hanging="720"/>
        <w:rPr>
          <w:rFonts w:cstheme="minorHAnsi"/>
          <w:sz w:val="24"/>
          <w:szCs w:val="24"/>
        </w:rPr>
      </w:pPr>
      <w:r>
        <w:rPr>
          <w:sz w:val="24"/>
          <w:szCs w:val="24"/>
        </w:rPr>
        <w:t xml:space="preserve">4.6 </w:t>
      </w:r>
      <w:r>
        <w:rPr>
          <w:sz w:val="24"/>
          <w:szCs w:val="24"/>
        </w:rPr>
        <w:tab/>
      </w:r>
      <w:r w:rsidR="00C550C4">
        <w:rPr>
          <w:sz w:val="24"/>
          <w:szCs w:val="24"/>
        </w:rPr>
        <w:t>The use of the QR code to enable staff to confirm when they had received their flu jab was developed to allow a more detailed analysis of uptake by Directorate and team. This has been incentivised with a monthly prize draw but has not produced the uptake anticipated.</w:t>
      </w:r>
    </w:p>
    <w:p w14:paraId="63C93EF6" w14:textId="35DD02EC" w:rsidR="00285F76" w:rsidRDefault="00285F76" w:rsidP="00285F76">
      <w:pPr>
        <w:pStyle w:val="Default"/>
        <w:spacing w:after="120" w:line="276" w:lineRule="auto"/>
        <w:ind w:left="720" w:hanging="720"/>
        <w:rPr>
          <w:rFonts w:ascii="Calibri" w:hAnsi="Calibri"/>
          <w:color w:val="auto"/>
        </w:rPr>
      </w:pPr>
      <w:r w:rsidRPr="00557593">
        <w:rPr>
          <w:rFonts w:asciiTheme="minorHAnsi" w:hAnsiTheme="minorHAnsi" w:cstheme="minorHAnsi"/>
        </w:rPr>
        <w:t>4.7</w:t>
      </w:r>
      <w:r>
        <w:tab/>
      </w:r>
      <w:r w:rsidR="00C550C4">
        <w:rPr>
          <w:rFonts w:ascii="Calibri" w:hAnsi="Calibri"/>
          <w:color w:val="auto"/>
        </w:rPr>
        <w:t xml:space="preserve">The seasonal flu vaccine for staff is being delivered using a multi-faceted approach to support flexibility and access opportunities for staff.  The clinics are delivered in clinical settings and non-clinal environments to maximise uptake and opportunity. This programme of delivery is </w:t>
      </w:r>
      <w:r w:rsidR="00C550C4">
        <w:rPr>
          <w:rFonts w:ascii="Calibri" w:hAnsi="Calibri"/>
          <w:color w:val="auto"/>
        </w:rPr>
        <w:lastRenderedPageBreak/>
        <w:t>augmented by clinical peer vaccinators delivering clinics and vaccination opportunities to their colleagues.</w:t>
      </w:r>
    </w:p>
    <w:p w14:paraId="2C192A24" w14:textId="697CB382" w:rsidR="00393409" w:rsidRPr="00D605A7" w:rsidRDefault="00285F76" w:rsidP="00D605A7">
      <w:pPr>
        <w:pStyle w:val="Default"/>
        <w:spacing w:after="120" w:line="276" w:lineRule="auto"/>
        <w:ind w:left="720" w:hanging="720"/>
        <w:rPr>
          <w:rFonts w:ascii="Calibri" w:hAnsi="Calibri"/>
          <w:color w:val="auto"/>
        </w:rPr>
      </w:pPr>
      <w:r w:rsidRPr="00557593">
        <w:rPr>
          <w:rFonts w:asciiTheme="minorHAnsi" w:hAnsiTheme="minorHAnsi" w:cstheme="minorHAnsi"/>
        </w:rPr>
        <w:t>4.8</w:t>
      </w:r>
      <w:r>
        <w:tab/>
      </w:r>
      <w:bookmarkEnd w:id="6"/>
      <w:r w:rsidR="00C550C4">
        <w:rPr>
          <w:rFonts w:ascii="Calibri" w:hAnsi="Calibri"/>
          <w:color w:val="auto"/>
        </w:rPr>
        <w:t xml:space="preserve">From </w:t>
      </w:r>
      <w:proofErr w:type="spellStart"/>
      <w:r w:rsidR="00C550C4">
        <w:rPr>
          <w:rFonts w:ascii="Calibri" w:hAnsi="Calibri"/>
          <w:color w:val="auto"/>
        </w:rPr>
        <w:t>mid November</w:t>
      </w:r>
      <w:proofErr w:type="spellEnd"/>
      <w:r w:rsidR="00C550C4">
        <w:rPr>
          <w:rFonts w:ascii="Calibri" w:hAnsi="Calibri"/>
          <w:color w:val="auto"/>
        </w:rPr>
        <w:t xml:space="preserve"> vaccination delivery had a change of focus by ‘taking the vaccine to the point of work’. The vaccinator teams are working across all clinical inpatient wards and settings to maximise the opportunity to make very contact count.</w:t>
      </w:r>
    </w:p>
    <w:bookmarkEnd w:id="5"/>
    <w:p w14:paraId="3496011E" w14:textId="3FE2566B" w:rsidR="001527C1" w:rsidRPr="000E645A" w:rsidRDefault="00D05622" w:rsidP="000E645A">
      <w:pPr>
        <w:pStyle w:val="Heading1"/>
        <w:spacing w:before="0" w:after="120"/>
        <w:ind w:left="720" w:hanging="720"/>
        <w:rPr>
          <w:rFonts w:asciiTheme="minorHAnsi" w:hAnsiTheme="minorHAnsi" w:cs="Arial"/>
          <w:color w:val="auto"/>
          <w:sz w:val="24"/>
          <w:szCs w:val="24"/>
        </w:rPr>
      </w:pPr>
      <w:r>
        <w:rPr>
          <w:rFonts w:asciiTheme="minorHAnsi" w:hAnsiTheme="minorHAnsi" w:cs="Arial"/>
          <w:color w:val="auto"/>
          <w:sz w:val="24"/>
          <w:szCs w:val="24"/>
        </w:rPr>
        <w:t>5</w:t>
      </w:r>
      <w:r w:rsidR="00FF0EF4" w:rsidRPr="000E645A">
        <w:rPr>
          <w:rFonts w:asciiTheme="minorHAnsi" w:hAnsiTheme="minorHAnsi" w:cs="Arial"/>
          <w:color w:val="auto"/>
          <w:sz w:val="24"/>
          <w:szCs w:val="24"/>
        </w:rPr>
        <w:t>.</w:t>
      </w:r>
      <w:r w:rsidR="00557593">
        <w:rPr>
          <w:rFonts w:asciiTheme="minorHAnsi" w:hAnsiTheme="minorHAnsi" w:cs="Arial"/>
          <w:color w:val="auto"/>
          <w:sz w:val="24"/>
          <w:szCs w:val="24"/>
        </w:rPr>
        <w:t>0</w:t>
      </w:r>
      <w:r w:rsidR="00200E99">
        <w:rPr>
          <w:rFonts w:asciiTheme="minorHAnsi" w:hAnsiTheme="minorHAnsi" w:cs="Arial"/>
          <w:color w:val="auto"/>
          <w:sz w:val="24"/>
          <w:szCs w:val="24"/>
        </w:rPr>
        <w:tab/>
        <w:t>Reporting and m</w:t>
      </w:r>
      <w:r w:rsidR="001527C1" w:rsidRPr="000E645A">
        <w:rPr>
          <w:rFonts w:asciiTheme="minorHAnsi" w:hAnsiTheme="minorHAnsi" w:cs="Arial"/>
          <w:color w:val="auto"/>
          <w:sz w:val="24"/>
          <w:szCs w:val="24"/>
        </w:rPr>
        <w:t>onitoring of HCAI Infections</w:t>
      </w:r>
    </w:p>
    <w:p w14:paraId="79B5AC12" w14:textId="01185EE9" w:rsidR="001527C1" w:rsidRPr="000E645A" w:rsidRDefault="00D05622" w:rsidP="000E645A">
      <w:pPr>
        <w:autoSpaceDE w:val="0"/>
        <w:autoSpaceDN w:val="0"/>
        <w:adjustRightInd w:val="0"/>
        <w:spacing w:after="120"/>
        <w:ind w:left="720" w:hanging="720"/>
        <w:rPr>
          <w:sz w:val="24"/>
          <w:szCs w:val="24"/>
        </w:rPr>
      </w:pPr>
      <w:r>
        <w:rPr>
          <w:sz w:val="24"/>
          <w:szCs w:val="24"/>
        </w:rPr>
        <w:t>5</w:t>
      </w:r>
      <w:r w:rsidR="001527C1" w:rsidRPr="000E645A">
        <w:rPr>
          <w:sz w:val="24"/>
          <w:szCs w:val="24"/>
        </w:rPr>
        <w:t>.1</w:t>
      </w:r>
      <w:r w:rsidR="001527C1" w:rsidRPr="000E645A">
        <w:rPr>
          <w:sz w:val="24"/>
          <w:szCs w:val="24"/>
        </w:rPr>
        <w:tab/>
        <w:t>There are four infections that are mandatory for reporting purposes:</w:t>
      </w:r>
    </w:p>
    <w:p w14:paraId="49971604" w14:textId="77777777" w:rsidR="001527C1" w:rsidRPr="000E645A" w:rsidRDefault="001527C1" w:rsidP="00A53882">
      <w:pPr>
        <w:pStyle w:val="ListParagraph"/>
        <w:numPr>
          <w:ilvl w:val="0"/>
          <w:numId w:val="2"/>
        </w:numPr>
        <w:autoSpaceDE w:val="0"/>
        <w:autoSpaceDN w:val="0"/>
        <w:adjustRightInd w:val="0"/>
        <w:spacing w:after="0"/>
        <w:contextualSpacing w:val="0"/>
        <w:rPr>
          <w:sz w:val="24"/>
          <w:szCs w:val="24"/>
        </w:rPr>
      </w:pPr>
      <w:r w:rsidRPr="000E645A">
        <w:rPr>
          <w:sz w:val="24"/>
          <w:szCs w:val="24"/>
        </w:rPr>
        <w:t>Meticillin Resistant Staphylococcus Aureus (MRSA) bloodstream infections.</w:t>
      </w:r>
    </w:p>
    <w:p w14:paraId="44346B73" w14:textId="77777777" w:rsidR="001527C1" w:rsidRPr="000E645A" w:rsidRDefault="001527C1" w:rsidP="00A53882">
      <w:pPr>
        <w:pStyle w:val="ListParagraph"/>
        <w:numPr>
          <w:ilvl w:val="0"/>
          <w:numId w:val="2"/>
        </w:numPr>
        <w:autoSpaceDE w:val="0"/>
        <w:autoSpaceDN w:val="0"/>
        <w:adjustRightInd w:val="0"/>
        <w:spacing w:after="0"/>
        <w:contextualSpacing w:val="0"/>
        <w:rPr>
          <w:sz w:val="24"/>
          <w:szCs w:val="24"/>
        </w:rPr>
      </w:pPr>
      <w:r w:rsidRPr="000E645A">
        <w:rPr>
          <w:iCs/>
          <w:sz w:val="24"/>
          <w:szCs w:val="24"/>
        </w:rPr>
        <w:t>Clostridioides difficile</w:t>
      </w:r>
      <w:r w:rsidRPr="000E645A">
        <w:rPr>
          <w:sz w:val="24"/>
          <w:szCs w:val="24"/>
        </w:rPr>
        <w:t xml:space="preserve"> infection (previously known as Clostridium difficile) </w:t>
      </w:r>
    </w:p>
    <w:p w14:paraId="2A0AE602" w14:textId="77777777" w:rsidR="001527C1" w:rsidRPr="000E645A" w:rsidRDefault="001527C1" w:rsidP="00A53882">
      <w:pPr>
        <w:pStyle w:val="ListParagraph"/>
        <w:numPr>
          <w:ilvl w:val="0"/>
          <w:numId w:val="2"/>
        </w:numPr>
        <w:autoSpaceDE w:val="0"/>
        <w:autoSpaceDN w:val="0"/>
        <w:adjustRightInd w:val="0"/>
        <w:spacing w:after="0"/>
        <w:contextualSpacing w:val="0"/>
        <w:rPr>
          <w:sz w:val="24"/>
          <w:szCs w:val="24"/>
        </w:rPr>
      </w:pPr>
      <w:r w:rsidRPr="000E645A">
        <w:rPr>
          <w:sz w:val="24"/>
          <w:szCs w:val="24"/>
        </w:rPr>
        <w:t>Meticillin Sensitive Staphylococcus Aureus (MSSA) bloodstream infections.</w:t>
      </w:r>
    </w:p>
    <w:p w14:paraId="7F269C49" w14:textId="065B8C3E" w:rsidR="002038FA" w:rsidRDefault="001527C1" w:rsidP="00A53882">
      <w:pPr>
        <w:pStyle w:val="ListParagraph"/>
        <w:numPr>
          <w:ilvl w:val="0"/>
          <w:numId w:val="2"/>
        </w:numPr>
        <w:autoSpaceDE w:val="0"/>
        <w:autoSpaceDN w:val="0"/>
        <w:adjustRightInd w:val="0"/>
        <w:spacing w:after="0" w:line="360" w:lineRule="auto"/>
        <w:contextualSpacing w:val="0"/>
        <w:rPr>
          <w:sz w:val="24"/>
          <w:szCs w:val="24"/>
        </w:rPr>
      </w:pPr>
      <w:r w:rsidRPr="000E645A">
        <w:rPr>
          <w:sz w:val="24"/>
          <w:szCs w:val="24"/>
        </w:rPr>
        <w:t>Gram Negative bloodstream infections (GNBSI)</w:t>
      </w:r>
    </w:p>
    <w:p w14:paraId="07469A41" w14:textId="76D21276" w:rsidR="001527C1" w:rsidRPr="000E645A" w:rsidRDefault="00D05622" w:rsidP="002038FA">
      <w:pPr>
        <w:autoSpaceDE w:val="0"/>
        <w:autoSpaceDN w:val="0"/>
        <w:adjustRightInd w:val="0"/>
        <w:spacing w:after="120"/>
        <w:ind w:left="720" w:hanging="720"/>
        <w:rPr>
          <w:b/>
          <w:sz w:val="24"/>
          <w:szCs w:val="24"/>
        </w:rPr>
      </w:pPr>
      <w:r>
        <w:rPr>
          <w:sz w:val="24"/>
          <w:szCs w:val="24"/>
        </w:rPr>
        <w:t>5</w:t>
      </w:r>
      <w:r w:rsidR="001527C1" w:rsidRPr="000E645A">
        <w:rPr>
          <w:sz w:val="24"/>
          <w:szCs w:val="24"/>
        </w:rPr>
        <w:t>.2</w:t>
      </w:r>
      <w:r w:rsidR="001527C1" w:rsidRPr="000E645A">
        <w:rPr>
          <w:b/>
          <w:sz w:val="24"/>
          <w:szCs w:val="24"/>
        </w:rPr>
        <w:tab/>
        <w:t>MRSA Blood stream infection rates</w:t>
      </w:r>
    </w:p>
    <w:p w14:paraId="3A985B4C" w14:textId="4F69761B" w:rsidR="00696716" w:rsidRDefault="001527C1" w:rsidP="002038FA">
      <w:pPr>
        <w:spacing w:after="120"/>
        <w:ind w:left="720"/>
        <w:rPr>
          <w:sz w:val="24"/>
          <w:szCs w:val="24"/>
        </w:rPr>
      </w:pPr>
      <w:r w:rsidRPr="000E645A">
        <w:rPr>
          <w:sz w:val="24"/>
          <w:szCs w:val="24"/>
        </w:rPr>
        <w:t xml:space="preserve">The </w:t>
      </w:r>
      <w:r w:rsidR="005565D5">
        <w:rPr>
          <w:sz w:val="24"/>
          <w:szCs w:val="24"/>
        </w:rPr>
        <w:t>n</w:t>
      </w:r>
      <w:r w:rsidRPr="000E645A">
        <w:rPr>
          <w:sz w:val="24"/>
          <w:szCs w:val="24"/>
        </w:rPr>
        <w:t xml:space="preserve">ational trajectory is set at zero. </w:t>
      </w:r>
      <w:r w:rsidR="003A0C7F">
        <w:rPr>
          <w:sz w:val="24"/>
          <w:szCs w:val="24"/>
        </w:rPr>
        <w:t>The Trust</w:t>
      </w:r>
      <w:r w:rsidRPr="000E645A">
        <w:rPr>
          <w:sz w:val="24"/>
          <w:szCs w:val="24"/>
        </w:rPr>
        <w:t xml:space="preserve"> performance for MRSA bacteraemia from </w:t>
      </w:r>
      <w:r w:rsidR="008C49FC" w:rsidRPr="000E645A">
        <w:rPr>
          <w:sz w:val="24"/>
          <w:szCs w:val="24"/>
        </w:rPr>
        <w:t xml:space="preserve"> </w:t>
      </w:r>
      <w:r w:rsidR="00EA2A91">
        <w:rPr>
          <w:sz w:val="24"/>
          <w:szCs w:val="24"/>
        </w:rPr>
        <w:t>1</w:t>
      </w:r>
      <w:r w:rsidR="00EA2A91" w:rsidRPr="00EA2A91">
        <w:rPr>
          <w:sz w:val="24"/>
          <w:szCs w:val="24"/>
          <w:vertAlign w:val="superscript"/>
        </w:rPr>
        <w:t>st</w:t>
      </w:r>
      <w:r w:rsidR="00EA2A91">
        <w:rPr>
          <w:sz w:val="24"/>
          <w:szCs w:val="24"/>
        </w:rPr>
        <w:t xml:space="preserve"> January 2023</w:t>
      </w:r>
      <w:r w:rsidR="00354A87">
        <w:rPr>
          <w:sz w:val="24"/>
          <w:szCs w:val="24"/>
        </w:rPr>
        <w:t xml:space="preserve"> </w:t>
      </w:r>
      <w:r w:rsidR="008C49FC" w:rsidRPr="000E645A">
        <w:rPr>
          <w:sz w:val="24"/>
          <w:szCs w:val="24"/>
        </w:rPr>
        <w:t xml:space="preserve">to </w:t>
      </w:r>
      <w:r w:rsidR="000E20E0">
        <w:rPr>
          <w:sz w:val="24"/>
          <w:szCs w:val="24"/>
        </w:rPr>
        <w:t>March 2022</w:t>
      </w:r>
      <w:r w:rsidR="00841E07" w:rsidRPr="000E645A">
        <w:rPr>
          <w:sz w:val="24"/>
          <w:szCs w:val="24"/>
        </w:rPr>
        <w:t xml:space="preserve"> </w:t>
      </w:r>
      <w:r w:rsidR="00653CC2">
        <w:rPr>
          <w:sz w:val="24"/>
          <w:szCs w:val="24"/>
        </w:rPr>
        <w:t>is</w:t>
      </w:r>
      <w:r w:rsidR="00841E07" w:rsidRPr="000E645A">
        <w:rPr>
          <w:sz w:val="24"/>
          <w:szCs w:val="24"/>
        </w:rPr>
        <w:t xml:space="preserve"> </w:t>
      </w:r>
      <w:r w:rsidR="00883DA2">
        <w:rPr>
          <w:sz w:val="24"/>
          <w:szCs w:val="24"/>
        </w:rPr>
        <w:t>zero.</w:t>
      </w:r>
      <w:r w:rsidR="00354A87">
        <w:rPr>
          <w:sz w:val="24"/>
          <w:szCs w:val="24"/>
        </w:rPr>
        <w:t xml:space="preserve"> To date the trust have had 0 reportable </w:t>
      </w:r>
      <w:r w:rsidR="00556F55">
        <w:rPr>
          <w:sz w:val="24"/>
          <w:szCs w:val="24"/>
        </w:rPr>
        <w:t>infections.</w:t>
      </w:r>
    </w:p>
    <w:p w14:paraId="01F3487B" w14:textId="20169D52" w:rsidR="001527C1" w:rsidRPr="000E645A" w:rsidRDefault="00D05622" w:rsidP="000E645A">
      <w:pPr>
        <w:spacing w:after="120"/>
        <w:ind w:left="720" w:hanging="720"/>
        <w:rPr>
          <w:b/>
          <w:sz w:val="24"/>
          <w:szCs w:val="24"/>
        </w:rPr>
      </w:pPr>
      <w:r>
        <w:rPr>
          <w:sz w:val="24"/>
          <w:szCs w:val="24"/>
        </w:rPr>
        <w:t>5</w:t>
      </w:r>
      <w:r w:rsidR="001527C1" w:rsidRPr="000E645A">
        <w:rPr>
          <w:sz w:val="24"/>
          <w:szCs w:val="24"/>
        </w:rPr>
        <w:t>.3</w:t>
      </w:r>
      <w:r w:rsidR="001527C1" w:rsidRPr="000E645A">
        <w:rPr>
          <w:sz w:val="24"/>
          <w:szCs w:val="24"/>
        </w:rPr>
        <w:tab/>
      </w:r>
      <w:r w:rsidR="001527C1" w:rsidRPr="000E645A">
        <w:rPr>
          <w:b/>
          <w:sz w:val="24"/>
          <w:szCs w:val="24"/>
        </w:rPr>
        <w:t>Clostridium difficile infection</w:t>
      </w:r>
      <w:r w:rsidR="00273B95">
        <w:rPr>
          <w:b/>
          <w:sz w:val="24"/>
          <w:szCs w:val="24"/>
        </w:rPr>
        <w:t xml:space="preserve"> (CDI)</w:t>
      </w:r>
      <w:r w:rsidR="001527C1" w:rsidRPr="000E645A">
        <w:rPr>
          <w:b/>
          <w:sz w:val="24"/>
          <w:szCs w:val="24"/>
        </w:rPr>
        <w:t xml:space="preserve"> rates</w:t>
      </w:r>
    </w:p>
    <w:p w14:paraId="57E9C855" w14:textId="65B8EB7E" w:rsidR="00354A87" w:rsidRDefault="00354A87" w:rsidP="00440AE2">
      <w:pPr>
        <w:spacing w:after="120"/>
        <w:ind w:left="720"/>
        <w:rPr>
          <w:sz w:val="24"/>
          <w:szCs w:val="24"/>
        </w:rPr>
      </w:pPr>
      <w:r>
        <w:rPr>
          <w:sz w:val="24"/>
          <w:szCs w:val="24"/>
        </w:rPr>
        <w:t xml:space="preserve">Currently the trust has not been issued with a </w:t>
      </w:r>
      <w:r w:rsidR="001527C1" w:rsidRPr="000E645A">
        <w:rPr>
          <w:sz w:val="24"/>
          <w:szCs w:val="24"/>
        </w:rPr>
        <w:t>trajectory for 20</w:t>
      </w:r>
      <w:r w:rsidR="008C49FC" w:rsidRPr="000E645A">
        <w:rPr>
          <w:sz w:val="24"/>
          <w:szCs w:val="24"/>
        </w:rPr>
        <w:t>2</w:t>
      </w:r>
      <w:r>
        <w:rPr>
          <w:sz w:val="24"/>
          <w:szCs w:val="24"/>
        </w:rPr>
        <w:t>3</w:t>
      </w:r>
      <w:r w:rsidR="001527C1" w:rsidRPr="000E645A">
        <w:rPr>
          <w:sz w:val="24"/>
          <w:szCs w:val="24"/>
        </w:rPr>
        <w:t>/2</w:t>
      </w:r>
      <w:r>
        <w:rPr>
          <w:sz w:val="24"/>
          <w:szCs w:val="24"/>
        </w:rPr>
        <w:t>4</w:t>
      </w:r>
      <w:r w:rsidR="001527C1" w:rsidRPr="000E645A">
        <w:rPr>
          <w:sz w:val="24"/>
          <w:szCs w:val="24"/>
        </w:rPr>
        <w:t xml:space="preserve"> </w:t>
      </w:r>
      <w:r>
        <w:rPr>
          <w:sz w:val="24"/>
          <w:szCs w:val="24"/>
        </w:rPr>
        <w:t>by the Integrated Care Board (ICB).  Cases for CDT are:</w:t>
      </w:r>
    </w:p>
    <w:p w14:paraId="3FA8AA34" w14:textId="1D119F63" w:rsidR="00354A87" w:rsidRPr="00440AE2" w:rsidRDefault="00440AE2" w:rsidP="00354A87">
      <w:pPr>
        <w:spacing w:after="120"/>
        <w:ind w:left="720"/>
        <w:rPr>
          <w:b/>
          <w:bCs/>
          <w:sz w:val="24"/>
          <w:szCs w:val="24"/>
        </w:rPr>
      </w:pPr>
      <w:r w:rsidRPr="00440AE2">
        <w:rPr>
          <w:b/>
          <w:bCs/>
          <w:sz w:val="24"/>
          <w:szCs w:val="24"/>
        </w:rPr>
        <w:t>1</w:t>
      </w:r>
      <w:r w:rsidRPr="00440AE2">
        <w:rPr>
          <w:b/>
          <w:bCs/>
          <w:sz w:val="24"/>
          <w:szCs w:val="24"/>
          <w:vertAlign w:val="superscript"/>
        </w:rPr>
        <w:t>st</w:t>
      </w:r>
      <w:r w:rsidRPr="00440AE2">
        <w:rPr>
          <w:b/>
          <w:bCs/>
          <w:sz w:val="24"/>
          <w:szCs w:val="24"/>
        </w:rPr>
        <w:t xml:space="preserve"> January – 30</w:t>
      </w:r>
      <w:r w:rsidRPr="00440AE2">
        <w:rPr>
          <w:b/>
          <w:bCs/>
          <w:sz w:val="24"/>
          <w:szCs w:val="24"/>
          <w:vertAlign w:val="superscript"/>
        </w:rPr>
        <w:t>th</w:t>
      </w:r>
      <w:r w:rsidRPr="00440AE2">
        <w:rPr>
          <w:b/>
          <w:bCs/>
          <w:sz w:val="24"/>
          <w:szCs w:val="24"/>
        </w:rPr>
        <w:t xml:space="preserve"> March 20</w:t>
      </w:r>
      <w:r w:rsidR="00354A87" w:rsidRPr="00440AE2">
        <w:rPr>
          <w:b/>
          <w:bCs/>
          <w:sz w:val="24"/>
          <w:szCs w:val="24"/>
        </w:rPr>
        <w:t>23</w:t>
      </w:r>
    </w:p>
    <w:p w14:paraId="7A9A3426" w14:textId="77777777" w:rsidR="00440AE2" w:rsidRPr="00440AE2" w:rsidRDefault="00440AE2" w:rsidP="00440AE2">
      <w:pPr>
        <w:spacing w:after="0" w:line="240" w:lineRule="auto"/>
        <w:ind w:firstLine="720"/>
        <w:rPr>
          <w:sz w:val="24"/>
          <w:szCs w:val="24"/>
        </w:rPr>
      </w:pPr>
      <w:r w:rsidRPr="00440AE2">
        <w:rPr>
          <w:sz w:val="24"/>
          <w:szCs w:val="24"/>
        </w:rPr>
        <w:t>Jan – Clarendon ward, Evington centre</w:t>
      </w:r>
    </w:p>
    <w:p w14:paraId="08CFA020" w14:textId="77777777" w:rsidR="00440AE2" w:rsidRPr="00440AE2" w:rsidRDefault="00440AE2" w:rsidP="00440AE2">
      <w:pPr>
        <w:spacing w:after="0" w:line="240" w:lineRule="auto"/>
        <w:ind w:firstLine="720"/>
        <w:rPr>
          <w:sz w:val="24"/>
          <w:szCs w:val="24"/>
        </w:rPr>
      </w:pPr>
      <w:r w:rsidRPr="00440AE2">
        <w:rPr>
          <w:sz w:val="24"/>
          <w:szCs w:val="24"/>
        </w:rPr>
        <w:t>Jan – Charnwood ward, Loughborough Hospital</w:t>
      </w:r>
    </w:p>
    <w:p w14:paraId="203EAB17" w14:textId="77777777" w:rsidR="00440AE2" w:rsidRPr="00440AE2" w:rsidRDefault="00440AE2" w:rsidP="00440AE2">
      <w:pPr>
        <w:spacing w:after="0" w:line="240" w:lineRule="auto"/>
        <w:ind w:firstLine="720"/>
        <w:rPr>
          <w:sz w:val="24"/>
          <w:szCs w:val="24"/>
        </w:rPr>
      </w:pPr>
      <w:r w:rsidRPr="00440AE2">
        <w:rPr>
          <w:sz w:val="24"/>
          <w:szCs w:val="24"/>
        </w:rPr>
        <w:t>Jan – Ward 1, Coalville Community Hospital</w:t>
      </w:r>
    </w:p>
    <w:p w14:paraId="1F36656D" w14:textId="77777777" w:rsidR="00440AE2" w:rsidRPr="00440AE2" w:rsidRDefault="00440AE2" w:rsidP="00440AE2">
      <w:pPr>
        <w:spacing w:after="0" w:line="240" w:lineRule="auto"/>
        <w:ind w:firstLine="720"/>
        <w:rPr>
          <w:sz w:val="24"/>
          <w:szCs w:val="24"/>
        </w:rPr>
      </w:pPr>
      <w:r w:rsidRPr="00440AE2">
        <w:rPr>
          <w:sz w:val="24"/>
          <w:szCs w:val="24"/>
        </w:rPr>
        <w:t>Feb – Clarendon ward, Evington Centre</w:t>
      </w:r>
    </w:p>
    <w:p w14:paraId="5301E5B3" w14:textId="77777777" w:rsidR="00354A87" w:rsidRDefault="00354A87" w:rsidP="00354A87">
      <w:pPr>
        <w:spacing w:after="120"/>
        <w:ind w:left="720"/>
        <w:rPr>
          <w:sz w:val="24"/>
          <w:szCs w:val="24"/>
        </w:rPr>
      </w:pPr>
    </w:p>
    <w:p w14:paraId="29FBBC52" w14:textId="2788B3D1" w:rsidR="00440AE2" w:rsidRPr="00440AE2" w:rsidRDefault="00440AE2" w:rsidP="00354A87">
      <w:pPr>
        <w:spacing w:after="120"/>
        <w:ind w:left="720"/>
        <w:rPr>
          <w:b/>
          <w:bCs/>
          <w:sz w:val="24"/>
          <w:szCs w:val="24"/>
        </w:rPr>
      </w:pPr>
      <w:r w:rsidRPr="00440AE2">
        <w:rPr>
          <w:b/>
          <w:bCs/>
          <w:sz w:val="24"/>
          <w:szCs w:val="24"/>
        </w:rPr>
        <w:t>1</w:t>
      </w:r>
      <w:r w:rsidRPr="00440AE2">
        <w:rPr>
          <w:b/>
          <w:bCs/>
          <w:sz w:val="24"/>
          <w:szCs w:val="24"/>
          <w:vertAlign w:val="superscript"/>
        </w:rPr>
        <w:t>st</w:t>
      </w:r>
      <w:r w:rsidRPr="00440AE2">
        <w:rPr>
          <w:b/>
          <w:bCs/>
          <w:sz w:val="24"/>
          <w:szCs w:val="24"/>
        </w:rPr>
        <w:t xml:space="preserve"> April – 30</w:t>
      </w:r>
      <w:r w:rsidRPr="00440AE2">
        <w:rPr>
          <w:b/>
          <w:bCs/>
          <w:sz w:val="24"/>
          <w:szCs w:val="24"/>
          <w:vertAlign w:val="superscript"/>
        </w:rPr>
        <w:t>th</w:t>
      </w:r>
      <w:r w:rsidRPr="00440AE2">
        <w:rPr>
          <w:b/>
          <w:bCs/>
          <w:sz w:val="24"/>
          <w:szCs w:val="24"/>
        </w:rPr>
        <w:t xml:space="preserve"> June 2023/24</w:t>
      </w:r>
    </w:p>
    <w:p w14:paraId="1E5B274C" w14:textId="77777777" w:rsidR="00440AE2" w:rsidRDefault="00440AE2" w:rsidP="00440AE2">
      <w:pPr>
        <w:autoSpaceDN w:val="0"/>
        <w:spacing w:after="0" w:line="240" w:lineRule="auto"/>
        <w:ind w:firstLine="720"/>
        <w:rPr>
          <w:rFonts w:cs="Arial"/>
          <w:sz w:val="24"/>
          <w:szCs w:val="24"/>
        </w:rPr>
      </w:pPr>
      <w:r>
        <w:rPr>
          <w:rFonts w:cs="Arial"/>
          <w:sz w:val="24"/>
          <w:szCs w:val="24"/>
        </w:rPr>
        <w:t>Apr – Beechwood ward, Evington centre</w:t>
      </w:r>
    </w:p>
    <w:p w14:paraId="29FF509F" w14:textId="77777777" w:rsidR="00440AE2" w:rsidRDefault="00440AE2" w:rsidP="00440AE2">
      <w:pPr>
        <w:autoSpaceDN w:val="0"/>
        <w:spacing w:after="0" w:line="240" w:lineRule="auto"/>
        <w:ind w:firstLine="720"/>
        <w:rPr>
          <w:rFonts w:cs="Arial"/>
          <w:sz w:val="24"/>
          <w:szCs w:val="24"/>
        </w:rPr>
      </w:pPr>
      <w:r>
        <w:rPr>
          <w:rFonts w:cs="Arial"/>
          <w:sz w:val="24"/>
          <w:szCs w:val="24"/>
        </w:rPr>
        <w:t>Apr – East ward, Hinckley &amp; Bosworth</w:t>
      </w:r>
    </w:p>
    <w:p w14:paraId="42C4BE93" w14:textId="77777777" w:rsidR="00440AE2" w:rsidRDefault="00440AE2" w:rsidP="00440AE2">
      <w:pPr>
        <w:autoSpaceDN w:val="0"/>
        <w:spacing w:after="0" w:line="240" w:lineRule="auto"/>
        <w:ind w:firstLine="720"/>
        <w:rPr>
          <w:rFonts w:cs="Arial"/>
          <w:sz w:val="24"/>
          <w:szCs w:val="24"/>
        </w:rPr>
      </w:pPr>
      <w:r>
        <w:rPr>
          <w:rFonts w:cs="Arial"/>
          <w:sz w:val="24"/>
          <w:szCs w:val="24"/>
        </w:rPr>
        <w:t>Apr – East ward, Hinckley &amp; Bosworth</w:t>
      </w:r>
    </w:p>
    <w:p w14:paraId="10CFECF0" w14:textId="744EF55F" w:rsidR="00440AE2" w:rsidRPr="003E7C52" w:rsidRDefault="00E11283" w:rsidP="00440AE2">
      <w:pPr>
        <w:autoSpaceDN w:val="0"/>
        <w:spacing w:after="0" w:line="240" w:lineRule="auto"/>
        <w:ind w:firstLine="720"/>
        <w:rPr>
          <w:rFonts w:cs="Arial"/>
          <w:sz w:val="24"/>
          <w:szCs w:val="24"/>
        </w:rPr>
      </w:pPr>
      <w:r>
        <w:rPr>
          <w:rFonts w:cs="Arial"/>
          <w:sz w:val="24"/>
          <w:szCs w:val="24"/>
        </w:rPr>
        <w:t>Apr – Clarendon ward, Evington centre</w:t>
      </w:r>
    </w:p>
    <w:p w14:paraId="13C17D5F" w14:textId="0A68CEC7" w:rsidR="00440AE2" w:rsidRDefault="00440AE2" w:rsidP="00440AE2">
      <w:pPr>
        <w:tabs>
          <w:tab w:val="left" w:pos="7190"/>
        </w:tabs>
        <w:autoSpaceDN w:val="0"/>
        <w:spacing w:after="0" w:line="240" w:lineRule="auto"/>
        <w:rPr>
          <w:rFonts w:cs="Arial"/>
          <w:sz w:val="24"/>
          <w:szCs w:val="24"/>
        </w:rPr>
      </w:pPr>
      <w:r>
        <w:rPr>
          <w:rFonts w:cs="Arial"/>
          <w:sz w:val="24"/>
          <w:szCs w:val="24"/>
        </w:rPr>
        <w:t xml:space="preserve">             M</w:t>
      </w:r>
      <w:r w:rsidRPr="00586C39">
        <w:rPr>
          <w:rFonts w:cs="Arial"/>
          <w:sz w:val="24"/>
          <w:szCs w:val="24"/>
        </w:rPr>
        <w:t xml:space="preserve">ay – Clarendon </w:t>
      </w:r>
      <w:r>
        <w:rPr>
          <w:rFonts w:cs="Arial"/>
          <w:sz w:val="24"/>
          <w:szCs w:val="24"/>
        </w:rPr>
        <w:t>w</w:t>
      </w:r>
      <w:r w:rsidRPr="00586C39">
        <w:rPr>
          <w:rFonts w:cs="Arial"/>
          <w:sz w:val="24"/>
          <w:szCs w:val="24"/>
        </w:rPr>
        <w:t>ard, Evington centre</w:t>
      </w:r>
    </w:p>
    <w:p w14:paraId="00F35240" w14:textId="2691A4C1" w:rsidR="00440AE2" w:rsidRDefault="00440AE2" w:rsidP="00440AE2">
      <w:pPr>
        <w:tabs>
          <w:tab w:val="left" w:pos="7190"/>
        </w:tabs>
        <w:autoSpaceDN w:val="0"/>
        <w:spacing w:after="0" w:line="240" w:lineRule="auto"/>
        <w:rPr>
          <w:rFonts w:cs="Arial"/>
          <w:sz w:val="24"/>
          <w:szCs w:val="24"/>
        </w:rPr>
      </w:pPr>
      <w:r>
        <w:rPr>
          <w:rFonts w:cs="Arial"/>
          <w:sz w:val="24"/>
          <w:szCs w:val="24"/>
        </w:rPr>
        <w:t xml:space="preserve">             Jun – Clarendon ward, Evington centre</w:t>
      </w:r>
    </w:p>
    <w:p w14:paraId="11A6FF39" w14:textId="3FEEB3DE" w:rsidR="00440AE2" w:rsidRDefault="00440AE2" w:rsidP="00440AE2">
      <w:pPr>
        <w:tabs>
          <w:tab w:val="left" w:pos="7190"/>
        </w:tabs>
        <w:autoSpaceDN w:val="0"/>
        <w:spacing w:after="0" w:line="240" w:lineRule="auto"/>
        <w:rPr>
          <w:rFonts w:cs="Arial"/>
          <w:sz w:val="24"/>
          <w:szCs w:val="24"/>
        </w:rPr>
      </w:pPr>
      <w:r>
        <w:rPr>
          <w:rFonts w:cs="Arial"/>
          <w:sz w:val="24"/>
          <w:szCs w:val="24"/>
        </w:rPr>
        <w:t xml:space="preserve">             Jun – North ward, Hinckley &amp; Bosworth</w:t>
      </w:r>
    </w:p>
    <w:p w14:paraId="6D3B7DEF" w14:textId="4E99FA5C" w:rsidR="00440AE2" w:rsidRPr="00400725" w:rsidRDefault="00440AE2" w:rsidP="00440AE2">
      <w:pPr>
        <w:spacing w:after="120"/>
        <w:ind w:left="720"/>
        <w:rPr>
          <w:sz w:val="24"/>
          <w:szCs w:val="24"/>
        </w:rPr>
      </w:pPr>
      <w:r>
        <w:rPr>
          <w:rFonts w:cs="Arial"/>
          <w:sz w:val="24"/>
          <w:szCs w:val="24"/>
        </w:rPr>
        <w:t>Jun – Dalgleish ward, Melton</w:t>
      </w:r>
    </w:p>
    <w:p w14:paraId="248A0FF7" w14:textId="0162050D" w:rsidR="001533B5" w:rsidRPr="000E645A" w:rsidRDefault="00D05622" w:rsidP="002B6695">
      <w:pPr>
        <w:spacing w:after="120"/>
        <w:ind w:left="720" w:hanging="720"/>
        <w:rPr>
          <w:sz w:val="24"/>
          <w:szCs w:val="24"/>
        </w:rPr>
      </w:pPr>
      <w:r>
        <w:rPr>
          <w:sz w:val="24"/>
          <w:szCs w:val="24"/>
        </w:rPr>
        <w:t>5</w:t>
      </w:r>
      <w:r w:rsidR="001527C1" w:rsidRPr="000E645A">
        <w:rPr>
          <w:sz w:val="24"/>
          <w:szCs w:val="24"/>
        </w:rPr>
        <w:t>.4</w:t>
      </w:r>
      <w:r w:rsidR="001527C1" w:rsidRPr="000E645A">
        <w:rPr>
          <w:sz w:val="24"/>
          <w:szCs w:val="24"/>
        </w:rPr>
        <w:tab/>
        <w:t xml:space="preserve">All episodes of MRSA bacteraemia and CDI are identified  are subject to a Root Cause Analysis </w:t>
      </w:r>
      <w:r w:rsidR="009B1276">
        <w:rPr>
          <w:sz w:val="24"/>
          <w:szCs w:val="24"/>
        </w:rPr>
        <w:t xml:space="preserve">(RCA) </w:t>
      </w:r>
      <w:r w:rsidR="001527C1" w:rsidRPr="000E645A">
        <w:rPr>
          <w:sz w:val="24"/>
          <w:szCs w:val="24"/>
        </w:rPr>
        <w:t>investigation</w:t>
      </w:r>
      <w:r w:rsidR="001527C1" w:rsidRPr="009A5DD3">
        <w:rPr>
          <w:sz w:val="24"/>
          <w:szCs w:val="24"/>
        </w:rPr>
        <w:t>.  All action plans developed as part of this process are presented t</w:t>
      </w:r>
      <w:r w:rsidR="00A87965" w:rsidRPr="009A5DD3">
        <w:rPr>
          <w:sz w:val="24"/>
          <w:szCs w:val="24"/>
        </w:rPr>
        <w:t xml:space="preserve">o the </w:t>
      </w:r>
      <w:r w:rsidR="002B6695" w:rsidRPr="009A5DD3">
        <w:rPr>
          <w:sz w:val="24"/>
          <w:szCs w:val="24"/>
        </w:rPr>
        <w:t>Trust IPC</w:t>
      </w:r>
      <w:r w:rsidR="001527C1" w:rsidRPr="009A5DD3">
        <w:rPr>
          <w:sz w:val="24"/>
          <w:szCs w:val="24"/>
        </w:rPr>
        <w:t xml:space="preserve"> meeting which support</w:t>
      </w:r>
      <w:r w:rsidR="00A87965" w:rsidRPr="009A5DD3">
        <w:rPr>
          <w:sz w:val="24"/>
          <w:szCs w:val="24"/>
        </w:rPr>
        <w:t>s</w:t>
      </w:r>
      <w:r w:rsidR="001527C1" w:rsidRPr="009A5DD3">
        <w:rPr>
          <w:sz w:val="24"/>
          <w:szCs w:val="24"/>
        </w:rPr>
        <w:t xml:space="preserve"> the sign off of completed actions</w:t>
      </w:r>
      <w:r w:rsidR="00A87965">
        <w:rPr>
          <w:sz w:val="24"/>
          <w:szCs w:val="24"/>
        </w:rPr>
        <w:t xml:space="preserve"> and an opportunity to share learning</w:t>
      </w:r>
      <w:r w:rsidR="001527C1" w:rsidRPr="000E645A">
        <w:rPr>
          <w:sz w:val="24"/>
          <w:szCs w:val="24"/>
        </w:rPr>
        <w:t xml:space="preserve">. </w:t>
      </w:r>
      <w:r w:rsidR="000C71F7">
        <w:rPr>
          <w:sz w:val="24"/>
          <w:szCs w:val="24"/>
        </w:rPr>
        <w:t xml:space="preserve">Due to the increase in numbers of CDI infection in a quarter </w:t>
      </w:r>
      <w:r w:rsidR="00556F55">
        <w:rPr>
          <w:sz w:val="24"/>
          <w:szCs w:val="24"/>
        </w:rPr>
        <w:t>an</w:t>
      </w:r>
      <w:r w:rsidR="000C71F7">
        <w:rPr>
          <w:sz w:val="24"/>
          <w:szCs w:val="24"/>
        </w:rPr>
        <w:t xml:space="preserve"> in-depth review is ongoing to identify any key components that have impacted on creating this increase. Both regional and national figures for CDI in both acute and non-acute trusts have seen an increase and are reflective of LPT’s experience.</w:t>
      </w:r>
    </w:p>
    <w:p w14:paraId="2BA40E2E" w14:textId="7B8BAE52" w:rsidR="001527C1" w:rsidRPr="000E645A" w:rsidRDefault="00D05622" w:rsidP="000E645A">
      <w:pPr>
        <w:spacing w:after="120"/>
        <w:ind w:left="720" w:hanging="720"/>
        <w:rPr>
          <w:b/>
          <w:sz w:val="24"/>
          <w:szCs w:val="24"/>
        </w:rPr>
      </w:pPr>
      <w:r>
        <w:rPr>
          <w:sz w:val="24"/>
          <w:szCs w:val="24"/>
        </w:rPr>
        <w:t>5</w:t>
      </w:r>
      <w:r w:rsidR="001527C1" w:rsidRPr="000E645A">
        <w:rPr>
          <w:sz w:val="24"/>
          <w:szCs w:val="24"/>
        </w:rPr>
        <w:t>.5</w:t>
      </w:r>
      <w:r w:rsidR="001527C1" w:rsidRPr="000E645A">
        <w:rPr>
          <w:b/>
          <w:sz w:val="24"/>
          <w:szCs w:val="24"/>
        </w:rPr>
        <w:tab/>
        <w:t>MSSA Blood stream infection rates</w:t>
      </w:r>
    </w:p>
    <w:p w14:paraId="4FC0BF45" w14:textId="48321521" w:rsidR="00FF0EF4" w:rsidRPr="000E645A" w:rsidRDefault="001527C1" w:rsidP="002038FA">
      <w:pPr>
        <w:spacing w:after="120"/>
        <w:ind w:left="720" w:hanging="720"/>
        <w:rPr>
          <w:sz w:val="24"/>
          <w:szCs w:val="24"/>
        </w:rPr>
      </w:pPr>
      <w:r w:rsidRPr="000E645A">
        <w:rPr>
          <w:sz w:val="24"/>
          <w:szCs w:val="24"/>
        </w:rPr>
        <w:lastRenderedPageBreak/>
        <w:tab/>
        <w:t xml:space="preserve">There is no identified </w:t>
      </w:r>
      <w:r w:rsidR="00A87965">
        <w:rPr>
          <w:sz w:val="24"/>
          <w:szCs w:val="24"/>
        </w:rPr>
        <w:t xml:space="preserve">Trust </w:t>
      </w:r>
      <w:r w:rsidR="002B6695" w:rsidRPr="000E645A">
        <w:rPr>
          <w:sz w:val="24"/>
          <w:szCs w:val="24"/>
        </w:rPr>
        <w:t>trajectory for</w:t>
      </w:r>
      <w:r w:rsidRPr="000E645A">
        <w:rPr>
          <w:sz w:val="24"/>
          <w:szCs w:val="24"/>
        </w:rPr>
        <w:t xml:space="preserve"> MSSA, with national requirements focused on acute trust services only.  </w:t>
      </w:r>
      <w:r w:rsidR="00A87965" w:rsidRPr="000E645A">
        <w:rPr>
          <w:sz w:val="24"/>
          <w:szCs w:val="24"/>
        </w:rPr>
        <w:t>However,</w:t>
      </w:r>
      <w:r w:rsidRPr="000E645A">
        <w:rPr>
          <w:sz w:val="24"/>
          <w:szCs w:val="24"/>
        </w:rPr>
        <w:t xml:space="preserve"> the monthly data for this infection rate is submitted to the </w:t>
      </w:r>
      <w:r w:rsidR="00557593">
        <w:rPr>
          <w:sz w:val="24"/>
          <w:szCs w:val="24"/>
        </w:rPr>
        <w:t>IPC Assurance group</w:t>
      </w:r>
      <w:r w:rsidR="00AA48FE">
        <w:rPr>
          <w:sz w:val="24"/>
          <w:szCs w:val="24"/>
        </w:rPr>
        <w:t xml:space="preserve"> </w:t>
      </w:r>
      <w:r w:rsidRPr="000E645A">
        <w:rPr>
          <w:sz w:val="24"/>
          <w:szCs w:val="24"/>
        </w:rPr>
        <w:t xml:space="preserve">as part of the quality schedule, this supports the overview of the infection rates and the potential of an increase which may need further review and </w:t>
      </w:r>
      <w:r w:rsidR="00557593" w:rsidRPr="000E645A">
        <w:rPr>
          <w:sz w:val="24"/>
          <w:szCs w:val="24"/>
        </w:rPr>
        <w:t>investigation.</w:t>
      </w:r>
    </w:p>
    <w:p w14:paraId="30769BA0" w14:textId="4E8B931F" w:rsidR="001527C1" w:rsidRPr="000E645A" w:rsidRDefault="00D05622" w:rsidP="000E645A">
      <w:pPr>
        <w:autoSpaceDE w:val="0"/>
        <w:autoSpaceDN w:val="0"/>
        <w:adjustRightInd w:val="0"/>
        <w:spacing w:after="120"/>
        <w:ind w:left="720" w:hanging="720"/>
        <w:rPr>
          <w:b/>
          <w:sz w:val="24"/>
          <w:szCs w:val="24"/>
        </w:rPr>
      </w:pPr>
      <w:r>
        <w:rPr>
          <w:sz w:val="24"/>
          <w:szCs w:val="24"/>
        </w:rPr>
        <w:t>5</w:t>
      </w:r>
      <w:r w:rsidR="001527C1" w:rsidRPr="000E645A">
        <w:rPr>
          <w:sz w:val="24"/>
          <w:szCs w:val="24"/>
        </w:rPr>
        <w:t>.6</w:t>
      </w:r>
      <w:r w:rsidR="001527C1" w:rsidRPr="000E645A">
        <w:rPr>
          <w:b/>
          <w:sz w:val="24"/>
          <w:szCs w:val="24"/>
        </w:rPr>
        <w:tab/>
        <w:t>Gram Negative Blood Stream Infection (GNBSI) rates</w:t>
      </w:r>
    </w:p>
    <w:p w14:paraId="0BFA074C" w14:textId="4CE9F00A" w:rsidR="001C475B" w:rsidRPr="001C475B" w:rsidRDefault="001527C1" w:rsidP="001C475B">
      <w:pPr>
        <w:pStyle w:val="ListParagraph"/>
        <w:tabs>
          <w:tab w:val="left" w:pos="1380"/>
        </w:tabs>
        <w:spacing w:after="120"/>
        <w:ind w:hanging="720"/>
        <w:rPr>
          <w:lang w:val="en-US"/>
        </w:rPr>
      </w:pPr>
      <w:r w:rsidRPr="000E645A">
        <w:rPr>
          <w:rFonts w:eastAsia="Arial"/>
          <w:sz w:val="24"/>
          <w:szCs w:val="24"/>
        </w:rPr>
        <w:tab/>
      </w:r>
      <w:r w:rsidR="00E07733">
        <w:rPr>
          <w:sz w:val="24"/>
          <w:szCs w:val="24"/>
          <w:lang w:val="en-US"/>
        </w:rPr>
        <w:t>T</w:t>
      </w:r>
      <w:r w:rsidR="00DE015A" w:rsidRPr="001C475B">
        <w:rPr>
          <w:sz w:val="24"/>
          <w:szCs w:val="24"/>
          <w:lang w:val="en-US"/>
        </w:rPr>
        <w:t xml:space="preserve">he NHS Long Term Plan supports a 50% reduction in Gram-negative bloodstream infections (GNBSIs) by 2024/25. </w:t>
      </w:r>
      <w:r w:rsidR="001C475B" w:rsidRPr="001C475B">
        <w:rPr>
          <w:rFonts w:eastAsia="Times New Roman" w:cs="Times New Roman"/>
          <w:sz w:val="24"/>
          <w:szCs w:val="24"/>
          <w:lang w:val="en-US" w:eastAsia="en-GB"/>
        </w:rPr>
        <w:t>To help NHS systems achieve this, NHS England have developed a GNBSI reduction toolkit: a collection of guidance notes, actions and resources to support reducing GNBSI.</w:t>
      </w:r>
    </w:p>
    <w:p w14:paraId="2E8D90C5" w14:textId="76098AA3" w:rsidR="001527C1" w:rsidRPr="000E645A" w:rsidRDefault="001527C1" w:rsidP="000E645A">
      <w:pPr>
        <w:autoSpaceDE w:val="0"/>
        <w:autoSpaceDN w:val="0"/>
        <w:adjustRightInd w:val="0"/>
        <w:spacing w:after="120"/>
        <w:ind w:left="720" w:hanging="720"/>
        <w:rPr>
          <w:sz w:val="24"/>
          <w:szCs w:val="24"/>
        </w:rPr>
      </w:pPr>
      <w:r w:rsidRPr="000E645A">
        <w:rPr>
          <w:sz w:val="24"/>
          <w:szCs w:val="24"/>
        </w:rPr>
        <w:tab/>
        <w:t xml:space="preserve">From April 2018 the </w:t>
      </w:r>
      <w:r w:rsidR="00D406B5" w:rsidRPr="000E645A">
        <w:rPr>
          <w:sz w:val="24"/>
          <w:szCs w:val="24"/>
        </w:rPr>
        <w:t>Gram-Negative</w:t>
      </w:r>
      <w:r w:rsidRPr="000E645A">
        <w:rPr>
          <w:sz w:val="24"/>
          <w:szCs w:val="24"/>
        </w:rPr>
        <w:t xml:space="preserve"> Bloodstream Infection rates include:</w:t>
      </w:r>
    </w:p>
    <w:p w14:paraId="07F7A405"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E-Coli</w:t>
      </w:r>
    </w:p>
    <w:p w14:paraId="425C0E1C"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Klebsiella pneumonia</w:t>
      </w:r>
    </w:p>
    <w:p w14:paraId="60962E26" w14:textId="77777777" w:rsidR="002038F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Pseudomonas aeruginosa</w:t>
      </w:r>
    </w:p>
    <w:p w14:paraId="7C7549CF" w14:textId="77777777" w:rsidR="00200E99" w:rsidRPr="002038FA" w:rsidRDefault="00200E99" w:rsidP="00200E99">
      <w:pPr>
        <w:pStyle w:val="ListParagraph"/>
        <w:autoSpaceDE w:val="0"/>
        <w:autoSpaceDN w:val="0"/>
        <w:adjustRightInd w:val="0"/>
        <w:spacing w:after="0"/>
        <w:ind w:left="1440"/>
        <w:contextualSpacing w:val="0"/>
        <w:rPr>
          <w:sz w:val="24"/>
          <w:szCs w:val="24"/>
        </w:rPr>
      </w:pPr>
    </w:p>
    <w:p w14:paraId="5B46D962" w14:textId="133E5231" w:rsidR="001C475B" w:rsidRDefault="00D05622" w:rsidP="002B6695">
      <w:pPr>
        <w:spacing w:after="120"/>
        <w:ind w:left="720" w:hanging="720"/>
        <w:rPr>
          <w:sz w:val="24"/>
          <w:szCs w:val="24"/>
        </w:rPr>
      </w:pPr>
      <w:r>
        <w:rPr>
          <w:sz w:val="24"/>
          <w:szCs w:val="24"/>
        </w:rPr>
        <w:t>5</w:t>
      </w:r>
      <w:r w:rsidR="001527C1" w:rsidRPr="000E645A">
        <w:rPr>
          <w:sz w:val="24"/>
          <w:szCs w:val="24"/>
        </w:rPr>
        <w:t>.7</w:t>
      </w:r>
      <w:r w:rsidR="001527C1" w:rsidRPr="000E645A">
        <w:rPr>
          <w:sz w:val="24"/>
          <w:szCs w:val="24"/>
        </w:rPr>
        <w:tab/>
        <w:t xml:space="preserve">There is no </w:t>
      </w:r>
      <w:r w:rsidR="00A87965">
        <w:rPr>
          <w:sz w:val="24"/>
          <w:szCs w:val="24"/>
        </w:rPr>
        <w:t>Trust</w:t>
      </w:r>
      <w:r w:rsidR="001527C1" w:rsidRPr="000E645A">
        <w:rPr>
          <w:sz w:val="24"/>
          <w:szCs w:val="24"/>
        </w:rPr>
        <w:t xml:space="preserve"> trajectory for GNBSI, however monthly data for this infection rate is submitted to the</w:t>
      </w:r>
      <w:r w:rsidR="007162B0">
        <w:rPr>
          <w:sz w:val="24"/>
          <w:szCs w:val="24"/>
        </w:rPr>
        <w:t xml:space="preserve"> Infection Prevention and Control Assurance Group Meeting</w:t>
      </w:r>
      <w:r w:rsidR="001527C1" w:rsidRPr="000E645A">
        <w:rPr>
          <w:sz w:val="24"/>
          <w:szCs w:val="24"/>
        </w:rPr>
        <w:t>.</w:t>
      </w:r>
      <w:r w:rsidR="00731133">
        <w:rPr>
          <w:sz w:val="24"/>
          <w:szCs w:val="24"/>
        </w:rPr>
        <w:t xml:space="preserve"> </w:t>
      </w:r>
    </w:p>
    <w:p w14:paraId="231152DD" w14:textId="1A4A9325" w:rsidR="00440AE2" w:rsidRPr="00D605A7" w:rsidRDefault="001C475B" w:rsidP="00D605A7">
      <w:pPr>
        <w:spacing w:after="120"/>
        <w:ind w:left="720" w:hanging="720"/>
        <w:rPr>
          <w:sz w:val="24"/>
          <w:szCs w:val="24"/>
        </w:rPr>
      </w:pPr>
      <w:r>
        <w:rPr>
          <w:sz w:val="24"/>
          <w:szCs w:val="24"/>
        </w:rPr>
        <w:t>5.8</w:t>
      </w:r>
      <w:r>
        <w:rPr>
          <w:sz w:val="24"/>
          <w:szCs w:val="24"/>
        </w:rPr>
        <w:tab/>
      </w:r>
      <w:r w:rsidR="00440AE2">
        <w:rPr>
          <w:sz w:val="24"/>
          <w:szCs w:val="24"/>
        </w:rPr>
        <w:t xml:space="preserve">The </w:t>
      </w:r>
      <w:r w:rsidR="007162B0">
        <w:rPr>
          <w:sz w:val="24"/>
          <w:szCs w:val="24"/>
        </w:rPr>
        <w:t xml:space="preserve">nationally </w:t>
      </w:r>
      <w:r w:rsidR="00731133">
        <w:rPr>
          <w:sz w:val="24"/>
          <w:szCs w:val="24"/>
        </w:rPr>
        <w:t xml:space="preserve">planned workstreams </w:t>
      </w:r>
      <w:r w:rsidR="00440AE2">
        <w:rPr>
          <w:sz w:val="24"/>
          <w:szCs w:val="24"/>
        </w:rPr>
        <w:t xml:space="preserve">initially halted due to the pandemic </w:t>
      </w:r>
      <w:r w:rsidR="00731133">
        <w:rPr>
          <w:sz w:val="24"/>
          <w:szCs w:val="24"/>
        </w:rPr>
        <w:t>to look at improving the reduction in rates ha</w:t>
      </w:r>
      <w:r w:rsidR="00440AE2">
        <w:rPr>
          <w:sz w:val="24"/>
          <w:szCs w:val="24"/>
        </w:rPr>
        <w:t>ve now recommenced</w:t>
      </w:r>
      <w:r w:rsidR="00731133">
        <w:rPr>
          <w:sz w:val="24"/>
          <w:szCs w:val="24"/>
        </w:rPr>
        <w:t>.</w:t>
      </w:r>
    </w:p>
    <w:p w14:paraId="70BB6A0A" w14:textId="2B83B387" w:rsidR="004953F5" w:rsidRDefault="00D05622" w:rsidP="004953F5">
      <w:pPr>
        <w:pStyle w:val="Default"/>
        <w:spacing w:after="120" w:line="276" w:lineRule="auto"/>
        <w:ind w:left="720" w:hanging="720"/>
      </w:pPr>
      <w:r w:rsidRPr="002B6695">
        <w:rPr>
          <w:rFonts w:asciiTheme="minorHAnsi" w:hAnsiTheme="minorHAnsi"/>
          <w:b/>
          <w:bCs/>
        </w:rPr>
        <w:t>6</w:t>
      </w:r>
      <w:r w:rsidR="00FF0EF4" w:rsidRPr="002B6695">
        <w:rPr>
          <w:rFonts w:asciiTheme="minorHAnsi" w:hAnsiTheme="minorHAnsi"/>
          <w:b/>
          <w:bCs/>
        </w:rPr>
        <w:t>.</w:t>
      </w:r>
      <w:r w:rsidR="007162B0">
        <w:rPr>
          <w:rFonts w:asciiTheme="minorHAnsi" w:hAnsiTheme="minorHAnsi"/>
          <w:b/>
          <w:bCs/>
        </w:rPr>
        <w:t>0</w:t>
      </w:r>
      <w:r w:rsidR="001527C1" w:rsidRPr="000E645A">
        <w:rPr>
          <w:rFonts w:asciiTheme="minorHAnsi" w:hAnsiTheme="minorHAnsi"/>
        </w:rPr>
        <w:tab/>
      </w:r>
      <w:bookmarkStart w:id="7" w:name="_Hlk138069863"/>
      <w:r w:rsidR="004953F5">
        <w:rPr>
          <w:rFonts w:ascii="Calibri" w:hAnsi="Calibri"/>
          <w:b/>
          <w:bCs/>
        </w:rPr>
        <w:t xml:space="preserve">Ventilation </w:t>
      </w:r>
    </w:p>
    <w:p w14:paraId="60DFF09A" w14:textId="77777777" w:rsidR="004953F5" w:rsidRDefault="004953F5" w:rsidP="004953F5">
      <w:pPr>
        <w:spacing w:after="120"/>
        <w:ind w:left="720" w:hanging="720"/>
        <w:rPr>
          <w:sz w:val="24"/>
          <w:szCs w:val="24"/>
        </w:rPr>
      </w:pPr>
      <w:r>
        <w:rPr>
          <w:spacing w:val="-1"/>
          <w:sz w:val="24"/>
          <w:szCs w:val="24"/>
        </w:rPr>
        <w:t xml:space="preserve">6.1        The </w:t>
      </w:r>
      <w:r>
        <w:rPr>
          <w:sz w:val="24"/>
          <w:szCs w:val="24"/>
        </w:rPr>
        <w:t xml:space="preserve">Trust has re-appointed the existing Authorising Engineer AE(V) for ventilation directly, GPT Consulting.  Continuity of expert advice remains an important factor in compliance with NHS IPC requirements including high consequence respiratory infections such as Covid-19 and Influenza.  </w:t>
      </w:r>
    </w:p>
    <w:p w14:paraId="0A1E1E3D" w14:textId="77777777" w:rsidR="004953F5" w:rsidRDefault="004953F5" w:rsidP="004953F5">
      <w:pPr>
        <w:spacing w:after="120"/>
        <w:ind w:left="720" w:hanging="720"/>
        <w:rPr>
          <w:sz w:val="24"/>
          <w:szCs w:val="24"/>
        </w:rPr>
      </w:pPr>
      <w:r>
        <w:rPr>
          <w:sz w:val="24"/>
          <w:szCs w:val="24"/>
        </w:rPr>
        <w:t>6.2        The inaugural Ventilation Safety Group (VSG) took place in May 2021 and has met subsequently at 2 monthly intervals to provide the foundation for ventilation compliance discussions in the Trust.  The Terms of Reference and Ventilation Policy documents have been prepared and approved accordingly.  Attendance is from key representatives across the Trust.</w:t>
      </w:r>
    </w:p>
    <w:p w14:paraId="407AB8EA" w14:textId="77777777" w:rsidR="004953F5" w:rsidRDefault="004953F5" w:rsidP="004953F5">
      <w:pPr>
        <w:spacing w:after="120"/>
        <w:ind w:left="720" w:hanging="720"/>
        <w:rPr>
          <w:sz w:val="24"/>
          <w:szCs w:val="24"/>
        </w:rPr>
      </w:pPr>
      <w:r>
        <w:rPr>
          <w:sz w:val="24"/>
          <w:szCs w:val="24"/>
        </w:rPr>
        <w:t xml:space="preserve">6.3        The VSG has worked to progress key fundamental governance requirements in support of safe spaces for patients, staff and visitors.  The group focus includes: HTM and Policy updates; statutory compliance; advice during pandemic; requests for change of use; matters arising from current operational use of spaces; and examination of potential new products to the market for use in LPT.  </w:t>
      </w:r>
    </w:p>
    <w:p w14:paraId="3F14D009" w14:textId="77777777" w:rsidR="004953F5" w:rsidRDefault="004953F5" w:rsidP="004953F5">
      <w:pPr>
        <w:spacing w:after="120"/>
        <w:ind w:left="720" w:hanging="720"/>
        <w:rPr>
          <w:sz w:val="24"/>
          <w:szCs w:val="24"/>
        </w:rPr>
      </w:pPr>
      <w:r>
        <w:rPr>
          <w:sz w:val="24"/>
          <w:szCs w:val="24"/>
        </w:rPr>
        <w:t>6.4        Due to concerns regarding the previous external maintenance programme and lack of assurances, the VSG group commissioned a full ventilation audit to provide the Trust an assessment of the adequacy of the ventilation systems deployed across our estate.  This feedback has been extended to include a supplementary audit of sites with repeated Covid-19 outbreaks.  Reports complete and issued to the group.  Capital investment will be required based on clinical requirements for the wards.</w:t>
      </w:r>
    </w:p>
    <w:p w14:paraId="1C7DB9BF" w14:textId="77777777" w:rsidR="004953F5" w:rsidRDefault="004953F5" w:rsidP="004953F5">
      <w:pPr>
        <w:spacing w:after="120"/>
        <w:ind w:left="720" w:hanging="720"/>
        <w:rPr>
          <w:sz w:val="24"/>
          <w:szCs w:val="24"/>
        </w:rPr>
      </w:pPr>
      <w:r>
        <w:rPr>
          <w:sz w:val="24"/>
          <w:szCs w:val="24"/>
        </w:rPr>
        <w:t>6.5        The VSG has provided appropriate advice to H&amp;S and IPC to support the Reset &amp; Rebuild transformation work, and hybrid working, and more recently post covid arrangements.</w:t>
      </w:r>
    </w:p>
    <w:p w14:paraId="1E4B8B03" w14:textId="77777777" w:rsidR="004953F5" w:rsidRDefault="004953F5" w:rsidP="004953F5">
      <w:pPr>
        <w:spacing w:after="120"/>
        <w:ind w:left="720" w:hanging="720"/>
        <w:rPr>
          <w:sz w:val="24"/>
          <w:szCs w:val="24"/>
        </w:rPr>
      </w:pPr>
      <w:r>
        <w:rPr>
          <w:sz w:val="24"/>
          <w:szCs w:val="24"/>
        </w:rPr>
        <w:lastRenderedPageBreak/>
        <w:t>6.6        A crucial aspect of VSG is to address issues around asset and compliance data checks, technical compliance, design advice, approval of capital designs, reviewing management processes and organisational governance arrangements.</w:t>
      </w:r>
    </w:p>
    <w:p w14:paraId="5320B586" w14:textId="77777777" w:rsidR="004953F5" w:rsidRDefault="004953F5" w:rsidP="004953F5">
      <w:pPr>
        <w:spacing w:after="120"/>
        <w:rPr>
          <w:sz w:val="24"/>
          <w:szCs w:val="24"/>
        </w:rPr>
      </w:pPr>
      <w:r>
        <w:rPr>
          <w:sz w:val="24"/>
          <w:szCs w:val="24"/>
        </w:rPr>
        <w:t>Key achievements include:</w:t>
      </w:r>
    </w:p>
    <w:p w14:paraId="28E0C1CE" w14:textId="77777777" w:rsidR="004953F5" w:rsidRDefault="004953F5" w:rsidP="004953F5">
      <w:pPr>
        <w:pStyle w:val="ListParagraph"/>
        <w:numPr>
          <w:ilvl w:val="0"/>
          <w:numId w:val="17"/>
        </w:numPr>
        <w:spacing w:after="120"/>
        <w:rPr>
          <w:rFonts w:eastAsia="Times New Roman"/>
          <w:sz w:val="24"/>
          <w:szCs w:val="24"/>
        </w:rPr>
      </w:pPr>
      <w:r>
        <w:rPr>
          <w:rFonts w:eastAsia="Times New Roman"/>
          <w:sz w:val="24"/>
          <w:szCs w:val="24"/>
        </w:rPr>
        <w:t>Rectification of non-complaint plant in ECT clinical areas to ensure safe working during covid.</w:t>
      </w:r>
    </w:p>
    <w:p w14:paraId="5177B36F" w14:textId="77777777" w:rsidR="004953F5" w:rsidRDefault="004953F5" w:rsidP="004953F5">
      <w:pPr>
        <w:pStyle w:val="ListParagraph"/>
        <w:numPr>
          <w:ilvl w:val="0"/>
          <w:numId w:val="17"/>
        </w:numPr>
        <w:spacing w:after="120"/>
        <w:rPr>
          <w:rFonts w:eastAsia="Times New Roman"/>
          <w:sz w:val="24"/>
          <w:szCs w:val="24"/>
        </w:rPr>
      </w:pPr>
      <w:r>
        <w:rPr>
          <w:rFonts w:eastAsia="Times New Roman"/>
          <w:sz w:val="24"/>
          <w:szCs w:val="24"/>
        </w:rPr>
        <w:t>Working with H&amp;S colleagues, providing the narrative to advise safe spaces during covid across the Trust’s estate.</w:t>
      </w:r>
    </w:p>
    <w:p w14:paraId="782B7A9E" w14:textId="77777777" w:rsidR="004953F5" w:rsidRDefault="004953F5" w:rsidP="004953F5">
      <w:pPr>
        <w:pStyle w:val="ListParagraph"/>
        <w:numPr>
          <w:ilvl w:val="0"/>
          <w:numId w:val="17"/>
        </w:numPr>
        <w:spacing w:after="120"/>
        <w:rPr>
          <w:rFonts w:eastAsia="Times New Roman"/>
          <w:sz w:val="24"/>
          <w:szCs w:val="24"/>
        </w:rPr>
      </w:pPr>
      <w:r>
        <w:rPr>
          <w:rFonts w:eastAsia="Times New Roman"/>
          <w:sz w:val="24"/>
          <w:szCs w:val="24"/>
        </w:rPr>
        <w:t>Full site audit across all former UHL maintained sites.  Report commissioned by IPC and shared at VSG.</w:t>
      </w:r>
    </w:p>
    <w:p w14:paraId="370C02AC" w14:textId="77777777" w:rsidR="004953F5" w:rsidRDefault="004953F5" w:rsidP="004953F5">
      <w:pPr>
        <w:pStyle w:val="ListParagraph"/>
        <w:numPr>
          <w:ilvl w:val="0"/>
          <w:numId w:val="17"/>
        </w:numPr>
        <w:spacing w:after="120"/>
        <w:rPr>
          <w:rFonts w:eastAsia="Times New Roman"/>
          <w:sz w:val="24"/>
          <w:szCs w:val="24"/>
        </w:rPr>
      </w:pPr>
      <w:r>
        <w:rPr>
          <w:rFonts w:eastAsia="Times New Roman"/>
          <w:sz w:val="24"/>
          <w:szCs w:val="24"/>
        </w:rPr>
        <w:t>Establishment of a fan cleaning process for heatwave.</w:t>
      </w:r>
    </w:p>
    <w:p w14:paraId="62CF6350" w14:textId="77777777" w:rsidR="004953F5" w:rsidRDefault="004953F5" w:rsidP="004953F5">
      <w:pPr>
        <w:pStyle w:val="ListParagraph"/>
        <w:numPr>
          <w:ilvl w:val="0"/>
          <w:numId w:val="17"/>
        </w:numPr>
        <w:spacing w:after="120"/>
        <w:rPr>
          <w:rFonts w:eastAsia="Times New Roman"/>
          <w:sz w:val="24"/>
          <w:szCs w:val="24"/>
        </w:rPr>
      </w:pPr>
      <w:r>
        <w:rPr>
          <w:rFonts w:eastAsia="Times New Roman"/>
          <w:sz w:val="24"/>
          <w:szCs w:val="24"/>
        </w:rPr>
        <w:t>Fire damper maintenance process in place.</w:t>
      </w:r>
    </w:p>
    <w:p w14:paraId="344061EC" w14:textId="71B7FFC0" w:rsidR="004953F5" w:rsidRPr="00D605A7" w:rsidRDefault="004953F5" w:rsidP="004953F5">
      <w:pPr>
        <w:pStyle w:val="ListParagraph"/>
        <w:numPr>
          <w:ilvl w:val="0"/>
          <w:numId w:val="17"/>
        </w:numPr>
        <w:spacing w:after="120"/>
        <w:rPr>
          <w:rFonts w:eastAsia="Times New Roman"/>
          <w:sz w:val="24"/>
          <w:szCs w:val="24"/>
        </w:rPr>
      </w:pPr>
      <w:r>
        <w:rPr>
          <w:rFonts w:eastAsia="Times New Roman"/>
          <w:sz w:val="24"/>
          <w:szCs w:val="24"/>
        </w:rPr>
        <w:t>Ventilation advice and decisions for ad-hoc requests for alterations or change of use of clinical or office areas.</w:t>
      </w:r>
    </w:p>
    <w:p w14:paraId="24F96F8E" w14:textId="77777777" w:rsidR="004953F5" w:rsidRDefault="004953F5" w:rsidP="004953F5">
      <w:pPr>
        <w:spacing w:after="120"/>
        <w:ind w:left="720" w:hanging="720"/>
        <w:rPr>
          <w:b/>
          <w:bCs/>
          <w:sz w:val="24"/>
          <w:szCs w:val="24"/>
        </w:rPr>
      </w:pPr>
      <w:r>
        <w:rPr>
          <w:b/>
          <w:bCs/>
          <w:sz w:val="24"/>
          <w:szCs w:val="24"/>
        </w:rPr>
        <w:t>Water Management</w:t>
      </w:r>
    </w:p>
    <w:p w14:paraId="103965BE" w14:textId="77777777" w:rsidR="004953F5" w:rsidRDefault="004953F5" w:rsidP="004953F5">
      <w:pPr>
        <w:spacing w:after="120"/>
        <w:ind w:left="720" w:hanging="720"/>
        <w:rPr>
          <w:sz w:val="24"/>
          <w:szCs w:val="24"/>
          <w14:ligatures w14:val="standardContextual"/>
        </w:rPr>
      </w:pPr>
      <w:r>
        <w:rPr>
          <w:sz w:val="24"/>
          <w:szCs w:val="24"/>
        </w:rPr>
        <w:t>7.1        The water safety group (WSG) meets every 2 months.  The WSG members have been appointed by the Trust and competence for the role validated by our Authorising Engineer AE(W), Hydrop.  Governance of the group is established with appropriate representation and supported with current documentation including a Water Safety Plan and water Policies.</w:t>
      </w:r>
    </w:p>
    <w:p w14:paraId="0500E49F" w14:textId="77777777" w:rsidR="004953F5" w:rsidRDefault="004953F5" w:rsidP="004953F5">
      <w:pPr>
        <w:spacing w:after="120"/>
        <w:ind w:left="720" w:hanging="720"/>
        <w:rPr>
          <w:sz w:val="24"/>
          <w:szCs w:val="24"/>
        </w:rPr>
      </w:pPr>
      <w:r>
        <w:rPr>
          <w:sz w:val="24"/>
          <w:szCs w:val="24"/>
        </w:rPr>
        <w:t>7.2        Appropriate Responsible Person (RP) training has been undertaken by members of the WSG, with further training for remaining colleagues in place.  Membership comprises representation from key areas of the Trust, including Estates, IPC, H&amp;S, alongside our existing AE(W) Hydrop, and newly appointed independent advisor from UHL Microbiology.</w:t>
      </w:r>
    </w:p>
    <w:p w14:paraId="0E4F5CE4" w14:textId="77777777" w:rsidR="004953F5" w:rsidRDefault="004953F5" w:rsidP="004953F5">
      <w:pPr>
        <w:ind w:left="720" w:hanging="720"/>
        <w:rPr>
          <w:sz w:val="24"/>
          <w:szCs w:val="24"/>
        </w:rPr>
      </w:pPr>
      <w:r>
        <w:rPr>
          <w:sz w:val="24"/>
          <w:szCs w:val="24"/>
        </w:rPr>
        <w:t xml:space="preserve">7.3        As there were no assurance, maintenance or checking from the previous external contractor via UHL, LPT has instigated compliance checks for water systems across all sites.   Overall, compliance is rapidly improving, however the concerns remain around legacy maintenance which are being addressed through the FM Transformation work and appointments to new LPT estate maintenance roles.  It remains an estates priority to achieve compliance, which is observable through increased checking and monitoring of temperatures etc, being undertaken in accordance with the Water Safety Plan.  Furthermore, contracts are being established for maintenance and cleaning tasks.  </w:t>
      </w:r>
    </w:p>
    <w:p w14:paraId="15AB41FD" w14:textId="77777777" w:rsidR="004953F5" w:rsidRDefault="004953F5" w:rsidP="004953F5">
      <w:pPr>
        <w:ind w:left="720" w:hanging="720"/>
        <w:rPr>
          <w:sz w:val="24"/>
          <w:szCs w:val="24"/>
        </w:rPr>
      </w:pPr>
      <w:r>
        <w:rPr>
          <w:sz w:val="24"/>
          <w:szCs w:val="24"/>
        </w:rPr>
        <w:t>7.4        As a consequence of enhanced monitoring and checking, there are notable issues which have required immediate attention to rectify which have provided inevitable cost pressures.  The WSG continues to focus on the legacy matters around maintenance and address issues, accordingly.</w:t>
      </w:r>
    </w:p>
    <w:p w14:paraId="660F525C" w14:textId="77777777" w:rsidR="004953F5" w:rsidRDefault="004953F5" w:rsidP="004953F5">
      <w:pPr>
        <w:rPr>
          <w:sz w:val="24"/>
          <w:szCs w:val="24"/>
        </w:rPr>
      </w:pPr>
      <w:r>
        <w:rPr>
          <w:sz w:val="24"/>
          <w:szCs w:val="24"/>
        </w:rPr>
        <w:t>7.5        Key achievements in the period include:</w:t>
      </w:r>
    </w:p>
    <w:p w14:paraId="74D79040" w14:textId="77777777" w:rsidR="004953F5" w:rsidRDefault="004953F5" w:rsidP="000C71F7">
      <w:pPr>
        <w:pStyle w:val="ListParagraph"/>
        <w:numPr>
          <w:ilvl w:val="0"/>
          <w:numId w:val="18"/>
        </w:numPr>
        <w:tabs>
          <w:tab w:val="left" w:pos="10348"/>
        </w:tabs>
        <w:rPr>
          <w:rFonts w:eastAsia="Times New Roman"/>
          <w:sz w:val="24"/>
          <w:szCs w:val="24"/>
        </w:rPr>
      </w:pPr>
      <w:r>
        <w:rPr>
          <w:rFonts w:eastAsia="Times New Roman"/>
          <w:sz w:val="24"/>
          <w:szCs w:val="24"/>
        </w:rPr>
        <w:t>Rectification of legionella issues identified through active monitoring and capital delivery processes, across LPT estate.</w:t>
      </w:r>
    </w:p>
    <w:p w14:paraId="0CC5D89F" w14:textId="77777777" w:rsidR="004953F5" w:rsidRDefault="004953F5" w:rsidP="004953F5">
      <w:pPr>
        <w:pStyle w:val="ListParagraph"/>
        <w:numPr>
          <w:ilvl w:val="0"/>
          <w:numId w:val="18"/>
        </w:numPr>
        <w:rPr>
          <w:rFonts w:eastAsia="Times New Roman"/>
          <w:sz w:val="24"/>
          <w:szCs w:val="24"/>
        </w:rPr>
      </w:pPr>
      <w:r>
        <w:rPr>
          <w:rFonts w:eastAsia="Times New Roman"/>
          <w:sz w:val="24"/>
          <w:szCs w:val="24"/>
        </w:rPr>
        <w:t>Improvement in the visibility of data, enabling the direction of tasks to be focused.</w:t>
      </w:r>
    </w:p>
    <w:p w14:paraId="1D13F87F" w14:textId="77777777" w:rsidR="004953F5" w:rsidRDefault="004953F5" w:rsidP="004953F5">
      <w:pPr>
        <w:pStyle w:val="ListParagraph"/>
        <w:numPr>
          <w:ilvl w:val="0"/>
          <w:numId w:val="18"/>
        </w:numPr>
        <w:rPr>
          <w:rFonts w:eastAsia="Times New Roman"/>
          <w:sz w:val="24"/>
          <w:szCs w:val="24"/>
        </w:rPr>
      </w:pPr>
      <w:r>
        <w:rPr>
          <w:rFonts w:eastAsia="Times New Roman"/>
          <w:sz w:val="24"/>
          <w:szCs w:val="24"/>
        </w:rPr>
        <w:t>Completion of Water Risk Assessments (WRA) across Trust sites.</w:t>
      </w:r>
    </w:p>
    <w:p w14:paraId="2230E479" w14:textId="77777777" w:rsidR="004953F5" w:rsidRDefault="004953F5" w:rsidP="004953F5">
      <w:pPr>
        <w:pStyle w:val="ListParagraph"/>
        <w:numPr>
          <w:ilvl w:val="0"/>
          <w:numId w:val="18"/>
        </w:numPr>
        <w:rPr>
          <w:rFonts w:eastAsia="Times New Roman"/>
          <w:sz w:val="24"/>
          <w:szCs w:val="24"/>
        </w:rPr>
      </w:pPr>
      <w:r>
        <w:rPr>
          <w:rFonts w:eastAsia="Times New Roman"/>
          <w:sz w:val="24"/>
          <w:szCs w:val="24"/>
        </w:rPr>
        <w:t>Commencement of actions arising from WRA, on priority basis.</w:t>
      </w:r>
    </w:p>
    <w:p w14:paraId="48B9C29C" w14:textId="77777777" w:rsidR="004953F5" w:rsidRDefault="004953F5" w:rsidP="004953F5">
      <w:pPr>
        <w:pStyle w:val="ListParagraph"/>
        <w:numPr>
          <w:ilvl w:val="0"/>
          <w:numId w:val="18"/>
        </w:numPr>
        <w:rPr>
          <w:rFonts w:eastAsia="Times New Roman"/>
          <w:sz w:val="24"/>
          <w:szCs w:val="24"/>
        </w:rPr>
      </w:pPr>
      <w:r>
        <w:rPr>
          <w:rFonts w:eastAsia="Times New Roman"/>
          <w:sz w:val="24"/>
          <w:szCs w:val="24"/>
        </w:rPr>
        <w:lastRenderedPageBreak/>
        <w:t>Installation of Chlorine Dioxide unit at Coalville Community Hospital as part of rectification measures to address water quality.  Coalville site now clear of legionella.</w:t>
      </w:r>
    </w:p>
    <w:p w14:paraId="196BAD8C" w14:textId="77777777" w:rsidR="004953F5" w:rsidRDefault="004953F5" w:rsidP="004953F5">
      <w:pPr>
        <w:pStyle w:val="ListParagraph"/>
        <w:numPr>
          <w:ilvl w:val="0"/>
          <w:numId w:val="18"/>
        </w:numPr>
        <w:rPr>
          <w:rFonts w:eastAsia="Times New Roman"/>
          <w:sz w:val="24"/>
          <w:szCs w:val="24"/>
        </w:rPr>
      </w:pPr>
      <w:r>
        <w:rPr>
          <w:rFonts w:eastAsia="Times New Roman"/>
          <w:sz w:val="24"/>
          <w:szCs w:val="24"/>
        </w:rPr>
        <w:t xml:space="preserve">Planned installation of </w:t>
      </w:r>
      <w:proofErr w:type="spellStart"/>
      <w:r>
        <w:rPr>
          <w:rFonts w:eastAsia="Times New Roman"/>
          <w:sz w:val="24"/>
          <w:szCs w:val="24"/>
        </w:rPr>
        <w:t>Clox</w:t>
      </w:r>
      <w:proofErr w:type="spellEnd"/>
      <w:r>
        <w:rPr>
          <w:rFonts w:eastAsia="Times New Roman"/>
          <w:sz w:val="24"/>
          <w:szCs w:val="24"/>
        </w:rPr>
        <w:t xml:space="preserve"> unit at Loughborough to disinfect Phase 2 pipework.  Accordingly, filters fitted where required.</w:t>
      </w:r>
    </w:p>
    <w:p w14:paraId="027156B0" w14:textId="52ED834A" w:rsidR="00577B8D" w:rsidRPr="004953F5" w:rsidRDefault="004953F5" w:rsidP="004953F5">
      <w:pPr>
        <w:pStyle w:val="Default"/>
        <w:numPr>
          <w:ilvl w:val="0"/>
          <w:numId w:val="18"/>
        </w:numPr>
        <w:tabs>
          <w:tab w:val="left" w:pos="9072"/>
        </w:tabs>
        <w:spacing w:after="120" w:line="276" w:lineRule="auto"/>
        <w:rPr>
          <w:rFonts w:asciiTheme="minorHAnsi" w:hAnsiTheme="minorHAnsi" w:cstheme="minorHAnsi"/>
        </w:rPr>
      </w:pPr>
      <w:r w:rsidRPr="004953F5">
        <w:rPr>
          <w:rFonts w:asciiTheme="minorHAnsi" w:eastAsia="Times New Roman" w:hAnsiTheme="minorHAnsi" w:cstheme="minorHAnsi"/>
        </w:rPr>
        <w:t>Flushing water records maintained, through Facilities and during Capital projects</w:t>
      </w:r>
    </w:p>
    <w:bookmarkEnd w:id="7"/>
    <w:p w14:paraId="34298BD7" w14:textId="5CABC46F" w:rsidR="00801C95" w:rsidRDefault="004F1107" w:rsidP="00801C95">
      <w:pPr>
        <w:spacing w:after="120"/>
        <w:ind w:left="720" w:hanging="720"/>
        <w:rPr>
          <w:b/>
          <w:bCs/>
          <w:sz w:val="24"/>
          <w:szCs w:val="24"/>
        </w:rPr>
      </w:pPr>
      <w:r>
        <w:rPr>
          <w:b/>
          <w:sz w:val="24"/>
          <w:szCs w:val="24"/>
        </w:rPr>
        <w:t>8</w:t>
      </w:r>
      <w:r w:rsidR="000550D7" w:rsidRPr="000E645A">
        <w:rPr>
          <w:b/>
          <w:sz w:val="24"/>
          <w:szCs w:val="24"/>
        </w:rPr>
        <w:t>.</w:t>
      </w:r>
      <w:r w:rsidR="007162B0">
        <w:rPr>
          <w:b/>
          <w:sz w:val="24"/>
          <w:szCs w:val="24"/>
        </w:rPr>
        <w:t>0</w:t>
      </w:r>
      <w:r w:rsidR="000550D7" w:rsidRPr="000E645A">
        <w:rPr>
          <w:b/>
          <w:sz w:val="24"/>
          <w:szCs w:val="24"/>
        </w:rPr>
        <w:tab/>
      </w:r>
      <w:bookmarkStart w:id="8" w:name="_Hlk138070122"/>
      <w:bookmarkStart w:id="9" w:name="_Hlk104970257"/>
      <w:bookmarkStart w:id="10" w:name="_Hlk104556817"/>
      <w:r w:rsidR="00801C95">
        <w:rPr>
          <w:b/>
          <w:bCs/>
          <w:sz w:val="24"/>
          <w:szCs w:val="24"/>
        </w:rPr>
        <w:t xml:space="preserve">Hand hygiene </w:t>
      </w:r>
    </w:p>
    <w:bookmarkEnd w:id="8"/>
    <w:p w14:paraId="53866E88" w14:textId="2E990362" w:rsidR="008416BA" w:rsidRDefault="004953F5" w:rsidP="008416BA">
      <w:pPr>
        <w:spacing w:after="120"/>
        <w:ind w:left="720" w:hanging="720"/>
        <w:rPr>
          <w:sz w:val="24"/>
          <w:szCs w:val="24"/>
        </w:rPr>
      </w:pPr>
      <w:r>
        <w:rPr>
          <w:sz w:val="24"/>
          <w:szCs w:val="24"/>
        </w:rPr>
        <w:t>8.1</w:t>
      </w:r>
      <w:r>
        <w:rPr>
          <w:sz w:val="24"/>
          <w:szCs w:val="24"/>
        </w:rPr>
        <w:tab/>
      </w:r>
      <w:r w:rsidR="008416BA">
        <w:rPr>
          <w:sz w:val="24"/>
          <w:szCs w:val="24"/>
        </w:rPr>
        <w:t xml:space="preserve">Hand Hygiene Audits have now moved onto AMaT. The updated total number of audits required per month by inpatient teams for 2023/24 equates to 485 audits to ensure more representative auditing. For community teams, the expectation is that each staff member is audited at least once annually due to the continued agile and hybrid working. </w:t>
      </w:r>
    </w:p>
    <w:p w14:paraId="59E5A43A" w14:textId="77D9F386" w:rsidR="008416BA" w:rsidRDefault="000C71F7" w:rsidP="000C71F7">
      <w:pPr>
        <w:spacing w:after="0"/>
        <w:ind w:left="720" w:hanging="720"/>
        <w:rPr>
          <w:sz w:val="24"/>
          <w:szCs w:val="24"/>
        </w:rPr>
      </w:pPr>
      <w:r>
        <w:rPr>
          <w:sz w:val="24"/>
          <w:szCs w:val="24"/>
        </w:rPr>
        <w:t>8.2</w:t>
      </w:r>
      <w:r>
        <w:rPr>
          <w:sz w:val="24"/>
          <w:szCs w:val="24"/>
        </w:rPr>
        <w:tab/>
      </w:r>
      <w:r w:rsidR="008416BA">
        <w:rPr>
          <w:sz w:val="24"/>
          <w:szCs w:val="24"/>
        </w:rPr>
        <w:t>Previously, the total number of audits required per month from teams equates to</w:t>
      </w:r>
      <w:r>
        <w:rPr>
          <w:sz w:val="24"/>
          <w:szCs w:val="24"/>
        </w:rPr>
        <w:t xml:space="preserve"> </w:t>
      </w:r>
      <w:r w:rsidR="008416BA">
        <w:rPr>
          <w:sz w:val="24"/>
          <w:szCs w:val="24"/>
        </w:rPr>
        <w:t>1516 audits to ensure more representative auditing. The aim for 2022/23 was to maintain the total number of audits at 909 audits (60%) due to the continued agile and hybrid working impacting on numbers of audits. </w:t>
      </w:r>
    </w:p>
    <w:p w14:paraId="59DA2667" w14:textId="77777777" w:rsidR="008416BA" w:rsidRDefault="008416BA" w:rsidP="008416BA">
      <w:pPr>
        <w:spacing w:after="0"/>
        <w:ind w:left="1429" w:hanging="720"/>
        <w:rPr>
          <w:sz w:val="24"/>
          <w:szCs w:val="24"/>
        </w:rPr>
      </w:pPr>
    </w:p>
    <w:p w14:paraId="21001563" w14:textId="2C8CB77A" w:rsidR="008416BA" w:rsidRDefault="008416BA" w:rsidP="008416BA">
      <w:pPr>
        <w:spacing w:after="120"/>
        <w:ind w:left="709" w:hanging="709"/>
        <w:rPr>
          <w:sz w:val="24"/>
          <w:szCs w:val="24"/>
        </w:rPr>
      </w:pPr>
      <w:r>
        <w:rPr>
          <w:sz w:val="24"/>
          <w:szCs w:val="24"/>
        </w:rPr>
        <w:t>8.</w:t>
      </w:r>
      <w:r w:rsidR="000C71F7">
        <w:rPr>
          <w:sz w:val="24"/>
          <w:szCs w:val="24"/>
        </w:rPr>
        <w:t>3</w:t>
      </w:r>
      <w:r>
        <w:rPr>
          <w:sz w:val="24"/>
          <w:szCs w:val="24"/>
        </w:rPr>
        <w:t xml:space="preserve">       Quarter 3 (Q3) returned an average total of 860 hand hygiene audits and Quarter 4 (Q4) increased slightly to 863. Although this is an improvement, Q3 and Q4 remained under the expected average (at that time) of 909 audits. </w:t>
      </w:r>
    </w:p>
    <w:p w14:paraId="1B4133E2" w14:textId="7830A027" w:rsidR="008416BA" w:rsidRDefault="008416BA" w:rsidP="008416BA">
      <w:pPr>
        <w:spacing w:after="120"/>
        <w:ind w:left="709" w:hanging="709"/>
        <w:rPr>
          <w:sz w:val="24"/>
          <w:szCs w:val="24"/>
        </w:rPr>
      </w:pPr>
      <w:r>
        <w:rPr>
          <w:sz w:val="24"/>
          <w:szCs w:val="24"/>
        </w:rPr>
        <w:t>8.</w:t>
      </w:r>
      <w:r w:rsidR="000C71F7">
        <w:rPr>
          <w:sz w:val="24"/>
          <w:szCs w:val="24"/>
        </w:rPr>
        <w:t>4</w:t>
      </w:r>
      <w:r>
        <w:rPr>
          <w:sz w:val="24"/>
          <w:szCs w:val="24"/>
        </w:rPr>
        <w:t xml:space="preserve">       The graph below indicates that the number of hand hygiene audits being completed between Q3 &amp; Q4 fluctuated substantially, in some months audit numbers exceeded the expected target of 909 audits. This is an improvement in comparison to Q1 &amp; Q2. It is hoped that with the new audit expectations, teams will continue to exceed the expected number of audits per month moving forwards. </w:t>
      </w:r>
    </w:p>
    <w:p w14:paraId="2F70326E" w14:textId="77777777" w:rsidR="008416BA" w:rsidRDefault="008416BA" w:rsidP="008416BA">
      <w:pPr>
        <w:spacing w:after="120"/>
        <w:ind w:left="709" w:hanging="709"/>
        <w:rPr>
          <w:sz w:val="24"/>
          <w:szCs w:val="24"/>
        </w:rPr>
      </w:pPr>
    </w:p>
    <w:p w14:paraId="7E4B6AD1" w14:textId="77777777" w:rsidR="008416BA" w:rsidRDefault="008416BA" w:rsidP="008416BA">
      <w:pPr>
        <w:spacing w:after="120"/>
        <w:ind w:left="709" w:hanging="709"/>
        <w:rPr>
          <w:sz w:val="24"/>
          <w:szCs w:val="24"/>
        </w:rPr>
      </w:pPr>
      <w:r>
        <w:rPr>
          <w:noProof/>
        </w:rPr>
        <w:drawing>
          <wp:inline distT="0" distB="0" distL="0" distR="0" wp14:anchorId="65A66A89" wp14:editId="3C51F00C">
            <wp:extent cx="5731510" cy="2624455"/>
            <wp:effectExtent l="0" t="0" r="2540" b="4445"/>
            <wp:docPr id="1814215880" name="Chart 1">
              <a:extLst xmlns:a="http://schemas.openxmlformats.org/drawingml/2006/main">
                <a:ext uri="{FF2B5EF4-FFF2-40B4-BE49-F238E27FC236}">
                  <a16:creationId xmlns:a16="http://schemas.microsoft.com/office/drawing/2014/main" id="{347E199B-AA24-DBDE-6F1D-B75651E3D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3E993" w14:textId="61A76261" w:rsidR="008416BA" w:rsidRDefault="008416BA" w:rsidP="008416BA">
      <w:pPr>
        <w:spacing w:after="120"/>
        <w:ind w:left="720" w:hanging="720"/>
        <w:rPr>
          <w:sz w:val="24"/>
          <w:szCs w:val="24"/>
        </w:rPr>
      </w:pPr>
      <w:r>
        <w:rPr>
          <w:sz w:val="24"/>
          <w:szCs w:val="24"/>
        </w:rPr>
        <w:t>8.</w:t>
      </w:r>
      <w:r w:rsidR="000C71F7">
        <w:rPr>
          <w:sz w:val="24"/>
          <w:szCs w:val="24"/>
        </w:rPr>
        <w:t>5</w:t>
      </w:r>
      <w:r>
        <w:rPr>
          <w:sz w:val="24"/>
          <w:szCs w:val="24"/>
        </w:rPr>
        <w:t xml:space="preserve">       </w:t>
      </w:r>
      <w:bookmarkStart w:id="11" w:name="_Hlk104816708"/>
      <w:r>
        <w:rPr>
          <w:sz w:val="24"/>
          <w:szCs w:val="24"/>
        </w:rPr>
        <w:t xml:space="preserve">Hand hygiene audit reports are accessible via StaffNet and are shared monthly at the IPC group meetings. 2 reports are available to view: Hand Hygiene Insight &amp; Hand Hygiene Submissions by Team. Directorate leads can also access these reports for their ward/areas on AMaT.  This enables directorates to acknowledge good practice and/or address any concerns which need to be included in their IPC highlight reports, shared at the bi-monthly IPC Assurance Group meetings. </w:t>
      </w:r>
      <w:bookmarkEnd w:id="11"/>
    </w:p>
    <w:p w14:paraId="512464AC" w14:textId="3A076331" w:rsidR="008416BA" w:rsidRDefault="008416BA" w:rsidP="008416BA">
      <w:pPr>
        <w:spacing w:after="120"/>
        <w:ind w:left="720" w:hanging="720"/>
        <w:rPr>
          <w:sz w:val="24"/>
          <w:szCs w:val="24"/>
        </w:rPr>
      </w:pPr>
      <w:r>
        <w:rPr>
          <w:sz w:val="24"/>
          <w:szCs w:val="24"/>
        </w:rPr>
        <w:lastRenderedPageBreak/>
        <w:t>8.</w:t>
      </w:r>
      <w:r w:rsidR="000C71F7">
        <w:rPr>
          <w:sz w:val="24"/>
          <w:szCs w:val="24"/>
        </w:rPr>
        <w:t>6</w:t>
      </w:r>
      <w:r>
        <w:rPr>
          <w:sz w:val="24"/>
          <w:szCs w:val="24"/>
        </w:rPr>
        <w:t xml:space="preserve">       There has been sustained compliance performance in terms of practice and results of the audits with a pass rate of 99% in Q3 &amp; Q4. Despite hand hygiene audit pass rates being high, unfortunately there are sometimes conflicts with other audits </w:t>
      </w:r>
      <w:r w:rsidR="00556F55">
        <w:rPr>
          <w:sz w:val="24"/>
          <w:szCs w:val="24"/>
        </w:rPr>
        <w:t>e.g.,</w:t>
      </w:r>
      <w:r>
        <w:rPr>
          <w:sz w:val="24"/>
          <w:szCs w:val="24"/>
        </w:rPr>
        <w:t xml:space="preserve"> IPC environmental audits where staff are identified as not being BBE. Therefore, it is not necessarily a true reflection of clinical practice. Work is undergoing with IPC links as face-to-face training has resumed and is being delivered to help promote and improve hand hygiene levels.</w:t>
      </w:r>
    </w:p>
    <w:p w14:paraId="7C370421" w14:textId="58EEA7B8" w:rsidR="008416BA" w:rsidRDefault="008416BA" w:rsidP="008416BA">
      <w:pPr>
        <w:spacing w:after="120"/>
        <w:ind w:left="720" w:hanging="720"/>
        <w:rPr>
          <w:sz w:val="24"/>
          <w:szCs w:val="24"/>
        </w:rPr>
      </w:pPr>
      <w:r>
        <w:rPr>
          <w:sz w:val="24"/>
          <w:szCs w:val="24"/>
        </w:rPr>
        <w:t>8.</w:t>
      </w:r>
      <w:r w:rsidR="000C71F7">
        <w:rPr>
          <w:sz w:val="24"/>
          <w:szCs w:val="24"/>
        </w:rPr>
        <w:t>7</w:t>
      </w:r>
      <w:r>
        <w:rPr>
          <w:sz w:val="24"/>
          <w:szCs w:val="24"/>
        </w:rPr>
        <w:t xml:space="preserve">       The Trust Infection Prevention and Control team continue with the in-patient clinical support visits that include a quality assurance review of hand hygiene practice and adherence to Personal Protective Equipment (PPE). </w:t>
      </w:r>
    </w:p>
    <w:p w14:paraId="35A2549E" w14:textId="77777777" w:rsidR="00F10CA2" w:rsidRDefault="00F10CA2" w:rsidP="000C23C9">
      <w:pPr>
        <w:pStyle w:val="Default"/>
        <w:spacing w:after="120" w:line="276" w:lineRule="auto"/>
        <w:rPr>
          <w:rFonts w:asciiTheme="minorHAnsi" w:hAnsiTheme="minorHAnsi"/>
          <w:b/>
          <w:color w:val="auto"/>
        </w:rPr>
      </w:pPr>
      <w:bookmarkStart w:id="12" w:name="_Hlk104561817"/>
      <w:bookmarkEnd w:id="9"/>
      <w:bookmarkEnd w:id="10"/>
    </w:p>
    <w:p w14:paraId="48B2D8C7" w14:textId="50A3C3FB" w:rsidR="001527C1" w:rsidRPr="000915F3" w:rsidRDefault="00D406B5" w:rsidP="000C23C9">
      <w:pPr>
        <w:pStyle w:val="Default"/>
        <w:spacing w:after="120" w:line="276" w:lineRule="auto"/>
        <w:rPr>
          <w:rFonts w:asciiTheme="minorHAnsi" w:hAnsiTheme="minorHAnsi"/>
          <w:b/>
          <w:color w:val="auto"/>
        </w:rPr>
      </w:pPr>
      <w:r>
        <w:rPr>
          <w:rFonts w:asciiTheme="minorHAnsi" w:hAnsiTheme="minorHAnsi"/>
          <w:b/>
          <w:color w:val="auto"/>
        </w:rPr>
        <w:t>9</w:t>
      </w:r>
      <w:r w:rsidR="000550D7" w:rsidRPr="000915F3">
        <w:rPr>
          <w:rFonts w:asciiTheme="minorHAnsi" w:hAnsiTheme="minorHAnsi"/>
          <w:b/>
          <w:color w:val="auto"/>
        </w:rPr>
        <w:t>.</w:t>
      </w:r>
      <w:r w:rsidR="007162B0">
        <w:rPr>
          <w:rFonts w:asciiTheme="minorHAnsi" w:hAnsiTheme="minorHAnsi"/>
          <w:b/>
          <w:color w:val="auto"/>
        </w:rPr>
        <w:t>0</w:t>
      </w:r>
      <w:r w:rsidR="000550D7" w:rsidRPr="000915F3">
        <w:rPr>
          <w:rFonts w:asciiTheme="minorHAnsi" w:hAnsiTheme="minorHAnsi"/>
          <w:b/>
          <w:color w:val="auto"/>
        </w:rPr>
        <w:tab/>
      </w:r>
      <w:bookmarkStart w:id="13" w:name="_Hlk138077841"/>
      <w:r w:rsidR="001527C1" w:rsidRPr="000915F3">
        <w:rPr>
          <w:rFonts w:asciiTheme="minorHAnsi" w:hAnsiTheme="minorHAnsi"/>
          <w:b/>
          <w:color w:val="auto"/>
        </w:rPr>
        <w:t xml:space="preserve">Cleaning </w:t>
      </w:r>
    </w:p>
    <w:p w14:paraId="12917B85" w14:textId="7D705E56" w:rsidR="00440AE2" w:rsidRPr="00440AE2" w:rsidRDefault="00440AE2" w:rsidP="00440AE2">
      <w:pPr>
        <w:pStyle w:val="Default"/>
        <w:spacing w:after="120" w:line="276" w:lineRule="auto"/>
        <w:ind w:left="720" w:hanging="720"/>
        <w:rPr>
          <w:rFonts w:ascii="Calibri" w:hAnsi="Calibri"/>
          <w:color w:val="auto"/>
        </w:rPr>
      </w:pPr>
      <w:bookmarkStart w:id="14" w:name="_Hlk138077729"/>
      <w:bookmarkEnd w:id="12"/>
      <w:bookmarkEnd w:id="13"/>
      <w:r w:rsidRPr="00440AE2">
        <w:rPr>
          <w:rFonts w:ascii="Calibri" w:hAnsi="Calibri"/>
          <w:color w:val="auto"/>
        </w:rPr>
        <w:t>9.1</w:t>
      </w:r>
      <w:r w:rsidRPr="00440AE2">
        <w:rPr>
          <w:rFonts w:ascii="Calibri" w:hAnsi="Calibri"/>
          <w:color w:val="auto"/>
        </w:rPr>
        <w:tab/>
        <w:t>Following the transfer of services from the previous host to LPT, it was identified that the N</w:t>
      </w:r>
      <w:r w:rsidR="00D605A7">
        <w:rPr>
          <w:rFonts w:ascii="Calibri" w:hAnsi="Calibri"/>
          <w:color w:val="auto"/>
        </w:rPr>
        <w:t>ational Standards of Healthcare Cleanliness (N</w:t>
      </w:r>
      <w:r w:rsidRPr="00440AE2">
        <w:rPr>
          <w:rFonts w:ascii="Calibri" w:hAnsi="Calibri"/>
          <w:color w:val="auto"/>
        </w:rPr>
        <w:t>SoHC</w:t>
      </w:r>
      <w:r w:rsidR="00D605A7">
        <w:rPr>
          <w:rFonts w:ascii="Calibri" w:hAnsi="Calibri"/>
          <w:color w:val="auto"/>
        </w:rPr>
        <w:t>)</w:t>
      </w:r>
      <w:r w:rsidRPr="00440AE2">
        <w:rPr>
          <w:rFonts w:ascii="Calibri" w:hAnsi="Calibri"/>
          <w:color w:val="auto"/>
        </w:rPr>
        <w:t xml:space="preserve"> had not been implemented despite previous assurances.  Until the NSOHC were fully implemented, audits were not representing the requirements of the standards</w:t>
      </w:r>
      <w:r w:rsidR="00D605A7">
        <w:rPr>
          <w:rFonts w:ascii="Calibri" w:hAnsi="Calibri"/>
          <w:color w:val="auto"/>
        </w:rPr>
        <w:t xml:space="preserve">; </w:t>
      </w:r>
      <w:proofErr w:type="gramStart"/>
      <w:r w:rsidR="00D605A7">
        <w:rPr>
          <w:rFonts w:ascii="Calibri" w:hAnsi="Calibri"/>
          <w:color w:val="auto"/>
        </w:rPr>
        <w:t>however</w:t>
      </w:r>
      <w:proofErr w:type="gramEnd"/>
      <w:r w:rsidR="00D605A7">
        <w:rPr>
          <w:rFonts w:ascii="Calibri" w:hAnsi="Calibri"/>
          <w:color w:val="auto"/>
        </w:rPr>
        <w:t xml:space="preserve"> t</w:t>
      </w:r>
      <w:r w:rsidRPr="00440AE2">
        <w:rPr>
          <w:rFonts w:ascii="Calibri" w:hAnsi="Calibri"/>
          <w:color w:val="auto"/>
        </w:rPr>
        <w:t>he standards were fully implemented by April 1</w:t>
      </w:r>
      <w:r w:rsidRPr="00440AE2">
        <w:rPr>
          <w:rFonts w:ascii="Calibri" w:hAnsi="Calibri"/>
          <w:color w:val="auto"/>
          <w:vertAlign w:val="superscript"/>
        </w:rPr>
        <w:t>st</w:t>
      </w:r>
      <w:r w:rsidR="00556F55" w:rsidRPr="00440AE2">
        <w:rPr>
          <w:rFonts w:ascii="Calibri" w:hAnsi="Calibri"/>
          <w:color w:val="auto"/>
        </w:rPr>
        <w:t>, 2023</w:t>
      </w:r>
      <w:r w:rsidRPr="00440AE2">
        <w:rPr>
          <w:rFonts w:ascii="Calibri" w:hAnsi="Calibri"/>
          <w:color w:val="auto"/>
        </w:rPr>
        <w:t xml:space="preserve">.  Auditing in accordance with the new responsibilities framework and schedules has commenced and the first audit outcomes were submitted to the IPC assurance group in June 2023.  </w:t>
      </w:r>
      <w:r w:rsidR="00D605A7">
        <w:rPr>
          <w:rFonts w:ascii="Calibri" w:hAnsi="Calibri"/>
          <w:color w:val="auto"/>
        </w:rPr>
        <w:t>The n</w:t>
      </w:r>
      <w:r w:rsidRPr="00440AE2">
        <w:rPr>
          <w:rFonts w:ascii="Calibri" w:hAnsi="Calibri"/>
          <w:color w:val="auto"/>
        </w:rPr>
        <w:t xml:space="preserve">ext steps include moving from </w:t>
      </w:r>
      <w:r w:rsidR="00556F55" w:rsidRPr="00440AE2">
        <w:rPr>
          <w:rFonts w:ascii="Calibri" w:hAnsi="Calibri"/>
          <w:color w:val="auto"/>
        </w:rPr>
        <w:t>paper-based</w:t>
      </w:r>
      <w:r w:rsidRPr="00440AE2">
        <w:rPr>
          <w:rFonts w:ascii="Calibri" w:hAnsi="Calibri"/>
          <w:color w:val="auto"/>
        </w:rPr>
        <w:t xml:space="preserve"> auditing methods to electronic systems to increase efficiency, detailed analysis (trend/theme), live data and early warning systems for rectification.</w:t>
      </w:r>
    </w:p>
    <w:p w14:paraId="723C5C67" w14:textId="11D3A67A" w:rsidR="00440AE2" w:rsidRPr="00440AE2" w:rsidRDefault="00440AE2" w:rsidP="00440AE2">
      <w:pPr>
        <w:pStyle w:val="Default"/>
        <w:spacing w:after="120" w:line="276" w:lineRule="auto"/>
        <w:ind w:left="720" w:hanging="720"/>
        <w:rPr>
          <w:rFonts w:ascii="Calibri" w:hAnsi="Calibri"/>
          <w:color w:val="auto"/>
        </w:rPr>
      </w:pPr>
      <w:r w:rsidRPr="00440AE2">
        <w:rPr>
          <w:rFonts w:ascii="Calibri" w:hAnsi="Calibri"/>
          <w:color w:val="auto"/>
        </w:rPr>
        <w:t>9.2        In line with the national recommendations, during Covid-19 peaks, two hourly touch point cleaning was implemented within inpatient areas. This process supported the reduction in outbreaks of infection, with specific reference to Covid-19</w:t>
      </w:r>
      <w:r w:rsidR="00D605A7">
        <w:rPr>
          <w:rFonts w:ascii="Calibri" w:hAnsi="Calibri"/>
          <w:color w:val="auto"/>
        </w:rPr>
        <w:t xml:space="preserve"> and </w:t>
      </w:r>
      <w:r w:rsidRPr="00440AE2">
        <w:rPr>
          <w:rFonts w:ascii="Calibri" w:hAnsi="Calibri"/>
          <w:color w:val="auto"/>
        </w:rPr>
        <w:t xml:space="preserve">has been documented and audited to provide assurance.  This action has since been reduced universally and is applicable in outbreak areas only. </w:t>
      </w:r>
    </w:p>
    <w:p w14:paraId="10B1D960" w14:textId="2F950279" w:rsidR="00440AE2" w:rsidRPr="00440AE2" w:rsidRDefault="00440AE2" w:rsidP="00440AE2">
      <w:pPr>
        <w:pStyle w:val="Default"/>
        <w:spacing w:after="120" w:line="276" w:lineRule="auto"/>
        <w:ind w:left="720" w:hanging="720"/>
        <w:rPr>
          <w:rFonts w:ascii="Calibri" w:hAnsi="Calibri"/>
          <w:color w:val="auto"/>
        </w:rPr>
      </w:pPr>
      <w:r w:rsidRPr="00440AE2">
        <w:rPr>
          <w:rFonts w:ascii="Calibri" w:hAnsi="Calibri"/>
          <w:color w:val="auto"/>
        </w:rPr>
        <w:t xml:space="preserve">9.3        Following transfer of services from the previous host to LPT, it was identified that there were considerably more vacant facilities (catering, cleaning, deep clean, porters, waste management, rapid response, reception, supervisors) posts as well as a higher number of sickness absence cases.   A recruitment </w:t>
      </w:r>
      <w:r w:rsidR="00D605A7">
        <w:rPr>
          <w:rFonts w:ascii="Calibri" w:hAnsi="Calibri"/>
          <w:color w:val="auto"/>
        </w:rPr>
        <w:t>plan has been implemented and has been successful , in the meantime, vacancies</w:t>
      </w:r>
      <w:r w:rsidR="00F10CA2">
        <w:rPr>
          <w:rFonts w:ascii="Calibri" w:hAnsi="Calibri"/>
          <w:color w:val="auto"/>
        </w:rPr>
        <w:t xml:space="preserve"> </w:t>
      </w:r>
      <w:r w:rsidRPr="00440AE2">
        <w:rPr>
          <w:rFonts w:ascii="Calibri" w:hAnsi="Calibri"/>
          <w:color w:val="auto"/>
        </w:rPr>
        <w:t>are  covered through overtime, agency and bank.</w:t>
      </w:r>
    </w:p>
    <w:p w14:paraId="11ECF864" w14:textId="0D282B82" w:rsidR="00440AE2" w:rsidRPr="00440AE2" w:rsidRDefault="00440AE2" w:rsidP="00440AE2">
      <w:pPr>
        <w:pStyle w:val="Default"/>
        <w:spacing w:after="120" w:line="276" w:lineRule="auto"/>
        <w:ind w:left="720" w:hanging="720"/>
        <w:rPr>
          <w:rFonts w:ascii="Calibri" w:hAnsi="Calibri"/>
          <w:color w:val="auto"/>
        </w:rPr>
      </w:pPr>
      <w:r w:rsidRPr="00440AE2">
        <w:rPr>
          <w:rFonts w:ascii="Calibri" w:hAnsi="Calibri"/>
          <w:color w:val="auto"/>
        </w:rPr>
        <w:t xml:space="preserve">9.4        Since </w:t>
      </w:r>
      <w:r w:rsidR="00D605A7">
        <w:rPr>
          <w:rFonts w:ascii="Calibri" w:hAnsi="Calibri"/>
          <w:color w:val="auto"/>
        </w:rPr>
        <w:t xml:space="preserve">the </w:t>
      </w:r>
      <w:r w:rsidRPr="00440AE2">
        <w:rPr>
          <w:rFonts w:ascii="Calibri" w:hAnsi="Calibri"/>
          <w:color w:val="auto"/>
        </w:rPr>
        <w:t>transfer</w:t>
      </w:r>
      <w:r w:rsidR="00D605A7">
        <w:rPr>
          <w:rFonts w:ascii="Calibri" w:hAnsi="Calibri"/>
          <w:color w:val="auto"/>
        </w:rPr>
        <w:t xml:space="preserve"> of services </w:t>
      </w:r>
      <w:r w:rsidRPr="00440AE2">
        <w:rPr>
          <w:rFonts w:ascii="Calibri" w:hAnsi="Calibri"/>
          <w:color w:val="auto"/>
        </w:rPr>
        <w:t xml:space="preserve">, the </w:t>
      </w:r>
      <w:r w:rsidR="00D605A7">
        <w:rPr>
          <w:rFonts w:ascii="Calibri" w:hAnsi="Calibri"/>
          <w:color w:val="auto"/>
        </w:rPr>
        <w:t>‘</w:t>
      </w:r>
      <w:r w:rsidR="00556F55" w:rsidRPr="00440AE2">
        <w:rPr>
          <w:rFonts w:ascii="Calibri" w:hAnsi="Calibri"/>
          <w:color w:val="auto"/>
        </w:rPr>
        <w:t>cleaners’</w:t>
      </w:r>
      <w:r w:rsidRPr="00440AE2">
        <w:rPr>
          <w:rFonts w:ascii="Calibri" w:hAnsi="Calibri"/>
          <w:color w:val="auto"/>
        </w:rPr>
        <w:t xml:space="preserve"> cupboards</w:t>
      </w:r>
      <w:r w:rsidR="00D605A7">
        <w:rPr>
          <w:rFonts w:ascii="Calibri" w:hAnsi="Calibri"/>
          <w:color w:val="auto"/>
        </w:rPr>
        <w:t>’</w:t>
      </w:r>
      <w:r w:rsidRPr="00440AE2">
        <w:rPr>
          <w:rFonts w:ascii="Calibri" w:hAnsi="Calibri"/>
          <w:color w:val="auto"/>
        </w:rPr>
        <w:t xml:space="preserve"> auditing has not been fully implemented</w:t>
      </w:r>
      <w:r w:rsidR="00D605A7">
        <w:rPr>
          <w:rFonts w:ascii="Calibri" w:hAnsi="Calibri"/>
          <w:color w:val="auto"/>
        </w:rPr>
        <w:t xml:space="preserve">; </w:t>
      </w:r>
      <w:proofErr w:type="gramStart"/>
      <w:r w:rsidR="00D605A7">
        <w:rPr>
          <w:rFonts w:ascii="Calibri" w:hAnsi="Calibri"/>
          <w:color w:val="auto"/>
        </w:rPr>
        <w:t>however</w:t>
      </w:r>
      <w:proofErr w:type="gramEnd"/>
      <w:r w:rsidR="00D605A7">
        <w:rPr>
          <w:rFonts w:ascii="Calibri" w:hAnsi="Calibri"/>
          <w:color w:val="auto"/>
        </w:rPr>
        <w:t xml:space="preserve"> t</w:t>
      </w:r>
      <w:r w:rsidRPr="00440AE2">
        <w:rPr>
          <w:rFonts w:ascii="Calibri" w:hAnsi="Calibri"/>
          <w:color w:val="auto"/>
        </w:rPr>
        <w:t xml:space="preserve">his is an action for the team to implement in </w:t>
      </w:r>
      <w:r w:rsidR="00556F55" w:rsidRPr="00440AE2">
        <w:rPr>
          <w:rFonts w:ascii="Calibri" w:hAnsi="Calibri"/>
          <w:color w:val="auto"/>
        </w:rPr>
        <w:t>Qtr.</w:t>
      </w:r>
      <w:r w:rsidRPr="00440AE2">
        <w:rPr>
          <w:rFonts w:ascii="Calibri" w:hAnsi="Calibri"/>
          <w:color w:val="auto"/>
        </w:rPr>
        <w:t xml:space="preserve"> 2, 2023/24.   The audit documentation </w:t>
      </w:r>
      <w:r w:rsidR="00D605A7">
        <w:rPr>
          <w:rFonts w:ascii="Calibri" w:hAnsi="Calibri"/>
          <w:color w:val="auto"/>
        </w:rPr>
        <w:t>will be reviewed by the Estates and Facilities team</w:t>
      </w:r>
      <w:r w:rsidRPr="00440AE2">
        <w:rPr>
          <w:rFonts w:ascii="Calibri" w:hAnsi="Calibri"/>
          <w:color w:val="auto"/>
        </w:rPr>
        <w:t xml:space="preserve"> in collaboration with the IPC team.</w:t>
      </w:r>
    </w:p>
    <w:p w14:paraId="4B01D6DD" w14:textId="05442474" w:rsidR="00440AE2" w:rsidRPr="00440AE2" w:rsidRDefault="00440AE2" w:rsidP="00440AE2">
      <w:pPr>
        <w:pStyle w:val="Default"/>
        <w:spacing w:after="120" w:line="276" w:lineRule="auto"/>
        <w:ind w:left="720" w:hanging="720"/>
        <w:rPr>
          <w:rFonts w:ascii="Calibri" w:hAnsi="Calibri"/>
          <w:color w:val="auto"/>
        </w:rPr>
      </w:pPr>
      <w:r w:rsidRPr="00440AE2">
        <w:rPr>
          <w:rFonts w:ascii="Calibri" w:hAnsi="Calibri"/>
          <w:color w:val="auto"/>
        </w:rPr>
        <w:t>9.5      The Trust has a twelve-month rolling deep clean programme in place</w:t>
      </w:r>
      <w:r w:rsidR="00D605A7">
        <w:rPr>
          <w:rFonts w:ascii="Calibri" w:hAnsi="Calibri"/>
          <w:color w:val="auto"/>
        </w:rPr>
        <w:t xml:space="preserve">; </w:t>
      </w:r>
      <w:r w:rsidRPr="00440AE2">
        <w:rPr>
          <w:rFonts w:ascii="Calibri" w:hAnsi="Calibri"/>
          <w:color w:val="auto"/>
        </w:rPr>
        <w:t>however due to the high volume of vacancies</w:t>
      </w:r>
      <w:r w:rsidR="00D605A7">
        <w:rPr>
          <w:rFonts w:ascii="Calibri" w:hAnsi="Calibri"/>
          <w:color w:val="auto"/>
        </w:rPr>
        <w:t xml:space="preserve"> within the Estates and Facilities team</w:t>
      </w:r>
      <w:r w:rsidRPr="00440AE2">
        <w:rPr>
          <w:rFonts w:ascii="Calibri" w:hAnsi="Calibri"/>
          <w:color w:val="auto"/>
        </w:rPr>
        <w:t xml:space="preserve">, the </w:t>
      </w:r>
      <w:r w:rsidR="00D605A7">
        <w:rPr>
          <w:rFonts w:ascii="Calibri" w:hAnsi="Calibri"/>
          <w:color w:val="auto"/>
        </w:rPr>
        <w:t>‘D</w:t>
      </w:r>
      <w:r w:rsidRPr="00440AE2">
        <w:rPr>
          <w:rFonts w:ascii="Calibri" w:hAnsi="Calibri"/>
          <w:color w:val="auto"/>
        </w:rPr>
        <w:t xml:space="preserve">eep </w:t>
      </w:r>
      <w:r w:rsidR="00D605A7">
        <w:rPr>
          <w:rFonts w:ascii="Calibri" w:hAnsi="Calibri"/>
          <w:color w:val="auto"/>
        </w:rPr>
        <w:t>C</w:t>
      </w:r>
      <w:r w:rsidRPr="00440AE2">
        <w:rPr>
          <w:rFonts w:ascii="Calibri" w:hAnsi="Calibri"/>
          <w:color w:val="auto"/>
        </w:rPr>
        <w:t>lean</w:t>
      </w:r>
      <w:r w:rsidR="00D605A7">
        <w:rPr>
          <w:rFonts w:ascii="Calibri" w:hAnsi="Calibri"/>
          <w:color w:val="auto"/>
        </w:rPr>
        <w:t>’</w:t>
      </w:r>
      <w:r w:rsidRPr="00440AE2">
        <w:rPr>
          <w:rFonts w:ascii="Calibri" w:hAnsi="Calibri"/>
          <w:color w:val="auto"/>
        </w:rPr>
        <w:t xml:space="preserve"> team </w:t>
      </w:r>
      <w:r w:rsidR="00D605A7">
        <w:rPr>
          <w:rFonts w:ascii="Calibri" w:hAnsi="Calibri"/>
          <w:color w:val="auto"/>
        </w:rPr>
        <w:t xml:space="preserve">within Estates and Facilities </w:t>
      </w:r>
      <w:r w:rsidRPr="00440AE2">
        <w:rPr>
          <w:rFonts w:ascii="Calibri" w:hAnsi="Calibri"/>
          <w:color w:val="auto"/>
        </w:rPr>
        <w:t>have been utilised to cover the rapid response team and attend/support outbreak areas. The deep clean schedule is approximately 10 weeks behind plan</w:t>
      </w:r>
      <w:r w:rsidR="00D605A7">
        <w:rPr>
          <w:rFonts w:ascii="Calibri" w:hAnsi="Calibri"/>
          <w:color w:val="auto"/>
        </w:rPr>
        <w:t xml:space="preserve"> which has been highlighted as a risk</w:t>
      </w:r>
      <w:r w:rsidR="001C51D6">
        <w:rPr>
          <w:rFonts w:ascii="Calibri" w:hAnsi="Calibri"/>
          <w:color w:val="auto"/>
        </w:rPr>
        <w:t>.</w:t>
      </w:r>
      <w:r w:rsidRPr="00440AE2">
        <w:rPr>
          <w:rFonts w:ascii="Calibri" w:hAnsi="Calibri"/>
          <w:color w:val="auto"/>
        </w:rPr>
        <w:t xml:space="preserve"> </w:t>
      </w:r>
      <w:r w:rsidR="00D605A7">
        <w:rPr>
          <w:rFonts w:ascii="Calibri" w:hAnsi="Calibri"/>
          <w:color w:val="auto"/>
        </w:rPr>
        <w:t>However, a</w:t>
      </w:r>
      <w:r w:rsidRPr="00440AE2">
        <w:rPr>
          <w:rFonts w:ascii="Calibri" w:hAnsi="Calibri"/>
          <w:color w:val="auto"/>
        </w:rPr>
        <w:t xml:space="preserve"> new plan has been developed </w:t>
      </w:r>
      <w:r w:rsidR="00D605A7">
        <w:rPr>
          <w:rFonts w:ascii="Calibri" w:hAnsi="Calibri"/>
          <w:color w:val="auto"/>
        </w:rPr>
        <w:t xml:space="preserve">in conjunction with the Estates and Facilities team </w:t>
      </w:r>
      <w:r w:rsidRPr="00440AE2">
        <w:rPr>
          <w:rFonts w:ascii="Calibri" w:hAnsi="Calibri"/>
          <w:color w:val="auto"/>
        </w:rPr>
        <w:t xml:space="preserve">(prioritising any areas that had not been completed in the previous </w:t>
      </w:r>
      <w:r w:rsidR="00556F55" w:rsidRPr="00440AE2">
        <w:rPr>
          <w:rFonts w:ascii="Calibri" w:hAnsi="Calibri"/>
          <w:color w:val="auto"/>
        </w:rPr>
        <w:t>12-month</w:t>
      </w:r>
      <w:r w:rsidRPr="00440AE2">
        <w:rPr>
          <w:rFonts w:ascii="Calibri" w:hAnsi="Calibri"/>
          <w:color w:val="auto"/>
        </w:rPr>
        <w:t xml:space="preserve"> period) and shared with the IPC assurance group and is currently on track.  </w:t>
      </w:r>
    </w:p>
    <w:p w14:paraId="38B8A7A4" w14:textId="66B4E503" w:rsidR="00440AE2" w:rsidRPr="00440AE2" w:rsidRDefault="00440AE2" w:rsidP="00440AE2">
      <w:pPr>
        <w:pStyle w:val="Default"/>
        <w:spacing w:after="120" w:line="276" w:lineRule="auto"/>
        <w:ind w:left="720" w:hanging="720"/>
        <w:rPr>
          <w:rFonts w:ascii="Calibri" w:hAnsi="Calibri"/>
          <w:color w:val="auto"/>
        </w:rPr>
      </w:pPr>
      <w:r w:rsidRPr="00440AE2">
        <w:rPr>
          <w:rFonts w:ascii="Calibri" w:hAnsi="Calibri"/>
          <w:color w:val="auto"/>
        </w:rPr>
        <w:lastRenderedPageBreak/>
        <w:t>9.6        The monthly facilities forum has been suspended due to resourcing issues and the prioritisation of transfer of services back to LPT .  </w:t>
      </w:r>
      <w:r w:rsidR="00D605A7">
        <w:rPr>
          <w:rFonts w:ascii="Calibri" w:hAnsi="Calibri"/>
          <w:color w:val="auto"/>
        </w:rPr>
        <w:t>However, w</w:t>
      </w:r>
      <w:r w:rsidRPr="00440AE2">
        <w:rPr>
          <w:rFonts w:ascii="Calibri" w:hAnsi="Calibri"/>
          <w:color w:val="auto"/>
        </w:rPr>
        <w:t xml:space="preserve">e expect to be able to resume the facilities forum in the </w:t>
      </w:r>
      <w:r w:rsidR="00556F55">
        <w:rPr>
          <w:rFonts w:ascii="Calibri" w:hAnsi="Calibri"/>
          <w:color w:val="auto"/>
        </w:rPr>
        <w:t>Q</w:t>
      </w:r>
      <w:r w:rsidR="00556F55" w:rsidRPr="00440AE2">
        <w:rPr>
          <w:rFonts w:ascii="Calibri" w:hAnsi="Calibri"/>
          <w:color w:val="auto"/>
        </w:rPr>
        <w:t>.</w:t>
      </w:r>
      <w:r w:rsidRPr="00440AE2">
        <w:rPr>
          <w:rFonts w:ascii="Calibri" w:hAnsi="Calibri"/>
          <w:color w:val="auto"/>
        </w:rPr>
        <w:t xml:space="preserve"> 2 when staff are onboarded.</w:t>
      </w:r>
    </w:p>
    <w:p w14:paraId="66AF67B9" w14:textId="77777777" w:rsidR="00F10CA2" w:rsidRDefault="00440AE2" w:rsidP="00F10CA2">
      <w:pPr>
        <w:pStyle w:val="Default"/>
        <w:spacing w:after="120" w:line="276" w:lineRule="auto"/>
        <w:ind w:left="720" w:hanging="720"/>
        <w:rPr>
          <w:rFonts w:ascii="Calibri" w:hAnsi="Calibri"/>
          <w:color w:val="auto"/>
        </w:rPr>
      </w:pPr>
      <w:r w:rsidRPr="00440AE2">
        <w:rPr>
          <w:rFonts w:ascii="Calibri" w:hAnsi="Calibri"/>
          <w:color w:val="auto"/>
        </w:rPr>
        <w:t xml:space="preserve">9.7       LPT has purchased equipment to replace the existing broken/redundant equipment identified during transfer preparations. The distribution of this equipment </w:t>
      </w:r>
      <w:r w:rsidR="00D605A7">
        <w:rPr>
          <w:rFonts w:ascii="Calibri" w:hAnsi="Calibri"/>
          <w:color w:val="auto"/>
        </w:rPr>
        <w:t xml:space="preserve">was </w:t>
      </w:r>
      <w:r w:rsidRPr="00440AE2">
        <w:rPr>
          <w:rFonts w:ascii="Calibri" w:hAnsi="Calibri"/>
          <w:color w:val="auto"/>
        </w:rPr>
        <w:t xml:space="preserve"> rolled out to all areas in November 2022.  Further equipment </w:t>
      </w:r>
      <w:r w:rsidR="00D605A7">
        <w:rPr>
          <w:rFonts w:ascii="Calibri" w:hAnsi="Calibri"/>
          <w:color w:val="auto"/>
        </w:rPr>
        <w:t>was also</w:t>
      </w:r>
      <w:r w:rsidR="00F10CA2">
        <w:rPr>
          <w:rFonts w:ascii="Calibri" w:hAnsi="Calibri"/>
          <w:color w:val="auto"/>
        </w:rPr>
        <w:t xml:space="preserve"> </w:t>
      </w:r>
      <w:r w:rsidRPr="00440AE2">
        <w:rPr>
          <w:rFonts w:ascii="Calibri" w:hAnsi="Calibri"/>
          <w:color w:val="auto"/>
        </w:rPr>
        <w:t xml:space="preserve">purchased to replace </w:t>
      </w:r>
      <w:r w:rsidR="00A21BB0">
        <w:rPr>
          <w:rFonts w:ascii="Calibri" w:hAnsi="Calibri"/>
          <w:color w:val="auto"/>
        </w:rPr>
        <w:t xml:space="preserve">any </w:t>
      </w:r>
      <w:r w:rsidRPr="00440AE2">
        <w:rPr>
          <w:rFonts w:ascii="Calibri" w:hAnsi="Calibri"/>
          <w:color w:val="auto"/>
        </w:rPr>
        <w:t xml:space="preserve">old and broken </w:t>
      </w:r>
      <w:r w:rsidR="00A21BB0">
        <w:rPr>
          <w:rFonts w:ascii="Calibri" w:hAnsi="Calibri"/>
          <w:color w:val="auto"/>
        </w:rPr>
        <w:t xml:space="preserve">equipment, </w:t>
      </w:r>
      <w:r w:rsidRPr="00440AE2">
        <w:rPr>
          <w:rFonts w:ascii="Calibri" w:hAnsi="Calibri"/>
          <w:color w:val="auto"/>
        </w:rPr>
        <w:t>along with maintenance contracts to ensure timely repair and/or loan items to continue with full service.  This has improved the morale and productivity of the teams and has reduced moving and handling incidents.</w:t>
      </w:r>
    </w:p>
    <w:p w14:paraId="4AD55889" w14:textId="787B6B6F" w:rsidR="00440AE2" w:rsidRPr="00F10CA2" w:rsidRDefault="00F10CA2" w:rsidP="00F10CA2">
      <w:pPr>
        <w:pStyle w:val="Default"/>
        <w:spacing w:after="120" w:line="276" w:lineRule="auto"/>
        <w:ind w:left="720" w:hanging="720"/>
        <w:rPr>
          <w:rFonts w:ascii="Calibri" w:hAnsi="Calibri"/>
          <w:color w:val="auto"/>
        </w:rPr>
      </w:pPr>
      <w:r>
        <w:rPr>
          <w:rFonts w:ascii="Calibri" w:hAnsi="Calibri"/>
          <w:color w:val="auto"/>
        </w:rPr>
        <w:t>9.8</w:t>
      </w:r>
      <w:r>
        <w:rPr>
          <w:rFonts w:ascii="Calibri" w:hAnsi="Calibri"/>
          <w:color w:val="auto"/>
        </w:rPr>
        <w:tab/>
      </w:r>
      <w:r w:rsidR="00440AE2" w:rsidRPr="00440AE2">
        <w:rPr>
          <w:rFonts w:ascii="Calibri" w:hAnsi="Calibri"/>
          <w:color w:val="auto"/>
        </w:rPr>
        <w:t>All Facilities Management (FM) services from existing host to LPT was completed on 1</w:t>
      </w:r>
      <w:r w:rsidR="00440AE2" w:rsidRPr="00440AE2">
        <w:rPr>
          <w:rFonts w:ascii="Calibri" w:hAnsi="Calibri"/>
          <w:color w:val="auto"/>
          <w:vertAlign w:val="superscript"/>
        </w:rPr>
        <w:t>st</w:t>
      </w:r>
      <w:r w:rsidR="00440AE2" w:rsidRPr="00440AE2">
        <w:rPr>
          <w:rFonts w:ascii="Calibri" w:hAnsi="Calibri"/>
          <w:color w:val="auto"/>
        </w:rPr>
        <w:t xml:space="preserve"> November 2022.</w:t>
      </w:r>
      <w:r w:rsidR="00A21BB0">
        <w:rPr>
          <w:rFonts w:ascii="Calibri" w:hAnsi="Calibri"/>
          <w:color w:val="auto"/>
        </w:rPr>
        <w:t>There w</w:t>
      </w:r>
      <w:r>
        <w:rPr>
          <w:rFonts w:ascii="Calibri" w:hAnsi="Calibri"/>
          <w:color w:val="auto"/>
        </w:rPr>
        <w:t>ere</w:t>
      </w:r>
      <w:r w:rsidR="00A21BB0">
        <w:rPr>
          <w:rFonts w:ascii="Calibri" w:hAnsi="Calibri"/>
          <w:color w:val="auto"/>
        </w:rPr>
        <w:t xml:space="preserve"> </w:t>
      </w:r>
      <w:r>
        <w:rPr>
          <w:rFonts w:ascii="Calibri" w:hAnsi="Calibri"/>
          <w:color w:val="auto"/>
        </w:rPr>
        <w:t>several</w:t>
      </w:r>
      <w:r w:rsidR="00A21BB0">
        <w:rPr>
          <w:rFonts w:ascii="Calibri" w:hAnsi="Calibri"/>
          <w:color w:val="auto"/>
        </w:rPr>
        <w:t xml:space="preserve"> ‘due process’ issues which the Estates and Facilities team have managed </w:t>
      </w:r>
      <w:proofErr w:type="gramStart"/>
      <w:r w:rsidR="00A21BB0">
        <w:rPr>
          <w:rFonts w:ascii="Calibri" w:hAnsi="Calibri"/>
          <w:color w:val="auto"/>
        </w:rPr>
        <w:t>well</w:t>
      </w:r>
      <w:proofErr w:type="gramEnd"/>
      <w:r w:rsidR="00A21BB0">
        <w:rPr>
          <w:rFonts w:ascii="Calibri" w:hAnsi="Calibri"/>
          <w:color w:val="auto"/>
        </w:rPr>
        <w:t xml:space="preserve"> and work </w:t>
      </w:r>
      <w:r w:rsidR="00440AE2" w:rsidRPr="00440AE2">
        <w:rPr>
          <w:rFonts w:ascii="Calibri" w:hAnsi="Calibri"/>
          <w:color w:val="auto"/>
        </w:rPr>
        <w:t>ha</w:t>
      </w:r>
      <w:r w:rsidR="00A21BB0">
        <w:rPr>
          <w:rFonts w:ascii="Calibri" w:hAnsi="Calibri"/>
          <w:color w:val="auto"/>
        </w:rPr>
        <w:t>s</w:t>
      </w:r>
      <w:r w:rsidR="00440AE2" w:rsidRPr="00440AE2">
        <w:rPr>
          <w:rFonts w:ascii="Calibri" w:hAnsi="Calibri"/>
          <w:color w:val="auto"/>
        </w:rPr>
        <w:t xml:space="preserve"> commenced on the transformation of these services to improve standards and meet compliance requirements.   </w:t>
      </w:r>
      <w:r w:rsidR="00440AE2" w:rsidRPr="00440AE2">
        <w:rPr>
          <w:rFonts w:ascii="Calibri" w:eastAsia="Times New Roman" w:hAnsi="Calibri"/>
          <w:color w:val="auto"/>
        </w:rPr>
        <w:t>Work is currently being undertaken to standardise the chemical products used in cleaning.  This will not only reduce training requirements and costs but also introduce more sustainable products to meet our greener agenda.  This is a collaborative project with IPC &amp; H&amp;S team.</w:t>
      </w:r>
    </w:p>
    <w:p w14:paraId="6E9AB72B" w14:textId="2CB57F91" w:rsidR="001527C1" w:rsidRPr="00D57B6F" w:rsidRDefault="004208FD" w:rsidP="00D57B6F">
      <w:pPr>
        <w:spacing w:after="120"/>
        <w:rPr>
          <w:b/>
          <w:sz w:val="24"/>
          <w:szCs w:val="24"/>
        </w:rPr>
      </w:pPr>
      <w:r w:rsidRPr="000915F3">
        <w:rPr>
          <w:b/>
          <w:sz w:val="24"/>
          <w:szCs w:val="24"/>
        </w:rPr>
        <w:t>1</w:t>
      </w:r>
      <w:r w:rsidR="00D406B5">
        <w:rPr>
          <w:b/>
          <w:sz w:val="24"/>
          <w:szCs w:val="24"/>
        </w:rPr>
        <w:t>0</w:t>
      </w:r>
      <w:r w:rsidRPr="000915F3">
        <w:rPr>
          <w:b/>
          <w:sz w:val="24"/>
          <w:szCs w:val="24"/>
        </w:rPr>
        <w:t>.</w:t>
      </w:r>
      <w:r w:rsidR="007162B0">
        <w:rPr>
          <w:b/>
          <w:sz w:val="24"/>
          <w:szCs w:val="24"/>
        </w:rPr>
        <w:t>0</w:t>
      </w:r>
      <w:r w:rsidRPr="000915F3">
        <w:rPr>
          <w:b/>
          <w:sz w:val="24"/>
          <w:szCs w:val="24"/>
        </w:rPr>
        <w:tab/>
      </w:r>
      <w:r w:rsidR="001527C1" w:rsidRPr="000915F3">
        <w:rPr>
          <w:b/>
          <w:sz w:val="24"/>
          <w:szCs w:val="24"/>
        </w:rPr>
        <w:t>Antimicrobial stewardship</w:t>
      </w:r>
    </w:p>
    <w:p w14:paraId="716E4FFD" w14:textId="05052C64" w:rsidR="00393409" w:rsidRPr="00393409" w:rsidRDefault="00FF0EF4" w:rsidP="00393409">
      <w:pPr>
        <w:ind w:left="720" w:hanging="720"/>
        <w:rPr>
          <w:sz w:val="24"/>
          <w:szCs w:val="24"/>
        </w:rPr>
      </w:pPr>
      <w:r w:rsidRPr="000915F3">
        <w:rPr>
          <w:sz w:val="24"/>
          <w:szCs w:val="24"/>
        </w:rPr>
        <w:t>1</w:t>
      </w:r>
      <w:r w:rsidR="00D406B5">
        <w:rPr>
          <w:sz w:val="24"/>
          <w:szCs w:val="24"/>
        </w:rPr>
        <w:t>0</w:t>
      </w:r>
      <w:r w:rsidRPr="000915F3">
        <w:rPr>
          <w:sz w:val="24"/>
          <w:szCs w:val="24"/>
        </w:rPr>
        <w:t>.1</w:t>
      </w:r>
      <w:r w:rsidRPr="000915F3">
        <w:rPr>
          <w:sz w:val="24"/>
          <w:szCs w:val="24"/>
        </w:rPr>
        <w:tab/>
      </w:r>
      <w:r w:rsidR="00393409" w:rsidRPr="00393409">
        <w:rPr>
          <w:sz w:val="24"/>
          <w:szCs w:val="24"/>
        </w:rPr>
        <w:t>‘Antimicrobial stewardship remains a vital tool in the fight against resistance and preserving the usefulness of antimicrobials so that they benefit patients who really need them.</w:t>
      </w:r>
    </w:p>
    <w:p w14:paraId="7858A007" w14:textId="24776FEA" w:rsidR="00393409" w:rsidRPr="00393409" w:rsidRDefault="00902EF8" w:rsidP="00B61605">
      <w:pPr>
        <w:ind w:left="720" w:hanging="720"/>
        <w:rPr>
          <w:sz w:val="24"/>
          <w:szCs w:val="24"/>
        </w:rPr>
      </w:pPr>
      <w:r>
        <w:rPr>
          <w:sz w:val="24"/>
          <w:szCs w:val="24"/>
        </w:rPr>
        <w:t xml:space="preserve">10.2 </w:t>
      </w:r>
      <w:r>
        <w:rPr>
          <w:sz w:val="24"/>
          <w:szCs w:val="24"/>
        </w:rPr>
        <w:tab/>
      </w:r>
      <w:r w:rsidR="00393409" w:rsidRPr="00393409">
        <w:rPr>
          <w:sz w:val="24"/>
          <w:szCs w:val="24"/>
        </w:rPr>
        <w:t xml:space="preserve">The lead pharmacist for antimicrobial stewardship continues to oversee the maintenance of the actions and controls within the trust </w:t>
      </w:r>
      <w:r w:rsidR="00393409">
        <w:rPr>
          <w:sz w:val="24"/>
          <w:szCs w:val="24"/>
        </w:rPr>
        <w:t>policy</w:t>
      </w:r>
      <w:r w:rsidR="00393409" w:rsidRPr="00393409">
        <w:rPr>
          <w:sz w:val="24"/>
          <w:szCs w:val="24"/>
        </w:rPr>
        <w:t>.  This includes careful consideration of stock lists for inpatient wards, bi-annual audit, education and training and prescribing protocols.</w:t>
      </w:r>
    </w:p>
    <w:p w14:paraId="4CF2F8E6" w14:textId="448EF86C" w:rsidR="00393409" w:rsidRPr="00393409" w:rsidRDefault="00902EF8" w:rsidP="00B61605">
      <w:pPr>
        <w:ind w:left="720" w:hanging="720"/>
        <w:rPr>
          <w:sz w:val="24"/>
          <w:szCs w:val="24"/>
        </w:rPr>
      </w:pPr>
      <w:r>
        <w:rPr>
          <w:sz w:val="24"/>
          <w:szCs w:val="24"/>
        </w:rPr>
        <w:t>10.3</w:t>
      </w:r>
      <w:r>
        <w:rPr>
          <w:sz w:val="24"/>
          <w:szCs w:val="24"/>
        </w:rPr>
        <w:tab/>
      </w:r>
      <w:r w:rsidR="00393409" w:rsidRPr="00393409">
        <w:rPr>
          <w:sz w:val="24"/>
          <w:szCs w:val="24"/>
        </w:rPr>
        <w:t xml:space="preserve">Antimicrobial surveillance is a useful tool to monitor consumption.  A sophisticated dataset has been developed to monitor trends in consumption across inpatient areas, with quarterly reports being fed into Medicines Management Committee and </w:t>
      </w:r>
      <w:r w:rsidR="00285F76">
        <w:rPr>
          <w:sz w:val="24"/>
          <w:szCs w:val="24"/>
        </w:rPr>
        <w:t>the Infection Prevention and Control Assurance Group</w:t>
      </w:r>
      <w:r w:rsidR="00393409" w:rsidRPr="00393409">
        <w:rPr>
          <w:sz w:val="24"/>
          <w:szCs w:val="24"/>
        </w:rPr>
        <w:t>.</w:t>
      </w:r>
    </w:p>
    <w:p w14:paraId="2D1F8984" w14:textId="3B53A543" w:rsidR="00285F76" w:rsidRDefault="00902EF8" w:rsidP="00B61605">
      <w:pPr>
        <w:ind w:left="720" w:hanging="720"/>
        <w:rPr>
          <w:sz w:val="24"/>
          <w:szCs w:val="24"/>
        </w:rPr>
      </w:pPr>
      <w:r>
        <w:rPr>
          <w:sz w:val="24"/>
          <w:szCs w:val="24"/>
        </w:rPr>
        <w:t>10.4</w:t>
      </w:r>
      <w:r>
        <w:rPr>
          <w:sz w:val="24"/>
          <w:szCs w:val="24"/>
        </w:rPr>
        <w:tab/>
      </w:r>
      <w:r w:rsidR="00285F76">
        <w:rPr>
          <w:sz w:val="24"/>
          <w:szCs w:val="24"/>
        </w:rPr>
        <w:t>On an annual basis, there is international recognition by way of the European antimicrobial awareness day and world antimicrobial awareness week. Within LPT, we mark this event by ensuring our audits are undertaken at this time, whilst also doing promotion in the trust communication to all staff.</w:t>
      </w:r>
    </w:p>
    <w:p w14:paraId="5784FE76" w14:textId="6320761E" w:rsidR="00393409" w:rsidRPr="00393409" w:rsidRDefault="00285F76" w:rsidP="00B61605">
      <w:pPr>
        <w:ind w:left="720" w:hanging="720"/>
        <w:rPr>
          <w:sz w:val="24"/>
          <w:szCs w:val="24"/>
        </w:rPr>
      </w:pPr>
      <w:r>
        <w:rPr>
          <w:sz w:val="24"/>
          <w:szCs w:val="24"/>
        </w:rPr>
        <w:t>10.5</w:t>
      </w:r>
      <w:r>
        <w:rPr>
          <w:sz w:val="24"/>
          <w:szCs w:val="24"/>
        </w:rPr>
        <w:tab/>
      </w:r>
      <w:r w:rsidR="00393409" w:rsidRPr="00393409">
        <w:rPr>
          <w:sz w:val="24"/>
          <w:szCs w:val="24"/>
        </w:rPr>
        <w:t>The lead pharmacist for antimicrobial stewardship also continues to represent LPT in Leicestershire-wide groups.’</w:t>
      </w:r>
    </w:p>
    <w:bookmarkEnd w:id="14"/>
    <w:p w14:paraId="30248F2A" w14:textId="3222FC65" w:rsidR="001527C1" w:rsidRPr="000E645A" w:rsidRDefault="00F04DB1" w:rsidP="002038FA">
      <w:pPr>
        <w:pStyle w:val="Default"/>
        <w:spacing w:after="120" w:line="276" w:lineRule="auto"/>
        <w:ind w:left="720" w:hanging="720"/>
        <w:rPr>
          <w:rFonts w:asciiTheme="minorHAnsi" w:hAnsiTheme="minorHAnsi" w:cstheme="minorHAnsi"/>
          <w:b/>
          <w:color w:val="4F81BD" w:themeColor="accent1"/>
          <w:sz w:val="30"/>
          <w:szCs w:val="30"/>
        </w:rPr>
      </w:pPr>
      <w:r w:rsidRPr="000E645A">
        <w:rPr>
          <w:rFonts w:asciiTheme="minorHAnsi" w:hAnsiTheme="minorHAnsi" w:cstheme="minorHAnsi"/>
          <w:b/>
          <w:color w:val="4F81BD" w:themeColor="accent1"/>
          <w:sz w:val="30"/>
          <w:szCs w:val="30"/>
        </w:rPr>
        <w:t>Proposal</w:t>
      </w:r>
    </w:p>
    <w:p w14:paraId="05950957" w14:textId="77777777" w:rsidR="001527C1" w:rsidRPr="002038FA" w:rsidRDefault="001527C1" w:rsidP="002038FA">
      <w:pPr>
        <w:spacing w:after="120"/>
        <w:rPr>
          <w:noProof/>
          <w:color w:val="000000"/>
          <w:sz w:val="24"/>
          <w:szCs w:val="24"/>
        </w:rPr>
      </w:pPr>
      <w:r w:rsidRPr="000E645A">
        <w:rPr>
          <w:noProof/>
          <w:color w:val="000000"/>
          <w:sz w:val="24"/>
          <w:szCs w:val="24"/>
        </w:rPr>
        <w:t xml:space="preserve">This six monthly report outlines assurance from the Director of Infection Preventon  and Control (DIPaC demonstrating compliance with the Health and Social Care Act 2008 (updated July 2015) also referred to as the Hygiene Code. The report also highlights the impact of the COVID-19 pandemic to the business as usual IPC work programme and quality improvement in response to  NHSE &amp; I </w:t>
      </w:r>
      <w:r w:rsidR="00F04DB1">
        <w:rPr>
          <w:noProof/>
          <w:color w:val="000000"/>
          <w:sz w:val="24"/>
          <w:szCs w:val="24"/>
        </w:rPr>
        <w:t xml:space="preserve">IPC </w:t>
      </w:r>
      <w:r w:rsidRPr="000E645A">
        <w:rPr>
          <w:noProof/>
          <w:color w:val="000000"/>
          <w:sz w:val="24"/>
          <w:szCs w:val="24"/>
        </w:rPr>
        <w:t>visit</w:t>
      </w:r>
      <w:r w:rsidR="00F04DB1">
        <w:rPr>
          <w:noProof/>
          <w:color w:val="000000"/>
          <w:sz w:val="24"/>
          <w:szCs w:val="24"/>
        </w:rPr>
        <w:t>s</w:t>
      </w:r>
      <w:r w:rsidRPr="000E645A">
        <w:rPr>
          <w:noProof/>
          <w:color w:val="000000"/>
          <w:sz w:val="24"/>
          <w:szCs w:val="24"/>
        </w:rPr>
        <w:t xml:space="preserve">. </w:t>
      </w:r>
    </w:p>
    <w:p w14:paraId="6BCB8424" w14:textId="77777777" w:rsidR="002475A8" w:rsidRPr="007F05FD" w:rsidRDefault="002475A8" w:rsidP="002038FA">
      <w:pPr>
        <w:spacing w:after="120"/>
        <w:rPr>
          <w:b/>
          <w:color w:val="4F81BD" w:themeColor="accent1"/>
          <w:sz w:val="28"/>
        </w:rPr>
      </w:pPr>
      <w:r>
        <w:rPr>
          <w:b/>
          <w:color w:val="4F81BD" w:themeColor="accent1"/>
          <w:sz w:val="28"/>
        </w:rPr>
        <w:t>Decision required</w:t>
      </w:r>
    </w:p>
    <w:p w14:paraId="79994E6A" w14:textId="77777777" w:rsidR="00F04DB1" w:rsidRPr="000E645A" w:rsidRDefault="002475A8" w:rsidP="002038FA">
      <w:pPr>
        <w:spacing w:after="120"/>
        <w:rPr>
          <w:noProof/>
          <w:color w:val="000000"/>
          <w:sz w:val="24"/>
          <w:szCs w:val="24"/>
        </w:rPr>
      </w:pPr>
      <w:r w:rsidRPr="00B657EE">
        <w:rPr>
          <w:sz w:val="24"/>
          <w:szCs w:val="24"/>
        </w:rPr>
        <w:lastRenderedPageBreak/>
        <w:t xml:space="preserve">The board is asked to confirm a level of assurance </w:t>
      </w:r>
      <w:r w:rsidRPr="00B657EE">
        <w:rPr>
          <w:rFonts w:cs="Arial"/>
          <w:sz w:val="24"/>
          <w:szCs w:val="24"/>
        </w:rPr>
        <w:t>that pr</w:t>
      </w:r>
      <w:r>
        <w:rPr>
          <w:rFonts w:cs="Arial"/>
          <w:sz w:val="24"/>
          <w:szCs w:val="24"/>
        </w:rPr>
        <w:t>ocesses are in place to monitor and ensure compliance with the Health and Social Care Act 2008 (updated July 2015) also referred to the as the Hygiene Code and NHS England IPC Board Assurance Framework to ensure that all IPC measures are taken in line with PHE Covid-19 guidance to ensure</w:t>
      </w:r>
      <w:r w:rsidRPr="00B657EE">
        <w:rPr>
          <w:rFonts w:cs="Arial"/>
          <w:sz w:val="24"/>
          <w:szCs w:val="24"/>
        </w:rPr>
        <w:t xml:space="preserve"> patient safety </w:t>
      </w:r>
      <w:r>
        <w:rPr>
          <w:rFonts w:cs="Arial"/>
          <w:sz w:val="24"/>
          <w:szCs w:val="24"/>
        </w:rPr>
        <w:t xml:space="preserve">and </w:t>
      </w:r>
      <w:r w:rsidRPr="00B657EE">
        <w:rPr>
          <w:rFonts w:cs="Arial"/>
          <w:sz w:val="24"/>
          <w:szCs w:val="24"/>
        </w:rPr>
        <w:t>care quality is</w:t>
      </w:r>
      <w:r>
        <w:rPr>
          <w:rFonts w:cs="Arial"/>
          <w:sz w:val="24"/>
          <w:szCs w:val="24"/>
        </w:rPr>
        <w:t xml:space="preserve"> maintained.</w:t>
      </w:r>
    </w:p>
    <w:p w14:paraId="096223BC" w14:textId="43DD7087" w:rsidR="001527C1" w:rsidRDefault="001527C1" w:rsidP="00FF0EF4">
      <w:pPr>
        <w:pStyle w:val="ListParagraph"/>
        <w:spacing w:after="0" w:line="240" w:lineRule="auto"/>
        <w:ind w:hanging="720"/>
        <w:rPr>
          <w:noProof/>
          <w:color w:val="000000"/>
          <w:sz w:val="24"/>
          <w:szCs w:val="24"/>
        </w:rPr>
      </w:pPr>
    </w:p>
    <w:p w14:paraId="2132D4C5" w14:textId="3619485B" w:rsidR="00F10CA2" w:rsidRDefault="00F10CA2" w:rsidP="00FF0EF4">
      <w:pPr>
        <w:pStyle w:val="ListParagraph"/>
        <w:spacing w:after="0" w:line="240" w:lineRule="auto"/>
        <w:ind w:hanging="720"/>
        <w:rPr>
          <w:noProof/>
          <w:color w:val="000000"/>
          <w:sz w:val="24"/>
          <w:szCs w:val="24"/>
        </w:rPr>
      </w:pPr>
    </w:p>
    <w:p w14:paraId="02F9AD25" w14:textId="3F740F00" w:rsidR="00F10CA2" w:rsidRDefault="00F10CA2" w:rsidP="00FF0EF4">
      <w:pPr>
        <w:pStyle w:val="ListParagraph"/>
        <w:spacing w:after="0" w:line="240" w:lineRule="auto"/>
        <w:ind w:hanging="720"/>
        <w:rPr>
          <w:noProof/>
          <w:color w:val="000000"/>
          <w:sz w:val="24"/>
          <w:szCs w:val="24"/>
        </w:rPr>
      </w:pPr>
    </w:p>
    <w:p w14:paraId="6270536F" w14:textId="0A3DB167" w:rsidR="00F10CA2" w:rsidRDefault="00F10CA2" w:rsidP="00FF0EF4">
      <w:pPr>
        <w:pStyle w:val="ListParagraph"/>
        <w:spacing w:after="0" w:line="240" w:lineRule="auto"/>
        <w:ind w:hanging="720"/>
        <w:rPr>
          <w:noProof/>
          <w:color w:val="000000"/>
          <w:sz w:val="24"/>
          <w:szCs w:val="24"/>
        </w:rPr>
      </w:pPr>
    </w:p>
    <w:p w14:paraId="7BCB7B5B" w14:textId="48484214" w:rsidR="00F10CA2" w:rsidRDefault="00F10CA2" w:rsidP="00FF0EF4">
      <w:pPr>
        <w:pStyle w:val="ListParagraph"/>
        <w:spacing w:after="0" w:line="240" w:lineRule="auto"/>
        <w:ind w:hanging="720"/>
        <w:rPr>
          <w:noProof/>
          <w:color w:val="000000"/>
          <w:sz w:val="24"/>
          <w:szCs w:val="24"/>
        </w:rPr>
      </w:pPr>
    </w:p>
    <w:p w14:paraId="171BC206" w14:textId="1EEF21F8" w:rsidR="00F10CA2" w:rsidRDefault="00F10CA2" w:rsidP="00FF0EF4">
      <w:pPr>
        <w:pStyle w:val="ListParagraph"/>
        <w:spacing w:after="0" w:line="240" w:lineRule="auto"/>
        <w:ind w:hanging="720"/>
        <w:rPr>
          <w:noProof/>
          <w:color w:val="000000"/>
          <w:sz w:val="24"/>
          <w:szCs w:val="24"/>
        </w:rPr>
      </w:pPr>
    </w:p>
    <w:p w14:paraId="56F6ED00" w14:textId="77777777" w:rsidR="00F10CA2" w:rsidRDefault="00F10CA2" w:rsidP="00FF0EF4">
      <w:pPr>
        <w:pStyle w:val="ListParagraph"/>
        <w:spacing w:after="0" w:line="240" w:lineRule="auto"/>
        <w:ind w:hanging="720"/>
        <w:rPr>
          <w:noProof/>
          <w:color w:val="000000"/>
          <w:sz w:val="24"/>
          <w:szCs w:val="24"/>
        </w:rPr>
      </w:pPr>
    </w:p>
    <w:p w14:paraId="1F778243" w14:textId="77777777" w:rsidR="002038FA" w:rsidRPr="002038FA" w:rsidRDefault="00455018" w:rsidP="002038FA">
      <w:pPr>
        <w:pStyle w:val="Heading2"/>
        <w:spacing w:before="0"/>
        <w:rPr>
          <w:rFonts w:asciiTheme="minorHAnsi" w:hAnsiTheme="minorHAnsi" w:cstheme="minorHAnsi"/>
          <w:sz w:val="28"/>
          <w:szCs w:val="28"/>
        </w:rPr>
      </w:pPr>
      <w:r>
        <w:rPr>
          <w:rFonts w:asciiTheme="minorHAnsi" w:hAnsiTheme="minorHAnsi" w:cstheme="minorHAnsi"/>
          <w:sz w:val="28"/>
          <w:szCs w:val="28"/>
        </w:rPr>
        <w:t>Governance t</w:t>
      </w:r>
      <w:r w:rsidR="0043360A" w:rsidRPr="00EA7354">
        <w:rPr>
          <w:rFonts w:asciiTheme="minorHAnsi" w:hAnsiTheme="minorHAnsi" w:cstheme="minorHAnsi"/>
          <w:sz w:val="28"/>
          <w:szCs w:val="28"/>
        </w:rPr>
        <w:t xml:space="preserve">able </w:t>
      </w:r>
    </w:p>
    <w:tbl>
      <w:tblPr>
        <w:tblStyle w:val="MediumGrid3-Accent1"/>
        <w:tblW w:w="0" w:type="auto"/>
        <w:tblInd w:w="108" w:type="dxa"/>
        <w:tblLook w:val="0480" w:firstRow="0" w:lastRow="0" w:firstColumn="1" w:lastColumn="0" w:noHBand="0" w:noVBand="1"/>
      </w:tblPr>
      <w:tblGrid>
        <w:gridCol w:w="4395"/>
        <w:gridCol w:w="2268"/>
        <w:gridCol w:w="2471"/>
      </w:tblGrid>
      <w:tr w:rsidR="0043360A" w:rsidRPr="00050DBC" w14:paraId="07EB1B7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6CD0C0C" w14:textId="77777777" w:rsidR="0043360A" w:rsidRPr="00050DBC" w:rsidRDefault="0043360A" w:rsidP="008013B6">
            <w:pPr>
              <w:rPr>
                <w:sz w:val="20"/>
                <w:szCs w:val="20"/>
              </w:rPr>
            </w:pPr>
            <w:r w:rsidRPr="00050DBC">
              <w:rPr>
                <w:sz w:val="20"/>
                <w:szCs w:val="20"/>
              </w:rPr>
              <w:t>For Board and Board Committees:</w:t>
            </w:r>
          </w:p>
        </w:tc>
        <w:tc>
          <w:tcPr>
            <w:tcW w:w="4739" w:type="dxa"/>
            <w:gridSpan w:val="2"/>
          </w:tcPr>
          <w:p w14:paraId="4353FBAE"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Trust Board</w:t>
            </w:r>
          </w:p>
        </w:tc>
      </w:tr>
      <w:tr w:rsidR="0043360A" w:rsidRPr="00050DBC" w14:paraId="4C036E3B"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6188F16D" w14:textId="77777777" w:rsidR="0043360A" w:rsidRPr="00050DBC" w:rsidRDefault="0043360A" w:rsidP="008013B6">
            <w:pPr>
              <w:rPr>
                <w:sz w:val="20"/>
                <w:szCs w:val="20"/>
              </w:rPr>
            </w:pPr>
            <w:r w:rsidRPr="00050DBC">
              <w:rPr>
                <w:sz w:val="20"/>
                <w:szCs w:val="20"/>
              </w:rPr>
              <w:t>Paper sponsored by:</w:t>
            </w:r>
          </w:p>
        </w:tc>
        <w:tc>
          <w:tcPr>
            <w:tcW w:w="4739" w:type="dxa"/>
            <w:gridSpan w:val="2"/>
          </w:tcPr>
          <w:p w14:paraId="5DA2DCF4" w14:textId="34346DC7" w:rsidR="0043360A" w:rsidRPr="00050DBC" w:rsidRDefault="008119AC"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Dr </w:t>
            </w:r>
            <w:r w:rsidR="00391D55">
              <w:rPr>
                <w:sz w:val="20"/>
                <w:szCs w:val="20"/>
              </w:rPr>
              <w:t xml:space="preserve">Anne Scott – </w:t>
            </w:r>
            <w:r w:rsidR="005751B4">
              <w:rPr>
                <w:sz w:val="20"/>
                <w:szCs w:val="20"/>
              </w:rPr>
              <w:t xml:space="preserve">Executive </w:t>
            </w:r>
            <w:r w:rsidR="00391D55">
              <w:rPr>
                <w:sz w:val="20"/>
                <w:szCs w:val="20"/>
              </w:rPr>
              <w:t>Director of Nursing, AHP and Quality</w:t>
            </w:r>
          </w:p>
        </w:tc>
      </w:tr>
      <w:tr w:rsidR="0043360A" w:rsidRPr="00050DBC" w14:paraId="50E4162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3AA8B55C" w14:textId="77777777" w:rsidR="0043360A" w:rsidRPr="00050DBC" w:rsidRDefault="0043360A" w:rsidP="008013B6">
            <w:pPr>
              <w:rPr>
                <w:sz w:val="20"/>
                <w:szCs w:val="20"/>
              </w:rPr>
            </w:pPr>
            <w:r w:rsidRPr="00050DBC">
              <w:rPr>
                <w:sz w:val="20"/>
                <w:szCs w:val="20"/>
              </w:rPr>
              <w:t>Paper authored by:</w:t>
            </w:r>
          </w:p>
        </w:tc>
        <w:tc>
          <w:tcPr>
            <w:tcW w:w="4739" w:type="dxa"/>
            <w:gridSpan w:val="2"/>
            <w:tcBorders>
              <w:top w:val="single" w:sz="6" w:space="0" w:color="FFFFFF" w:themeColor="background1"/>
              <w:left w:val="single" w:sz="6" w:space="0" w:color="FFFFFF" w:themeColor="background1"/>
              <w:bottom w:val="single" w:sz="6" w:space="0" w:color="FFFFFF" w:themeColor="background1"/>
            </w:tcBorders>
          </w:tcPr>
          <w:p w14:paraId="754261C9" w14:textId="77777777" w:rsidR="0043360A"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Amanda Hemsley – Lead Infection Prevention and Control Nurse</w:t>
            </w:r>
          </w:p>
          <w:p w14:paraId="0EAE5448" w14:textId="4D967473" w:rsidR="00FD129F" w:rsidRPr="00050DBC" w:rsidRDefault="00FD129F"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41BAB54"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59331216" w14:textId="77777777" w:rsidR="0043360A" w:rsidRPr="00050DBC" w:rsidRDefault="0043360A" w:rsidP="008013B6">
            <w:pPr>
              <w:rPr>
                <w:sz w:val="20"/>
                <w:szCs w:val="20"/>
              </w:rPr>
            </w:pPr>
            <w:r w:rsidRPr="00050DBC">
              <w:rPr>
                <w:sz w:val="20"/>
                <w:szCs w:val="20"/>
              </w:rPr>
              <w:t>Date submitted:</w:t>
            </w:r>
          </w:p>
        </w:tc>
        <w:tc>
          <w:tcPr>
            <w:tcW w:w="4739" w:type="dxa"/>
            <w:gridSpan w:val="2"/>
          </w:tcPr>
          <w:p w14:paraId="1749C51D" w14:textId="24DC4EEA" w:rsidR="0043360A" w:rsidRPr="00050DBC" w:rsidRDefault="007162B0"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000C71F7">
              <w:rPr>
                <w:sz w:val="20"/>
                <w:szCs w:val="20"/>
              </w:rPr>
              <w:t xml:space="preserve">12 July </w:t>
            </w:r>
            <w:r>
              <w:rPr>
                <w:sz w:val="20"/>
                <w:szCs w:val="20"/>
              </w:rPr>
              <w:t>2023</w:t>
            </w:r>
          </w:p>
        </w:tc>
      </w:tr>
      <w:tr w:rsidR="0043360A" w:rsidRPr="00050DBC" w14:paraId="00CA7B6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4885510" w14:textId="77777777" w:rsidR="0043360A" w:rsidRPr="00050DBC" w:rsidRDefault="0043360A" w:rsidP="008013B6">
            <w:pPr>
              <w:rPr>
                <w:sz w:val="20"/>
                <w:szCs w:val="20"/>
              </w:rPr>
            </w:pPr>
            <w:r w:rsidRPr="00050DBC">
              <w:rPr>
                <w:sz w:val="20"/>
                <w:szCs w:val="20"/>
              </w:rPr>
              <w:t>State which Board Committee or other forum within the Trust’s governance structure, if any, have previously considered the report/this issue and the date of the relevant meeting(s):</w:t>
            </w:r>
          </w:p>
        </w:tc>
        <w:tc>
          <w:tcPr>
            <w:tcW w:w="4739" w:type="dxa"/>
            <w:gridSpan w:val="2"/>
          </w:tcPr>
          <w:p w14:paraId="6D340C58" w14:textId="38295D6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Direct to trust board</w:t>
            </w:r>
          </w:p>
        </w:tc>
      </w:tr>
      <w:tr w:rsidR="0043360A" w:rsidRPr="00050DBC" w14:paraId="3B68A078"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72EC62B3" w14:textId="5DE3258B" w:rsidR="0043360A" w:rsidRPr="00050DBC" w:rsidRDefault="0043360A" w:rsidP="008013B6">
            <w:pPr>
              <w:rPr>
                <w:sz w:val="20"/>
                <w:szCs w:val="20"/>
              </w:rPr>
            </w:pPr>
            <w:r w:rsidRPr="00050DBC">
              <w:rPr>
                <w:sz w:val="20"/>
                <w:szCs w:val="20"/>
              </w:rPr>
              <w:t xml:space="preserve">If considered elsewhere, state the level of assurance gained by the Board Committee or other forum </w:t>
            </w:r>
            <w:r w:rsidR="00D406B5" w:rsidRPr="00050DBC">
              <w:rPr>
                <w:sz w:val="20"/>
                <w:szCs w:val="20"/>
              </w:rPr>
              <w:t>i.e.,</w:t>
            </w:r>
            <w:r w:rsidRPr="00050DBC">
              <w:rPr>
                <w:sz w:val="20"/>
                <w:szCs w:val="20"/>
              </w:rPr>
              <w:t xml:space="preserve"> assured/ partially assured / not assured:</w:t>
            </w:r>
          </w:p>
        </w:tc>
        <w:tc>
          <w:tcPr>
            <w:tcW w:w="4739" w:type="dxa"/>
            <w:gridSpan w:val="2"/>
          </w:tcPr>
          <w:p w14:paraId="71934FC8" w14:textId="77777777" w:rsidR="0043360A" w:rsidRPr="00050DBC" w:rsidRDefault="0043360A"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43360A" w:rsidRPr="00050DBC" w14:paraId="34C741F8"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7E0FC54" w14:textId="77777777" w:rsidR="0043360A" w:rsidRPr="00050DBC" w:rsidRDefault="0043360A" w:rsidP="008013B6">
            <w:pPr>
              <w:rPr>
                <w:sz w:val="20"/>
                <w:szCs w:val="20"/>
              </w:rPr>
            </w:pPr>
            <w:r w:rsidRPr="00050DBC">
              <w:rPr>
                <w:sz w:val="20"/>
                <w:szCs w:val="20"/>
              </w:rPr>
              <w:t>State whether this is a ‘one off’ report or, if not, when an update report will be provided for the purposes of corporate Agenda planning</w:t>
            </w:r>
            <w:r w:rsidRPr="00050DBC" w:rsidDel="00BD629A">
              <w:rPr>
                <w:sz w:val="20"/>
                <w:szCs w:val="20"/>
              </w:rPr>
              <w:t xml:space="preserve"> </w:t>
            </w:r>
          </w:p>
        </w:tc>
        <w:tc>
          <w:tcPr>
            <w:tcW w:w="4739" w:type="dxa"/>
            <w:gridSpan w:val="2"/>
          </w:tcPr>
          <w:p w14:paraId="4D3CE919" w14:textId="48B067B1"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6 monthly </w:t>
            </w:r>
            <w:r w:rsidR="00D406B5">
              <w:rPr>
                <w:sz w:val="20"/>
                <w:szCs w:val="20"/>
              </w:rPr>
              <w:t>reports</w:t>
            </w:r>
          </w:p>
        </w:tc>
      </w:tr>
      <w:tr w:rsidR="0043360A" w:rsidRPr="00050DBC" w14:paraId="1A553E73"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B3A916C" w14:textId="77777777" w:rsidR="0043360A" w:rsidRPr="00050DBC" w:rsidRDefault="001F1E8B" w:rsidP="00443738">
            <w:pPr>
              <w:rPr>
                <w:sz w:val="20"/>
                <w:szCs w:val="20"/>
              </w:rPr>
            </w:pPr>
            <w:r>
              <w:rPr>
                <w:sz w:val="20"/>
                <w:szCs w:val="20"/>
              </w:rPr>
              <w:t>S</w:t>
            </w:r>
            <w:r w:rsidR="00443738">
              <w:rPr>
                <w:sz w:val="20"/>
                <w:szCs w:val="20"/>
              </w:rPr>
              <w:t>TEP up to GREAT</w:t>
            </w:r>
            <w:r w:rsidR="0043360A" w:rsidRPr="00050DBC">
              <w:rPr>
                <w:sz w:val="20"/>
                <w:szCs w:val="20"/>
              </w:rPr>
              <w:t xml:space="preserve"> strategic alignment*:</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0E9BD44"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1E1F"/>
                <w:sz w:val="20"/>
                <w:szCs w:val="20"/>
              </w:rPr>
            </w:pPr>
            <w:r>
              <w:rPr>
                <w:rStyle w:val="A5"/>
                <w:rFonts w:asciiTheme="minorHAnsi" w:hAnsiTheme="minorHAnsi" w:cstheme="minorHAnsi"/>
                <w:sz w:val="20"/>
                <w:szCs w:val="20"/>
              </w:rPr>
              <w:t xml:space="preserve">High </w:t>
            </w:r>
            <w:r w:rsidRPr="00443738">
              <w:rPr>
                <w:rStyle w:val="A5"/>
                <w:rFonts w:asciiTheme="minorHAnsi" w:hAnsiTheme="minorHAnsi" w:cstheme="minorHAnsi"/>
                <w:b/>
                <w:sz w:val="20"/>
                <w:szCs w:val="20"/>
              </w:rPr>
              <w:t>S</w:t>
            </w:r>
            <w:r>
              <w:rPr>
                <w:rStyle w:val="A5"/>
                <w:rFonts w:asciiTheme="minorHAnsi" w:hAnsiTheme="minorHAnsi" w:cstheme="minorHAnsi"/>
                <w:sz w:val="20"/>
                <w:szCs w:val="20"/>
              </w:rPr>
              <w:t>tandards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20EBC28"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77DFDAC" w14:textId="77777777" w:rsidTr="0044373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tcPr>
          <w:p w14:paraId="5349752D" w14:textId="77777777" w:rsidR="0043360A" w:rsidRPr="00050DBC" w:rsidRDefault="0043360A" w:rsidP="008013B6">
            <w:pPr>
              <w:rPr>
                <w:sz w:val="20"/>
                <w:szCs w:val="20"/>
              </w:rPr>
            </w:pPr>
          </w:p>
        </w:tc>
        <w:tc>
          <w:tcPr>
            <w:tcW w:w="2268" w:type="dxa"/>
            <w:hideMark/>
          </w:tcPr>
          <w:p w14:paraId="4421306A" w14:textId="77777777" w:rsidR="0043360A" w:rsidRPr="00050DBC"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T</w:t>
            </w:r>
            <w:r w:rsidRPr="00443738">
              <w:rPr>
                <w:rStyle w:val="A5"/>
                <w:rFonts w:asciiTheme="minorHAnsi" w:hAnsiTheme="minorHAnsi" w:cstheme="minorHAnsi"/>
                <w:bCs/>
                <w:sz w:val="20"/>
                <w:szCs w:val="20"/>
              </w:rPr>
              <w:t>ransformation</w:t>
            </w:r>
          </w:p>
        </w:tc>
        <w:tc>
          <w:tcPr>
            <w:tcW w:w="2471" w:type="dxa"/>
          </w:tcPr>
          <w:p w14:paraId="484B3005"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18962DD1"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07795866" w14:textId="77777777" w:rsidR="0043360A" w:rsidRPr="00050DBC" w:rsidRDefault="0043360A" w:rsidP="008013B6">
            <w:pPr>
              <w:rPr>
                <w:sz w:val="20"/>
                <w:szCs w:val="20"/>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540FB46"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E</w:t>
            </w:r>
            <w:r w:rsidRPr="00443738">
              <w:rPr>
                <w:rStyle w:val="A5"/>
                <w:rFonts w:asciiTheme="minorHAnsi" w:hAnsiTheme="minorHAnsi" w:cstheme="minorHAnsi"/>
                <w:bCs/>
                <w:sz w:val="20"/>
                <w:szCs w:val="20"/>
              </w:rPr>
              <w:t>nvironments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38F48B71"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75CCF76D"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4687481" w14:textId="77777777" w:rsidR="0043360A" w:rsidRPr="00050DBC" w:rsidRDefault="0043360A" w:rsidP="008013B6">
            <w:pPr>
              <w:rPr>
                <w:sz w:val="20"/>
                <w:szCs w:val="20"/>
              </w:rPr>
            </w:pPr>
          </w:p>
        </w:tc>
        <w:tc>
          <w:tcPr>
            <w:tcW w:w="2268" w:type="dxa"/>
            <w:hideMark/>
          </w:tcPr>
          <w:p w14:paraId="464A60F0" w14:textId="77777777" w:rsidR="0043360A"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P</w:t>
            </w:r>
            <w:r>
              <w:rPr>
                <w:rStyle w:val="A5"/>
                <w:rFonts w:asciiTheme="minorHAnsi" w:hAnsiTheme="minorHAnsi" w:cstheme="minorHAnsi"/>
                <w:bCs/>
                <w:sz w:val="20"/>
                <w:szCs w:val="20"/>
              </w:rPr>
              <w:t>atient Involvement</w:t>
            </w:r>
          </w:p>
        </w:tc>
        <w:tc>
          <w:tcPr>
            <w:tcW w:w="2471" w:type="dxa"/>
          </w:tcPr>
          <w:p w14:paraId="2E75BC7E"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9BECCF5"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533CFFA4" w14:textId="77777777" w:rsidR="0043360A" w:rsidRPr="00443738" w:rsidRDefault="0043360A" w:rsidP="008013B6">
            <w:pPr>
              <w:rPr>
                <w:b w:val="0"/>
                <w:sz w:val="20"/>
                <w:szCs w:val="20"/>
              </w:rPr>
            </w:pPr>
          </w:p>
        </w:tc>
        <w:tc>
          <w:tcPr>
            <w:tcW w:w="2268" w:type="dxa"/>
          </w:tcPr>
          <w:p w14:paraId="662817E8" w14:textId="77777777" w:rsidR="0043360A"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bCs/>
                <w:sz w:val="20"/>
                <w:szCs w:val="20"/>
              </w:rPr>
            </w:pPr>
            <w:r w:rsidRPr="00443738">
              <w:rPr>
                <w:rStyle w:val="A5"/>
                <w:rFonts w:asciiTheme="minorHAnsi" w:hAnsiTheme="minorHAnsi" w:cstheme="minorHAnsi"/>
                <w:sz w:val="20"/>
                <w:szCs w:val="20"/>
              </w:rPr>
              <w:t xml:space="preserve">Well </w:t>
            </w:r>
            <w:r w:rsidRPr="00443738">
              <w:rPr>
                <w:rStyle w:val="A5"/>
                <w:rFonts w:asciiTheme="minorHAnsi" w:hAnsiTheme="minorHAnsi" w:cstheme="minorHAnsi"/>
                <w:b/>
                <w:sz w:val="20"/>
                <w:szCs w:val="20"/>
              </w:rPr>
              <w:t>G</w:t>
            </w:r>
            <w:r w:rsidRPr="00443738">
              <w:rPr>
                <w:rStyle w:val="A5"/>
                <w:rFonts w:asciiTheme="minorHAnsi" w:hAnsiTheme="minorHAnsi" w:cstheme="minorHAnsi"/>
                <w:sz w:val="20"/>
                <w:szCs w:val="20"/>
              </w:rPr>
              <w:t>overned</w:t>
            </w:r>
          </w:p>
        </w:tc>
        <w:tc>
          <w:tcPr>
            <w:tcW w:w="2471" w:type="dxa"/>
          </w:tcPr>
          <w:p w14:paraId="2B2A1D9D"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F1E8B" w:rsidRPr="00050DBC" w14:paraId="12C88204"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7C979F7" w14:textId="77777777" w:rsidR="001F1E8B" w:rsidRPr="00050DBC" w:rsidRDefault="001F1E8B" w:rsidP="008013B6">
            <w:pPr>
              <w:rPr>
                <w:sz w:val="20"/>
                <w:szCs w:val="20"/>
              </w:rPr>
            </w:pPr>
          </w:p>
        </w:tc>
        <w:tc>
          <w:tcPr>
            <w:tcW w:w="2268" w:type="dxa"/>
          </w:tcPr>
          <w:p w14:paraId="0758E3F5"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Single Patient </w:t>
            </w:r>
            <w:r w:rsidRPr="00443738">
              <w:rPr>
                <w:rStyle w:val="A5"/>
                <w:rFonts w:asciiTheme="minorHAnsi" w:hAnsiTheme="minorHAnsi" w:cstheme="minorHAnsi"/>
                <w:b/>
                <w:sz w:val="20"/>
                <w:szCs w:val="20"/>
              </w:rPr>
              <w:t>R</w:t>
            </w:r>
            <w:r w:rsidRPr="00443738">
              <w:rPr>
                <w:rStyle w:val="A5"/>
                <w:rFonts w:asciiTheme="minorHAnsi" w:hAnsiTheme="minorHAnsi" w:cstheme="minorHAnsi"/>
                <w:sz w:val="20"/>
                <w:szCs w:val="20"/>
              </w:rPr>
              <w:t>ecord</w:t>
            </w:r>
          </w:p>
        </w:tc>
        <w:tc>
          <w:tcPr>
            <w:tcW w:w="2471" w:type="dxa"/>
          </w:tcPr>
          <w:p w14:paraId="782DDEC7"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1F1E8B" w:rsidRPr="00050DBC" w14:paraId="263D3FA7"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1308189" w14:textId="77777777" w:rsidR="001F1E8B" w:rsidRPr="00050DBC" w:rsidRDefault="001F1E8B" w:rsidP="008013B6">
            <w:pPr>
              <w:rPr>
                <w:sz w:val="20"/>
                <w:szCs w:val="20"/>
              </w:rPr>
            </w:pPr>
          </w:p>
        </w:tc>
        <w:tc>
          <w:tcPr>
            <w:tcW w:w="2268" w:type="dxa"/>
          </w:tcPr>
          <w:p w14:paraId="2CE63372" w14:textId="77777777" w:rsidR="001F1E8B"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E</w:t>
            </w:r>
            <w:r w:rsidRPr="00443738">
              <w:rPr>
                <w:rStyle w:val="A5"/>
                <w:rFonts w:asciiTheme="minorHAnsi" w:hAnsiTheme="minorHAnsi" w:cstheme="minorHAnsi"/>
                <w:sz w:val="20"/>
                <w:szCs w:val="20"/>
              </w:rPr>
              <w:t>quality, Leadership, Culture</w:t>
            </w:r>
          </w:p>
        </w:tc>
        <w:tc>
          <w:tcPr>
            <w:tcW w:w="2471" w:type="dxa"/>
          </w:tcPr>
          <w:p w14:paraId="16506B9E" w14:textId="77777777" w:rsidR="001F1E8B" w:rsidRPr="00050DBC" w:rsidRDefault="001F1E8B"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1F1E8B" w:rsidRPr="00050DBC" w14:paraId="55260E77"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16BFA670" w14:textId="77777777" w:rsidR="001F1E8B" w:rsidRPr="00050DBC" w:rsidRDefault="001F1E8B" w:rsidP="008013B6">
            <w:pPr>
              <w:rPr>
                <w:sz w:val="20"/>
                <w:szCs w:val="20"/>
              </w:rPr>
            </w:pPr>
          </w:p>
        </w:tc>
        <w:tc>
          <w:tcPr>
            <w:tcW w:w="2268" w:type="dxa"/>
          </w:tcPr>
          <w:p w14:paraId="5160D613"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A</w:t>
            </w:r>
            <w:r w:rsidRPr="00443738">
              <w:rPr>
                <w:rStyle w:val="A5"/>
                <w:rFonts w:asciiTheme="minorHAnsi" w:hAnsiTheme="minorHAnsi" w:cstheme="minorHAnsi"/>
                <w:sz w:val="20"/>
                <w:szCs w:val="20"/>
              </w:rPr>
              <w:t>ccess to Services</w:t>
            </w:r>
          </w:p>
        </w:tc>
        <w:tc>
          <w:tcPr>
            <w:tcW w:w="2471" w:type="dxa"/>
          </w:tcPr>
          <w:p w14:paraId="0B018A5F"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43738" w:rsidRPr="00050DBC" w14:paraId="343E3EE8"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005CEA9" w14:textId="77777777" w:rsidR="00443738" w:rsidRPr="00050DBC" w:rsidRDefault="00443738" w:rsidP="008013B6">
            <w:pPr>
              <w:rPr>
                <w:sz w:val="20"/>
                <w:szCs w:val="20"/>
              </w:rPr>
            </w:pPr>
          </w:p>
        </w:tc>
        <w:tc>
          <w:tcPr>
            <w:tcW w:w="2268" w:type="dxa"/>
          </w:tcPr>
          <w:p w14:paraId="1F0032C3" w14:textId="77777777" w:rsidR="00BD3855"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proofErr w:type="spellStart"/>
            <w:r w:rsidRPr="00443738">
              <w:rPr>
                <w:rStyle w:val="A5"/>
                <w:rFonts w:asciiTheme="minorHAnsi" w:hAnsiTheme="minorHAnsi" w:cstheme="minorHAnsi"/>
                <w:b/>
                <w:sz w:val="20"/>
                <w:szCs w:val="20"/>
              </w:rPr>
              <w:t>T</w:t>
            </w:r>
            <w:r w:rsidRPr="00443738">
              <w:rPr>
                <w:rStyle w:val="A5"/>
                <w:rFonts w:asciiTheme="minorHAnsi" w:hAnsiTheme="minorHAnsi" w:cstheme="minorHAnsi"/>
                <w:sz w:val="20"/>
                <w:szCs w:val="20"/>
              </w:rPr>
              <w:t>rustwide</w:t>
            </w:r>
            <w:proofErr w:type="spellEnd"/>
          </w:p>
          <w:p w14:paraId="69D604A8" w14:textId="4EF16D70" w:rsidR="00443738"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 Quality Improvement</w:t>
            </w:r>
          </w:p>
        </w:tc>
        <w:tc>
          <w:tcPr>
            <w:tcW w:w="2471" w:type="dxa"/>
          </w:tcPr>
          <w:p w14:paraId="527D8403" w14:textId="77777777" w:rsidR="00443738"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5105C0B"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3001FA0" w14:textId="77777777" w:rsidR="0043360A" w:rsidRPr="00050DBC" w:rsidRDefault="0043360A" w:rsidP="008013B6">
            <w:pPr>
              <w:rPr>
                <w:sz w:val="20"/>
                <w:szCs w:val="20"/>
              </w:rPr>
            </w:pPr>
            <w:r w:rsidRPr="00050DBC">
              <w:rPr>
                <w:sz w:val="20"/>
                <w:szCs w:val="20"/>
              </w:rPr>
              <w:t>Organisational Risk Register considerations:</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6CA12B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r w:rsidRPr="00050DBC">
              <w:rPr>
                <w:sz w:val="20"/>
                <w:szCs w:val="20"/>
              </w:rPr>
              <w:t>List risk number and title of risk</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13BFAC6"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5E1097" w:rsidRPr="00050DBC" w14:paraId="036DB602"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5FA7CADD" w14:textId="7DD25997" w:rsidR="005E1097" w:rsidRPr="00050DBC" w:rsidRDefault="005E1097" w:rsidP="001F1E8B">
            <w:pPr>
              <w:rPr>
                <w:sz w:val="20"/>
                <w:szCs w:val="20"/>
              </w:rPr>
            </w:pPr>
            <w:r>
              <w:rPr>
                <w:sz w:val="20"/>
                <w:szCs w:val="20"/>
              </w:rPr>
              <w:t xml:space="preserve">Is the decision required consistent with </w:t>
            </w:r>
            <w:r w:rsidR="001F1E8B">
              <w:rPr>
                <w:sz w:val="20"/>
                <w:szCs w:val="20"/>
              </w:rPr>
              <w:t>LPT</w:t>
            </w:r>
            <w:r>
              <w:rPr>
                <w:sz w:val="20"/>
                <w:szCs w:val="20"/>
              </w:rPr>
              <w:t xml:space="preserve">’s risk </w:t>
            </w:r>
            <w:r w:rsidR="00BD5037">
              <w:rPr>
                <w:sz w:val="20"/>
                <w:szCs w:val="20"/>
              </w:rPr>
              <w:t>appetite?</w:t>
            </w:r>
          </w:p>
        </w:tc>
        <w:tc>
          <w:tcPr>
            <w:tcW w:w="4739" w:type="dxa"/>
            <w:gridSpan w:val="2"/>
          </w:tcPr>
          <w:p w14:paraId="431E7B51" w14:textId="77777777" w:rsidR="005E1097"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6EB3734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hideMark/>
          </w:tcPr>
          <w:p w14:paraId="22EC2D91" w14:textId="77777777" w:rsidR="0043360A" w:rsidRPr="00050DBC" w:rsidRDefault="0043360A" w:rsidP="008013B6">
            <w:pPr>
              <w:rPr>
                <w:sz w:val="20"/>
                <w:szCs w:val="20"/>
              </w:rPr>
            </w:pPr>
            <w:r w:rsidRPr="00050DBC">
              <w:rPr>
                <w:sz w:val="20"/>
                <w:szCs w:val="20"/>
              </w:rPr>
              <w:t>False and misleading information (FOMI) considerations:</w:t>
            </w:r>
          </w:p>
        </w:tc>
        <w:tc>
          <w:tcPr>
            <w:tcW w:w="4739" w:type="dxa"/>
            <w:gridSpan w:val="2"/>
          </w:tcPr>
          <w:p w14:paraId="599CC80D"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8013B6" w:rsidRPr="00050DBC" w14:paraId="4D608EE9" w14:textId="77777777" w:rsidTr="00FF0EF4">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755AAC2E" w14:textId="77777777" w:rsidR="008013B6" w:rsidRPr="00050DBC" w:rsidRDefault="008013B6" w:rsidP="008013B6">
            <w:pPr>
              <w:rPr>
                <w:sz w:val="20"/>
                <w:szCs w:val="20"/>
              </w:rPr>
            </w:pPr>
            <w:r w:rsidRPr="008013B6">
              <w:rPr>
                <w:sz w:val="20"/>
                <w:szCs w:val="20"/>
              </w:rPr>
              <w:t>Positive confirmation that the content does not risk the safety of patients or the public</w:t>
            </w:r>
          </w:p>
        </w:tc>
        <w:tc>
          <w:tcPr>
            <w:tcW w:w="4739" w:type="dxa"/>
            <w:gridSpan w:val="2"/>
            <w:tcBorders>
              <w:top w:val="single" w:sz="6" w:space="0" w:color="FFFFFF" w:themeColor="background1"/>
              <w:left w:val="single" w:sz="6" w:space="0" w:color="FFFFFF" w:themeColor="background1"/>
            </w:tcBorders>
          </w:tcPr>
          <w:p w14:paraId="328C59DF" w14:textId="77777777" w:rsidR="008013B6"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766ACF40"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0C5764C1" w14:textId="77777777" w:rsidR="0043360A" w:rsidRPr="00050DBC" w:rsidRDefault="0043360A" w:rsidP="008013B6">
            <w:pPr>
              <w:rPr>
                <w:sz w:val="20"/>
                <w:szCs w:val="20"/>
              </w:rPr>
            </w:pPr>
            <w:r w:rsidRPr="00050DBC">
              <w:rPr>
                <w:sz w:val="20"/>
                <w:szCs w:val="20"/>
              </w:rPr>
              <w:t>Equality considerations:</w:t>
            </w:r>
          </w:p>
        </w:tc>
        <w:tc>
          <w:tcPr>
            <w:tcW w:w="4739" w:type="dxa"/>
            <w:gridSpan w:val="2"/>
            <w:tcBorders>
              <w:top w:val="single" w:sz="6" w:space="0" w:color="FFFFFF" w:themeColor="background1"/>
              <w:left w:val="single" w:sz="6" w:space="0" w:color="FFFFFF" w:themeColor="background1"/>
            </w:tcBorders>
          </w:tcPr>
          <w:p w14:paraId="0FC0E70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bl>
    <w:p w14:paraId="46316293" w14:textId="77777777" w:rsidR="00B70D40" w:rsidRDefault="0043360A" w:rsidP="00936777">
      <w:pPr>
        <w:rPr>
          <w:i/>
        </w:rPr>
      </w:pPr>
      <w:r w:rsidRPr="0053357B">
        <w:rPr>
          <w:i/>
        </w:rPr>
        <w:t xml:space="preserve">Version </w:t>
      </w:r>
      <w:r w:rsidR="001F1E8B">
        <w:rPr>
          <w:i/>
        </w:rPr>
        <w:t>1</w:t>
      </w:r>
      <w:r w:rsidRPr="0053357B">
        <w:rPr>
          <w:i/>
        </w:rPr>
        <w:t>.0</w:t>
      </w:r>
    </w:p>
    <w:p w14:paraId="52F77A53" w14:textId="77777777" w:rsidR="00B70D40" w:rsidRDefault="00B70D40" w:rsidP="00936777">
      <w:pPr>
        <w:rPr>
          <w:i/>
        </w:rPr>
      </w:pPr>
    </w:p>
    <w:p w14:paraId="16CF4BF6" w14:textId="77777777" w:rsidR="00B70D40" w:rsidRDefault="00B70D40" w:rsidP="00936777">
      <w:pPr>
        <w:rPr>
          <w:i/>
        </w:rPr>
      </w:pPr>
    </w:p>
    <w:p w14:paraId="4136518D" w14:textId="77777777" w:rsidR="00B70D40" w:rsidRDefault="00B70D40" w:rsidP="00936777">
      <w:pPr>
        <w:rPr>
          <w:i/>
        </w:rPr>
      </w:pPr>
    </w:p>
    <w:p w14:paraId="4049A665" w14:textId="77777777" w:rsidR="00B70D40" w:rsidRDefault="00B70D40" w:rsidP="00936777">
      <w:pPr>
        <w:rPr>
          <w:i/>
        </w:rPr>
      </w:pPr>
    </w:p>
    <w:p w14:paraId="4FEF8B40" w14:textId="77777777" w:rsidR="00B70D40" w:rsidRDefault="00B70D40" w:rsidP="00936777">
      <w:pPr>
        <w:rPr>
          <w:i/>
        </w:rPr>
      </w:pPr>
    </w:p>
    <w:p w14:paraId="17ADBFAB" w14:textId="4DA4C6B4" w:rsidR="00B70D40" w:rsidRDefault="00B70D40" w:rsidP="00936777">
      <w:pPr>
        <w:rPr>
          <w:i/>
        </w:rPr>
      </w:pPr>
    </w:p>
    <w:p w14:paraId="67639113" w14:textId="230D3B33" w:rsidR="00B70D40" w:rsidRDefault="00B70D40" w:rsidP="00936777">
      <w:pPr>
        <w:rPr>
          <w:i/>
        </w:rPr>
        <w:sectPr w:rsidR="00B70D40" w:rsidSect="005C3B0F">
          <w:footerReference w:type="default" r:id="rId10"/>
          <w:pgSz w:w="11910" w:h="16840"/>
          <w:pgMar w:top="601" w:right="624" w:bottom="993" w:left="919" w:header="720" w:footer="563" w:gutter="0"/>
          <w:cols w:space="720"/>
        </w:sectPr>
      </w:pPr>
    </w:p>
    <w:p w14:paraId="1331CD9F" w14:textId="105EB97E" w:rsidR="00B70D40" w:rsidRPr="00B70D40" w:rsidRDefault="00B70D40" w:rsidP="00936777">
      <w:pPr>
        <w:rPr>
          <w:b/>
          <w:bCs/>
          <w:iCs/>
          <w:sz w:val="24"/>
          <w:szCs w:val="24"/>
        </w:rPr>
      </w:pPr>
      <w:r>
        <w:rPr>
          <w:noProof/>
        </w:rPr>
        <w:lastRenderedPageBreak/>
        <w:drawing>
          <wp:anchor distT="0" distB="0" distL="114300" distR="114300" simplePos="0" relativeHeight="251713536" behindDoc="1" locked="0" layoutInCell="1" allowOverlap="1" wp14:anchorId="14A0E64D" wp14:editId="1CFEC4B5">
            <wp:simplePos x="0" y="0"/>
            <wp:positionH relativeFrom="page">
              <wp:align>center</wp:align>
            </wp:positionH>
            <wp:positionV relativeFrom="paragraph">
              <wp:posOffset>220456</wp:posOffset>
            </wp:positionV>
            <wp:extent cx="9016779" cy="6368941"/>
            <wp:effectExtent l="0" t="0" r="0" b="0"/>
            <wp:wrapNone/>
            <wp:docPr id="1097421123" name="Picture 1" descr="A graph with different colored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21123" name="Picture 1" descr="A graph with different colored lines an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016779" cy="6368941"/>
                    </a:xfrm>
                    <a:prstGeom prst="rect">
                      <a:avLst/>
                    </a:prstGeom>
                  </pic:spPr>
                </pic:pic>
              </a:graphicData>
            </a:graphic>
            <wp14:sizeRelH relativeFrom="margin">
              <wp14:pctWidth>0</wp14:pctWidth>
            </wp14:sizeRelH>
            <wp14:sizeRelV relativeFrom="margin">
              <wp14:pctHeight>0</wp14:pctHeight>
            </wp14:sizeRelV>
          </wp:anchor>
        </w:drawing>
      </w:r>
      <w:r w:rsidRPr="00B70D40">
        <w:rPr>
          <w:b/>
          <w:bCs/>
          <w:iCs/>
          <w:sz w:val="24"/>
          <w:szCs w:val="24"/>
        </w:rPr>
        <w:t>Appendix 1</w:t>
      </w:r>
    </w:p>
    <w:p w14:paraId="142A3CA3" w14:textId="270F488B" w:rsidR="009B6427" w:rsidRPr="00936777" w:rsidRDefault="009B6427" w:rsidP="00936777">
      <w:pPr>
        <w:rPr>
          <w:i/>
        </w:rPr>
      </w:pPr>
      <w:r w:rsidRPr="009B6427">
        <w:rPr>
          <w:rFonts w:ascii="Calibri" w:eastAsia="Calibri" w:hAnsi="Calibri" w:cs="Times New Roman"/>
          <w:b/>
          <w:bCs/>
          <w:noProof/>
          <w:sz w:val="24"/>
          <w:szCs w:val="24"/>
          <w:lang w:eastAsia="en-GB"/>
        </w:rPr>
        <mc:AlternateContent>
          <mc:Choice Requires="wps">
            <w:drawing>
              <wp:anchor distT="45720" distB="45720" distL="114300" distR="114300" simplePos="0" relativeHeight="251712512" behindDoc="1" locked="0" layoutInCell="1" allowOverlap="1" wp14:anchorId="171FD374" wp14:editId="3AFFC0D0">
                <wp:simplePos x="0" y="0"/>
                <wp:positionH relativeFrom="column">
                  <wp:posOffset>-3175</wp:posOffset>
                </wp:positionH>
                <wp:positionV relativeFrom="paragraph">
                  <wp:posOffset>9525</wp:posOffset>
                </wp:positionV>
                <wp:extent cx="103124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76225"/>
                        </a:xfrm>
                        <a:prstGeom prst="rect">
                          <a:avLst/>
                        </a:prstGeom>
                        <a:solidFill>
                          <a:srgbClr val="FFFFFF"/>
                        </a:solidFill>
                        <a:ln w="9525">
                          <a:noFill/>
                          <a:miter lim="800000"/>
                          <a:headEnd/>
                          <a:tailEnd/>
                        </a:ln>
                      </wps:spPr>
                      <wps:txbx>
                        <w:txbxContent>
                          <w:p w14:paraId="4D57F5AC" w14:textId="6CE73E63" w:rsidR="007344B6" w:rsidRPr="009B6427" w:rsidRDefault="007344B6" w:rsidP="009B6427">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D374" id="_x0000_t202" coordsize="21600,21600" o:spt="202" path="m,l,21600r21600,l21600,xe">
                <v:stroke joinstyle="miter"/>
                <v:path gradientshapeok="t" o:connecttype="rect"/>
              </v:shapetype>
              <v:shape id="Text Box 2" o:spid="_x0000_s1026" type="#_x0000_t202" style="position:absolute;margin-left:-.25pt;margin-top:.75pt;width:81.2pt;height:21.7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" stroked="f">
                <v:textbox>
                  <w:txbxContent>
                    <w:p w14:paraId="4D57F5AC" w14:textId="6CE73E63" w:rsidR="007344B6" w:rsidRPr="009B6427" w:rsidRDefault="007344B6" w:rsidP="009B6427">
                      <w:pPr>
                        <w:rPr>
                          <w:rFonts w:ascii="Arial" w:hAnsi="Arial" w:cs="Arial"/>
                          <w:b/>
                          <w:bCs/>
                          <w:sz w:val="24"/>
                          <w:szCs w:val="24"/>
                        </w:rPr>
                      </w:pPr>
                    </w:p>
                  </w:txbxContent>
                </v:textbox>
              </v:shape>
            </w:pict>
          </mc:Fallback>
        </mc:AlternateContent>
      </w:r>
    </w:p>
    <w:sectPr w:rsidR="009B6427" w:rsidRPr="00936777" w:rsidSect="00B70D40">
      <w:pgSz w:w="16840" w:h="11910" w:orient="landscape"/>
      <w:pgMar w:top="919" w:right="601" w:bottom="624" w:left="993" w:header="720" w:footer="5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9DAC" w14:textId="77777777" w:rsidR="00966EB6" w:rsidRDefault="00966EB6">
      <w:pPr>
        <w:spacing w:after="0" w:line="240" w:lineRule="auto"/>
      </w:pPr>
      <w:r>
        <w:separator/>
      </w:r>
    </w:p>
  </w:endnote>
  <w:endnote w:type="continuationSeparator" w:id="0">
    <w:p w14:paraId="6AC60822" w14:textId="77777777" w:rsidR="00966EB6" w:rsidRDefault="0096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55 Roman">
    <w:altName w:val="Cambria"/>
    <w:panose1 w:val="00000000000000000000"/>
    <w:charset w:val="00"/>
    <w:family w:val="swiss"/>
    <w:notTrueType/>
    <w:pitch w:val="variable"/>
    <w:sig w:usb0="800000AF" w:usb1="4000204A"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3810"/>
      <w:docPartObj>
        <w:docPartGallery w:val="Page Numbers (Bottom of Page)"/>
        <w:docPartUnique/>
      </w:docPartObj>
    </w:sdtPr>
    <w:sdtEndPr>
      <w:rPr>
        <w:noProof/>
      </w:rPr>
    </w:sdtEndPr>
    <w:sdtContent>
      <w:p w14:paraId="37E5B358" w14:textId="77777777" w:rsidR="007344B6" w:rsidRDefault="007344B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021E189B" w14:textId="77777777" w:rsidR="007344B6" w:rsidRDefault="007344B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E2FA" w14:textId="77777777" w:rsidR="00966EB6" w:rsidRDefault="00966EB6">
      <w:pPr>
        <w:spacing w:after="0" w:line="240" w:lineRule="auto"/>
      </w:pPr>
      <w:r>
        <w:separator/>
      </w:r>
    </w:p>
  </w:footnote>
  <w:footnote w:type="continuationSeparator" w:id="0">
    <w:p w14:paraId="085898C6" w14:textId="77777777" w:rsidR="00966EB6" w:rsidRDefault="00966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41C0"/>
    <w:multiLevelType w:val="multilevel"/>
    <w:tmpl w:val="550078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E7232"/>
    <w:multiLevelType w:val="multilevel"/>
    <w:tmpl w:val="886276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312514"/>
    <w:multiLevelType w:val="hybridMultilevel"/>
    <w:tmpl w:val="6E96E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1E4E2C"/>
    <w:multiLevelType w:val="hybridMultilevel"/>
    <w:tmpl w:val="0F62A4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124540F"/>
    <w:multiLevelType w:val="hybridMultilevel"/>
    <w:tmpl w:val="45066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562F1"/>
    <w:multiLevelType w:val="hybridMultilevel"/>
    <w:tmpl w:val="19D21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471448"/>
    <w:multiLevelType w:val="multilevel"/>
    <w:tmpl w:val="76ECBC24"/>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2FE2600"/>
    <w:multiLevelType w:val="hybridMultilevel"/>
    <w:tmpl w:val="1958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PHE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F17F45"/>
    <w:multiLevelType w:val="multilevel"/>
    <w:tmpl w:val="97FC1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D51862"/>
    <w:multiLevelType w:val="hybridMultilevel"/>
    <w:tmpl w:val="D5AC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625E6"/>
    <w:multiLevelType w:val="hybridMultilevel"/>
    <w:tmpl w:val="20C22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005089"/>
    <w:multiLevelType w:val="hybridMultilevel"/>
    <w:tmpl w:val="CC682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F0648C"/>
    <w:multiLevelType w:val="hybridMultilevel"/>
    <w:tmpl w:val="03EE17B6"/>
    <w:lvl w:ilvl="0" w:tplc="29420C3E">
      <w:start w:val="1"/>
      <w:numFmt w:val="bullet"/>
      <w:pStyle w:val="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E4D16"/>
    <w:multiLevelType w:val="hybridMultilevel"/>
    <w:tmpl w:val="FA88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874A1"/>
    <w:multiLevelType w:val="hybridMultilevel"/>
    <w:tmpl w:val="5A20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A62A0"/>
    <w:multiLevelType w:val="multilevel"/>
    <w:tmpl w:val="AB4C28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492B36"/>
    <w:multiLevelType w:val="hybridMultilevel"/>
    <w:tmpl w:val="0F06A3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810714"/>
    <w:multiLevelType w:val="hybridMultilevel"/>
    <w:tmpl w:val="3F18E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932279"/>
    <w:multiLevelType w:val="hybridMultilevel"/>
    <w:tmpl w:val="0638F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0A2746"/>
    <w:multiLevelType w:val="hybridMultilevel"/>
    <w:tmpl w:val="BF1C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AA22CF"/>
    <w:multiLevelType w:val="multilevel"/>
    <w:tmpl w:val="25E62C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7321D47"/>
    <w:multiLevelType w:val="multilevel"/>
    <w:tmpl w:val="A4A0243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A502CAD"/>
    <w:multiLevelType w:val="hybridMultilevel"/>
    <w:tmpl w:val="390C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36322"/>
    <w:multiLevelType w:val="hybridMultilevel"/>
    <w:tmpl w:val="BEFE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201728">
    <w:abstractNumId w:val="2"/>
  </w:num>
  <w:num w:numId="2" w16cid:durableId="496847515">
    <w:abstractNumId w:val="5"/>
  </w:num>
  <w:num w:numId="3" w16cid:durableId="1350788443">
    <w:abstractNumId w:val="23"/>
  </w:num>
  <w:num w:numId="4" w16cid:durableId="595401841">
    <w:abstractNumId w:val="18"/>
  </w:num>
  <w:num w:numId="5" w16cid:durableId="395126825">
    <w:abstractNumId w:val="14"/>
  </w:num>
  <w:num w:numId="6" w16cid:durableId="856236406">
    <w:abstractNumId w:val="7"/>
  </w:num>
  <w:num w:numId="7" w16cid:durableId="1720587925">
    <w:abstractNumId w:val="17"/>
  </w:num>
  <w:num w:numId="8" w16cid:durableId="1622684078">
    <w:abstractNumId w:val="4"/>
  </w:num>
  <w:num w:numId="9" w16cid:durableId="1214580997">
    <w:abstractNumId w:val="9"/>
  </w:num>
  <w:num w:numId="10" w16cid:durableId="1618104876">
    <w:abstractNumId w:val="8"/>
  </w:num>
  <w:num w:numId="11" w16cid:durableId="1798404371">
    <w:abstractNumId w:val="13"/>
  </w:num>
  <w:num w:numId="12" w16cid:durableId="571742126">
    <w:abstractNumId w:val="12"/>
  </w:num>
  <w:num w:numId="13" w16cid:durableId="1989744525">
    <w:abstractNumId w:val="19"/>
  </w:num>
  <w:num w:numId="14" w16cid:durableId="1486625817">
    <w:abstractNumId w:val="10"/>
  </w:num>
  <w:num w:numId="15" w16cid:durableId="328022473">
    <w:abstractNumId w:val="17"/>
  </w:num>
  <w:num w:numId="16" w16cid:durableId="1635066789">
    <w:abstractNumId w:val="11"/>
  </w:num>
  <w:num w:numId="17" w16cid:durableId="784155877">
    <w:abstractNumId w:val="7"/>
  </w:num>
  <w:num w:numId="18" w16cid:durableId="1310480157">
    <w:abstractNumId w:val="18"/>
  </w:num>
  <w:num w:numId="19" w16cid:durableId="1571309487">
    <w:abstractNumId w:val="15"/>
  </w:num>
  <w:num w:numId="20" w16cid:durableId="713236948">
    <w:abstractNumId w:val="16"/>
  </w:num>
  <w:num w:numId="21" w16cid:durableId="711924784">
    <w:abstractNumId w:val="3"/>
  </w:num>
  <w:num w:numId="22" w16cid:durableId="1254051122">
    <w:abstractNumId w:val="1"/>
  </w:num>
  <w:num w:numId="23" w16cid:durableId="159126758">
    <w:abstractNumId w:val="24"/>
  </w:num>
  <w:num w:numId="24" w16cid:durableId="384258776">
    <w:abstractNumId w:val="0"/>
  </w:num>
  <w:num w:numId="25" w16cid:durableId="928005677">
    <w:abstractNumId w:val="20"/>
  </w:num>
  <w:num w:numId="26" w16cid:durableId="670333635">
    <w:abstractNumId w:val="6"/>
  </w:num>
  <w:num w:numId="27" w16cid:durableId="38632434">
    <w:abstractNumId w:val="22"/>
  </w:num>
  <w:num w:numId="28" w16cid:durableId="12775066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0A"/>
    <w:rsid w:val="0000638B"/>
    <w:rsid w:val="00016DFC"/>
    <w:rsid w:val="000274AC"/>
    <w:rsid w:val="000309A0"/>
    <w:rsid w:val="0003576F"/>
    <w:rsid w:val="00044BB8"/>
    <w:rsid w:val="00051639"/>
    <w:rsid w:val="000550D7"/>
    <w:rsid w:val="00055200"/>
    <w:rsid w:val="00067A61"/>
    <w:rsid w:val="0007304B"/>
    <w:rsid w:val="00080C8F"/>
    <w:rsid w:val="0008575C"/>
    <w:rsid w:val="000907FF"/>
    <w:rsid w:val="000915F3"/>
    <w:rsid w:val="000B1D72"/>
    <w:rsid w:val="000C23C9"/>
    <w:rsid w:val="000C71F7"/>
    <w:rsid w:val="000D14CA"/>
    <w:rsid w:val="000E20E0"/>
    <w:rsid w:val="000E2B82"/>
    <w:rsid w:val="000E2E74"/>
    <w:rsid w:val="000E46B7"/>
    <w:rsid w:val="000E645A"/>
    <w:rsid w:val="00104613"/>
    <w:rsid w:val="001150E1"/>
    <w:rsid w:val="00116D47"/>
    <w:rsid w:val="00123925"/>
    <w:rsid w:val="00124CBA"/>
    <w:rsid w:val="00133294"/>
    <w:rsid w:val="00143B3F"/>
    <w:rsid w:val="00152435"/>
    <w:rsid w:val="001527C1"/>
    <w:rsid w:val="001533B5"/>
    <w:rsid w:val="001634C5"/>
    <w:rsid w:val="0017694F"/>
    <w:rsid w:val="00187229"/>
    <w:rsid w:val="00193A74"/>
    <w:rsid w:val="00195864"/>
    <w:rsid w:val="001A042D"/>
    <w:rsid w:val="001A0F72"/>
    <w:rsid w:val="001A2241"/>
    <w:rsid w:val="001B45A2"/>
    <w:rsid w:val="001B571B"/>
    <w:rsid w:val="001B5E38"/>
    <w:rsid w:val="001C475B"/>
    <w:rsid w:val="001C51D6"/>
    <w:rsid w:val="001D318C"/>
    <w:rsid w:val="001D44A4"/>
    <w:rsid w:val="001D7B29"/>
    <w:rsid w:val="001E2821"/>
    <w:rsid w:val="001F1E8B"/>
    <w:rsid w:val="001F69F3"/>
    <w:rsid w:val="00200E99"/>
    <w:rsid w:val="002038FA"/>
    <w:rsid w:val="00205114"/>
    <w:rsid w:val="00214EED"/>
    <w:rsid w:val="00215B9C"/>
    <w:rsid w:val="00216C26"/>
    <w:rsid w:val="002475A8"/>
    <w:rsid w:val="00257447"/>
    <w:rsid w:val="00271EBD"/>
    <w:rsid w:val="00273B95"/>
    <w:rsid w:val="00285F76"/>
    <w:rsid w:val="00294CF5"/>
    <w:rsid w:val="00297698"/>
    <w:rsid w:val="002A75D3"/>
    <w:rsid w:val="002B52DA"/>
    <w:rsid w:val="002B6695"/>
    <w:rsid w:val="002E4C0A"/>
    <w:rsid w:val="003022E5"/>
    <w:rsid w:val="00302E4A"/>
    <w:rsid w:val="00306DC5"/>
    <w:rsid w:val="003077A3"/>
    <w:rsid w:val="0032340A"/>
    <w:rsid w:val="00352195"/>
    <w:rsid w:val="00354A87"/>
    <w:rsid w:val="00364412"/>
    <w:rsid w:val="0036455C"/>
    <w:rsid w:val="003762AB"/>
    <w:rsid w:val="00391D55"/>
    <w:rsid w:val="00393409"/>
    <w:rsid w:val="003A0C7F"/>
    <w:rsid w:val="003A1CEE"/>
    <w:rsid w:val="003A78AD"/>
    <w:rsid w:val="003D345D"/>
    <w:rsid w:val="003D34BA"/>
    <w:rsid w:val="003F1C91"/>
    <w:rsid w:val="00400725"/>
    <w:rsid w:val="00414BBF"/>
    <w:rsid w:val="00415608"/>
    <w:rsid w:val="0042087A"/>
    <w:rsid w:val="004208FD"/>
    <w:rsid w:val="0042313A"/>
    <w:rsid w:val="0043200B"/>
    <w:rsid w:val="00432E15"/>
    <w:rsid w:val="0043360A"/>
    <w:rsid w:val="00437F65"/>
    <w:rsid w:val="00440AE2"/>
    <w:rsid w:val="00443738"/>
    <w:rsid w:val="00445FE3"/>
    <w:rsid w:val="00447CE9"/>
    <w:rsid w:val="00453DD1"/>
    <w:rsid w:val="0045413C"/>
    <w:rsid w:val="00455018"/>
    <w:rsid w:val="004675EB"/>
    <w:rsid w:val="0046761D"/>
    <w:rsid w:val="00467C9D"/>
    <w:rsid w:val="00471B32"/>
    <w:rsid w:val="004728B9"/>
    <w:rsid w:val="00483787"/>
    <w:rsid w:val="004953F5"/>
    <w:rsid w:val="004A1E8F"/>
    <w:rsid w:val="004B21C5"/>
    <w:rsid w:val="004B21EB"/>
    <w:rsid w:val="004B7BC7"/>
    <w:rsid w:val="004C0F60"/>
    <w:rsid w:val="004D05AA"/>
    <w:rsid w:val="004D2D05"/>
    <w:rsid w:val="004D7014"/>
    <w:rsid w:val="004D7BA1"/>
    <w:rsid w:val="004F0871"/>
    <w:rsid w:val="004F1107"/>
    <w:rsid w:val="00502367"/>
    <w:rsid w:val="00502B09"/>
    <w:rsid w:val="00524753"/>
    <w:rsid w:val="00524AF2"/>
    <w:rsid w:val="00527431"/>
    <w:rsid w:val="00527547"/>
    <w:rsid w:val="005329D9"/>
    <w:rsid w:val="005453CA"/>
    <w:rsid w:val="00551E50"/>
    <w:rsid w:val="005565D5"/>
    <w:rsid w:val="00556F55"/>
    <w:rsid w:val="00557593"/>
    <w:rsid w:val="00562479"/>
    <w:rsid w:val="00572037"/>
    <w:rsid w:val="005751B4"/>
    <w:rsid w:val="00577B8D"/>
    <w:rsid w:val="005A0186"/>
    <w:rsid w:val="005A1B35"/>
    <w:rsid w:val="005B3635"/>
    <w:rsid w:val="005C01DB"/>
    <w:rsid w:val="005C2928"/>
    <w:rsid w:val="005C3B0F"/>
    <w:rsid w:val="005D6B60"/>
    <w:rsid w:val="005E1097"/>
    <w:rsid w:val="005E4B08"/>
    <w:rsid w:val="005E5539"/>
    <w:rsid w:val="005F5260"/>
    <w:rsid w:val="00604023"/>
    <w:rsid w:val="00605C2B"/>
    <w:rsid w:val="00613C1E"/>
    <w:rsid w:val="0062214A"/>
    <w:rsid w:val="00635FCB"/>
    <w:rsid w:val="00651781"/>
    <w:rsid w:val="00653CC2"/>
    <w:rsid w:val="00677F05"/>
    <w:rsid w:val="00683955"/>
    <w:rsid w:val="0068460F"/>
    <w:rsid w:val="00687D96"/>
    <w:rsid w:val="0069072C"/>
    <w:rsid w:val="006909AA"/>
    <w:rsid w:val="00694FCA"/>
    <w:rsid w:val="00696716"/>
    <w:rsid w:val="006A1895"/>
    <w:rsid w:val="006B6E62"/>
    <w:rsid w:val="006C1845"/>
    <w:rsid w:val="006C4E13"/>
    <w:rsid w:val="006F00F8"/>
    <w:rsid w:val="006F1426"/>
    <w:rsid w:val="006F2D7A"/>
    <w:rsid w:val="006F62EF"/>
    <w:rsid w:val="006F648D"/>
    <w:rsid w:val="007162B0"/>
    <w:rsid w:val="00727F6C"/>
    <w:rsid w:val="00731133"/>
    <w:rsid w:val="007314B8"/>
    <w:rsid w:val="007344B6"/>
    <w:rsid w:val="00741F6E"/>
    <w:rsid w:val="007435FC"/>
    <w:rsid w:val="00765AC6"/>
    <w:rsid w:val="0077554E"/>
    <w:rsid w:val="007879DB"/>
    <w:rsid w:val="007921D5"/>
    <w:rsid w:val="00797FD2"/>
    <w:rsid w:val="007B4F16"/>
    <w:rsid w:val="007D1846"/>
    <w:rsid w:val="007D4502"/>
    <w:rsid w:val="007F0752"/>
    <w:rsid w:val="008013B6"/>
    <w:rsid w:val="00801C95"/>
    <w:rsid w:val="008040E8"/>
    <w:rsid w:val="008119AC"/>
    <w:rsid w:val="00825D9D"/>
    <w:rsid w:val="0083276E"/>
    <w:rsid w:val="00832FED"/>
    <w:rsid w:val="008416BA"/>
    <w:rsid w:val="00841E07"/>
    <w:rsid w:val="008511D6"/>
    <w:rsid w:val="008525A9"/>
    <w:rsid w:val="00874E15"/>
    <w:rsid w:val="008833A3"/>
    <w:rsid w:val="00883DA2"/>
    <w:rsid w:val="008A6F39"/>
    <w:rsid w:val="008A7363"/>
    <w:rsid w:val="008C14EC"/>
    <w:rsid w:val="008C49FC"/>
    <w:rsid w:val="008D56DE"/>
    <w:rsid w:val="008E4FD0"/>
    <w:rsid w:val="00902EF8"/>
    <w:rsid w:val="009259BD"/>
    <w:rsid w:val="00936777"/>
    <w:rsid w:val="009654C7"/>
    <w:rsid w:val="00965D2F"/>
    <w:rsid w:val="00966EB6"/>
    <w:rsid w:val="0096762B"/>
    <w:rsid w:val="009702F1"/>
    <w:rsid w:val="00971B60"/>
    <w:rsid w:val="00973603"/>
    <w:rsid w:val="00981B29"/>
    <w:rsid w:val="00991BD3"/>
    <w:rsid w:val="009A5DD3"/>
    <w:rsid w:val="009B1276"/>
    <w:rsid w:val="009B6427"/>
    <w:rsid w:val="009C255F"/>
    <w:rsid w:val="009C4AFA"/>
    <w:rsid w:val="009D4573"/>
    <w:rsid w:val="009F010E"/>
    <w:rsid w:val="00A21BB0"/>
    <w:rsid w:val="00A37EF4"/>
    <w:rsid w:val="00A434A8"/>
    <w:rsid w:val="00A43E1E"/>
    <w:rsid w:val="00A4438A"/>
    <w:rsid w:val="00A477F8"/>
    <w:rsid w:val="00A5009D"/>
    <w:rsid w:val="00A53882"/>
    <w:rsid w:val="00A64FA5"/>
    <w:rsid w:val="00A87965"/>
    <w:rsid w:val="00AA48FE"/>
    <w:rsid w:val="00AB305A"/>
    <w:rsid w:val="00AE31A8"/>
    <w:rsid w:val="00AF0D80"/>
    <w:rsid w:val="00AF63AA"/>
    <w:rsid w:val="00B17ECE"/>
    <w:rsid w:val="00B210E2"/>
    <w:rsid w:val="00B3429D"/>
    <w:rsid w:val="00B410E4"/>
    <w:rsid w:val="00B41677"/>
    <w:rsid w:val="00B61605"/>
    <w:rsid w:val="00B62DE8"/>
    <w:rsid w:val="00B6500F"/>
    <w:rsid w:val="00B70D40"/>
    <w:rsid w:val="00B74340"/>
    <w:rsid w:val="00B866A1"/>
    <w:rsid w:val="00B876A1"/>
    <w:rsid w:val="00BC3E0B"/>
    <w:rsid w:val="00BD3855"/>
    <w:rsid w:val="00BD5037"/>
    <w:rsid w:val="00BD5AF4"/>
    <w:rsid w:val="00BE19D9"/>
    <w:rsid w:val="00BE4ECB"/>
    <w:rsid w:val="00BE4FD9"/>
    <w:rsid w:val="00C124AD"/>
    <w:rsid w:val="00C21560"/>
    <w:rsid w:val="00C246D7"/>
    <w:rsid w:val="00C416DB"/>
    <w:rsid w:val="00C4261F"/>
    <w:rsid w:val="00C4637D"/>
    <w:rsid w:val="00C46818"/>
    <w:rsid w:val="00C550C4"/>
    <w:rsid w:val="00C55A67"/>
    <w:rsid w:val="00C704C9"/>
    <w:rsid w:val="00C723EB"/>
    <w:rsid w:val="00C75A10"/>
    <w:rsid w:val="00C82066"/>
    <w:rsid w:val="00C846E6"/>
    <w:rsid w:val="00C92A2D"/>
    <w:rsid w:val="00CB081C"/>
    <w:rsid w:val="00CC123C"/>
    <w:rsid w:val="00CC1638"/>
    <w:rsid w:val="00CC3951"/>
    <w:rsid w:val="00CC4B3A"/>
    <w:rsid w:val="00CE2DCF"/>
    <w:rsid w:val="00D05188"/>
    <w:rsid w:val="00D05622"/>
    <w:rsid w:val="00D17744"/>
    <w:rsid w:val="00D241F9"/>
    <w:rsid w:val="00D406B5"/>
    <w:rsid w:val="00D57B6F"/>
    <w:rsid w:val="00D605A7"/>
    <w:rsid w:val="00D65CE4"/>
    <w:rsid w:val="00D70BD9"/>
    <w:rsid w:val="00D85962"/>
    <w:rsid w:val="00D86CD1"/>
    <w:rsid w:val="00DB4201"/>
    <w:rsid w:val="00DE015A"/>
    <w:rsid w:val="00DE1EE0"/>
    <w:rsid w:val="00DE343D"/>
    <w:rsid w:val="00E008F4"/>
    <w:rsid w:val="00E07733"/>
    <w:rsid w:val="00E07CBE"/>
    <w:rsid w:val="00E11283"/>
    <w:rsid w:val="00E23E05"/>
    <w:rsid w:val="00E24AF9"/>
    <w:rsid w:val="00E36778"/>
    <w:rsid w:val="00E423B6"/>
    <w:rsid w:val="00E45E2D"/>
    <w:rsid w:val="00E70EDB"/>
    <w:rsid w:val="00E83C33"/>
    <w:rsid w:val="00E93F37"/>
    <w:rsid w:val="00EA2A91"/>
    <w:rsid w:val="00ED0FEE"/>
    <w:rsid w:val="00F04DB1"/>
    <w:rsid w:val="00F10CA2"/>
    <w:rsid w:val="00F11742"/>
    <w:rsid w:val="00F224F7"/>
    <w:rsid w:val="00F3335A"/>
    <w:rsid w:val="00F47808"/>
    <w:rsid w:val="00F715A0"/>
    <w:rsid w:val="00F85C3D"/>
    <w:rsid w:val="00F90BBC"/>
    <w:rsid w:val="00F95702"/>
    <w:rsid w:val="00F96225"/>
    <w:rsid w:val="00F97486"/>
    <w:rsid w:val="00FA60D2"/>
    <w:rsid w:val="00FB017E"/>
    <w:rsid w:val="00FC64AA"/>
    <w:rsid w:val="00FD129F"/>
    <w:rsid w:val="00FE4DF6"/>
    <w:rsid w:val="00FF0EF4"/>
    <w:rsid w:val="00FF2D47"/>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3A49F"/>
  <w15:docId w15:val="{63942F4D-4D51-4B9D-A984-C842C96A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95"/>
  </w:style>
  <w:style w:type="paragraph" w:styleId="Heading1">
    <w:name w:val="heading 1"/>
    <w:basedOn w:val="Normal"/>
    <w:next w:val="Normal"/>
    <w:link w:val="Heading1Char"/>
    <w:uiPriority w:val="9"/>
    <w:qFormat/>
    <w:rsid w:val="000B1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36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5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360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360A"/>
    <w:pPr>
      <w:ind w:left="720"/>
      <w:contextualSpacing/>
    </w:pPr>
  </w:style>
  <w:style w:type="table" w:styleId="MediumGrid3-Accent1">
    <w:name w:val="Medium Grid 3 Accent 1"/>
    <w:basedOn w:val="TableNormal"/>
    <w:uiPriority w:val="69"/>
    <w:rsid w:val="00433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43360A"/>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43360A"/>
    <w:rPr>
      <w:rFonts w:ascii="Frutiger LT Std 45 Light" w:hAnsi="Frutiger LT Std 45 Light" w:cs="Frutiger LT Std 45 Light"/>
      <w:color w:val="221E1F"/>
      <w:sz w:val="26"/>
      <w:szCs w:val="26"/>
    </w:rPr>
  </w:style>
  <w:style w:type="paragraph" w:styleId="BalloonText">
    <w:name w:val="Balloon Text"/>
    <w:basedOn w:val="Normal"/>
    <w:link w:val="BalloonTextChar"/>
    <w:uiPriority w:val="99"/>
    <w:semiHidden/>
    <w:unhideWhenUsed/>
    <w:rsid w:val="0043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0A"/>
    <w:rPr>
      <w:rFonts w:ascii="Tahoma" w:hAnsi="Tahoma" w:cs="Tahoma"/>
      <w:sz w:val="16"/>
      <w:szCs w:val="16"/>
    </w:rPr>
  </w:style>
  <w:style w:type="character" w:customStyle="1" w:styleId="Heading1Char">
    <w:name w:val="Heading 1 Char"/>
    <w:basedOn w:val="DefaultParagraphFont"/>
    <w:link w:val="Heading1"/>
    <w:uiPriority w:val="1"/>
    <w:rsid w:val="000B1D7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B1D72"/>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0B1D72"/>
    <w:rPr>
      <w:rFonts w:ascii="Calibri" w:eastAsia="Calibri" w:hAnsi="Calibri"/>
      <w:lang w:val="en-US"/>
    </w:rPr>
  </w:style>
  <w:style w:type="table" w:styleId="TableGrid">
    <w:name w:val="Table Grid"/>
    <w:basedOn w:val="TableNormal"/>
    <w:uiPriority w:val="5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27C1"/>
    <w:rPr>
      <w:rFonts w:cs="Times New Roman"/>
      <w:color w:val="0000FF"/>
      <w:u w:val="single"/>
    </w:rPr>
  </w:style>
  <w:style w:type="character" w:styleId="Emphasis">
    <w:name w:val="Emphasis"/>
    <w:basedOn w:val="DefaultParagraphFont"/>
    <w:uiPriority w:val="99"/>
    <w:qFormat/>
    <w:rsid w:val="001527C1"/>
    <w:rPr>
      <w:rFonts w:cs="Times New Roman"/>
      <w:i/>
    </w:rPr>
  </w:style>
  <w:style w:type="table" w:styleId="MediumShading1-Accent1">
    <w:name w:val="Medium Shading 1 Accent 1"/>
    <w:basedOn w:val="TableNormal"/>
    <w:uiPriority w:val="63"/>
    <w:rsid w:val="001527C1"/>
    <w:pPr>
      <w:spacing w:after="0" w:line="240" w:lineRule="auto"/>
    </w:pPr>
    <w:rPr>
      <w:rFonts w:ascii="Arial" w:eastAsia="Calibri" w:hAnsi="Arial"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
    <w:name w:val="Body"/>
    <w:rsid w:val="001527C1"/>
    <w:pPr>
      <w:pBdr>
        <w:top w:val="nil"/>
        <w:left w:val="nil"/>
        <w:bottom w:val="nil"/>
        <w:right w:val="nil"/>
        <w:between w:val="nil"/>
        <w:bar w:val="nil"/>
      </w:pBdr>
    </w:pPr>
    <w:rPr>
      <w:rFonts w:ascii="Arial" w:eastAsia="Arial" w:hAnsi="Arial" w:cs="Arial"/>
      <w:color w:val="000000"/>
      <w:u w:color="000000"/>
      <w:bdr w:val="nil"/>
      <w:lang w:eastAsia="en-GB"/>
    </w:rPr>
  </w:style>
  <w:style w:type="paragraph" w:styleId="NormalWeb">
    <w:name w:val="Normal (Web)"/>
    <w:basedOn w:val="Normal"/>
    <w:uiPriority w:val="99"/>
    <w:unhideWhenUsed/>
    <w:rsid w:val="00152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6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16"/>
  </w:style>
  <w:style w:type="paragraph" w:styleId="Footer">
    <w:name w:val="footer"/>
    <w:basedOn w:val="Normal"/>
    <w:link w:val="FooterChar"/>
    <w:uiPriority w:val="99"/>
    <w:unhideWhenUsed/>
    <w:rsid w:val="00696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16"/>
  </w:style>
  <w:style w:type="character" w:styleId="CommentReference">
    <w:name w:val="annotation reference"/>
    <w:basedOn w:val="DefaultParagraphFont"/>
    <w:uiPriority w:val="99"/>
    <w:semiHidden/>
    <w:unhideWhenUsed/>
    <w:rsid w:val="000915F3"/>
    <w:rPr>
      <w:sz w:val="16"/>
      <w:szCs w:val="16"/>
    </w:rPr>
  </w:style>
  <w:style w:type="paragraph" w:styleId="CommentText">
    <w:name w:val="annotation text"/>
    <w:basedOn w:val="Normal"/>
    <w:link w:val="CommentTextChar"/>
    <w:uiPriority w:val="99"/>
    <w:unhideWhenUsed/>
    <w:rsid w:val="000915F3"/>
    <w:pPr>
      <w:spacing w:line="240" w:lineRule="auto"/>
    </w:pPr>
    <w:rPr>
      <w:sz w:val="20"/>
      <w:szCs w:val="20"/>
    </w:rPr>
  </w:style>
  <w:style w:type="character" w:customStyle="1" w:styleId="CommentTextChar">
    <w:name w:val="Comment Text Char"/>
    <w:basedOn w:val="DefaultParagraphFont"/>
    <w:link w:val="CommentText"/>
    <w:uiPriority w:val="99"/>
    <w:rsid w:val="000915F3"/>
    <w:rPr>
      <w:sz w:val="20"/>
      <w:szCs w:val="20"/>
    </w:rPr>
  </w:style>
  <w:style w:type="paragraph" w:styleId="CommentSubject">
    <w:name w:val="annotation subject"/>
    <w:basedOn w:val="CommentText"/>
    <w:next w:val="CommentText"/>
    <w:link w:val="CommentSubjectChar"/>
    <w:uiPriority w:val="99"/>
    <w:semiHidden/>
    <w:unhideWhenUsed/>
    <w:rsid w:val="000915F3"/>
    <w:rPr>
      <w:b/>
      <w:bCs/>
    </w:rPr>
  </w:style>
  <w:style w:type="character" w:customStyle="1" w:styleId="CommentSubjectChar">
    <w:name w:val="Comment Subject Char"/>
    <w:basedOn w:val="CommentTextChar"/>
    <w:link w:val="CommentSubject"/>
    <w:uiPriority w:val="99"/>
    <w:semiHidden/>
    <w:rsid w:val="000915F3"/>
    <w:rPr>
      <w:b/>
      <w:bCs/>
      <w:sz w:val="20"/>
      <w:szCs w:val="20"/>
    </w:rPr>
  </w:style>
  <w:style w:type="character" w:customStyle="1" w:styleId="Heading3Char">
    <w:name w:val="Heading 3 Char"/>
    <w:basedOn w:val="DefaultParagraphFont"/>
    <w:link w:val="Heading3"/>
    <w:uiPriority w:val="1"/>
    <w:rsid w:val="00D57B6F"/>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D57B6F"/>
    <w:pPr>
      <w:widowControl w:val="0"/>
      <w:autoSpaceDE w:val="0"/>
      <w:autoSpaceDN w:val="0"/>
      <w:spacing w:after="0" w:line="240" w:lineRule="auto"/>
    </w:pPr>
    <w:rPr>
      <w:rFonts w:ascii="Arial" w:eastAsia="Arial" w:hAnsi="Arial" w:cs="Arial"/>
    </w:rPr>
  </w:style>
  <w:style w:type="character" w:customStyle="1" w:styleId="UnresolvedMention1">
    <w:name w:val="Unresolved Mention1"/>
    <w:basedOn w:val="DefaultParagraphFont"/>
    <w:uiPriority w:val="99"/>
    <w:semiHidden/>
    <w:unhideWhenUsed/>
    <w:rsid w:val="009B6427"/>
    <w:rPr>
      <w:color w:val="605E5C"/>
      <w:shd w:val="clear" w:color="auto" w:fill="E1DFDD"/>
    </w:rPr>
  </w:style>
  <w:style w:type="numbering" w:customStyle="1" w:styleId="NoList1">
    <w:name w:val="No List1"/>
    <w:next w:val="NoList"/>
    <w:uiPriority w:val="99"/>
    <w:semiHidden/>
    <w:unhideWhenUsed/>
    <w:rsid w:val="009B6427"/>
  </w:style>
  <w:style w:type="table" w:customStyle="1" w:styleId="MediumGrid3-Accent11">
    <w:name w:val="Medium Grid 3 - Accent 11"/>
    <w:basedOn w:val="TableNormal"/>
    <w:next w:val="MediumGrid3-Accent1"/>
    <w:uiPriority w:val="69"/>
    <w:rsid w:val="009B642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2">
    <w:name w:val="No List2"/>
    <w:next w:val="NoList"/>
    <w:uiPriority w:val="99"/>
    <w:semiHidden/>
    <w:unhideWhenUsed/>
    <w:rsid w:val="009B6427"/>
  </w:style>
  <w:style w:type="table" w:customStyle="1" w:styleId="TableGrid1">
    <w:name w:val="Table Grid1"/>
    <w:basedOn w:val="TableNormal"/>
    <w:next w:val="TableGrid"/>
    <w:uiPriority w:val="39"/>
    <w:rsid w:val="009B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93A7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3A74"/>
    <w:rPr>
      <w:rFonts w:ascii="Calibri" w:hAnsi="Calibri"/>
      <w:szCs w:val="21"/>
    </w:rPr>
  </w:style>
  <w:style w:type="paragraph" w:styleId="Revision">
    <w:name w:val="Revision"/>
    <w:hidden/>
    <w:uiPriority w:val="99"/>
    <w:semiHidden/>
    <w:rsid w:val="00CC1638"/>
    <w:pPr>
      <w:spacing w:after="0" w:line="240" w:lineRule="auto"/>
    </w:pPr>
  </w:style>
  <w:style w:type="character" w:customStyle="1" w:styleId="markedcontent">
    <w:name w:val="markedcontent"/>
    <w:basedOn w:val="DefaultParagraphFont"/>
    <w:rsid w:val="001150E1"/>
  </w:style>
  <w:style w:type="paragraph" w:customStyle="1" w:styleId="PHENumberedbodytext">
    <w:name w:val="PHE Numbered body text"/>
    <w:basedOn w:val="Normal"/>
    <w:rsid w:val="00C46818"/>
    <w:pPr>
      <w:numPr>
        <w:ilvl w:val="1"/>
        <w:numId w:val="10"/>
      </w:numPr>
      <w:spacing w:after="0" w:line="320" w:lineRule="atLeast"/>
      <w:ind w:left="567" w:right="794" w:hanging="567"/>
    </w:pPr>
    <w:rPr>
      <w:rFonts w:ascii="Arial" w:eastAsia="Times New Roman" w:hAnsi="Arial" w:cs="Times New Roman"/>
      <w:sz w:val="24"/>
      <w:szCs w:val="20"/>
      <w:lang w:eastAsia="en-GB"/>
    </w:rPr>
  </w:style>
  <w:style w:type="paragraph" w:customStyle="1" w:styleId="aabullet">
    <w:name w:val="aa bullet"/>
    <w:basedOn w:val="ListParagraph"/>
    <w:link w:val="aabulletChar"/>
    <w:qFormat/>
    <w:rsid w:val="00C46818"/>
    <w:pPr>
      <w:framePr w:hSpace="180" w:wrap="around" w:vAnchor="text" w:hAnchor="margin" w:x="-431" w:y="96"/>
      <w:widowControl w:val="0"/>
      <w:numPr>
        <w:numId w:val="11"/>
      </w:numPr>
      <w:spacing w:after="0" w:line="240" w:lineRule="auto"/>
      <w:ind w:left="460"/>
      <w:contextualSpacing w:val="0"/>
    </w:pPr>
    <w:rPr>
      <w:rFonts w:ascii="Arial" w:hAnsi="Arial" w:cs="Arial"/>
      <w:lang w:val="en-US"/>
    </w:rPr>
  </w:style>
  <w:style w:type="character" w:customStyle="1" w:styleId="aabulletChar">
    <w:name w:val="aa bullet Char"/>
    <w:basedOn w:val="DefaultParagraphFont"/>
    <w:link w:val="aabullet"/>
    <w:rsid w:val="00C46818"/>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062">
      <w:bodyDiv w:val="1"/>
      <w:marLeft w:val="0"/>
      <w:marRight w:val="0"/>
      <w:marTop w:val="0"/>
      <w:marBottom w:val="0"/>
      <w:divBdr>
        <w:top w:val="none" w:sz="0" w:space="0" w:color="auto"/>
        <w:left w:val="none" w:sz="0" w:space="0" w:color="auto"/>
        <w:bottom w:val="none" w:sz="0" w:space="0" w:color="auto"/>
        <w:right w:val="none" w:sz="0" w:space="0" w:color="auto"/>
      </w:divBdr>
    </w:div>
    <w:div w:id="33702496">
      <w:bodyDiv w:val="1"/>
      <w:marLeft w:val="0"/>
      <w:marRight w:val="0"/>
      <w:marTop w:val="0"/>
      <w:marBottom w:val="0"/>
      <w:divBdr>
        <w:top w:val="none" w:sz="0" w:space="0" w:color="auto"/>
        <w:left w:val="none" w:sz="0" w:space="0" w:color="auto"/>
        <w:bottom w:val="none" w:sz="0" w:space="0" w:color="auto"/>
        <w:right w:val="none" w:sz="0" w:space="0" w:color="auto"/>
      </w:divBdr>
    </w:div>
    <w:div w:id="90661340">
      <w:bodyDiv w:val="1"/>
      <w:marLeft w:val="0"/>
      <w:marRight w:val="0"/>
      <w:marTop w:val="0"/>
      <w:marBottom w:val="0"/>
      <w:divBdr>
        <w:top w:val="none" w:sz="0" w:space="0" w:color="auto"/>
        <w:left w:val="none" w:sz="0" w:space="0" w:color="auto"/>
        <w:bottom w:val="none" w:sz="0" w:space="0" w:color="auto"/>
        <w:right w:val="none" w:sz="0" w:space="0" w:color="auto"/>
      </w:divBdr>
    </w:div>
    <w:div w:id="119614321">
      <w:bodyDiv w:val="1"/>
      <w:marLeft w:val="0"/>
      <w:marRight w:val="0"/>
      <w:marTop w:val="0"/>
      <w:marBottom w:val="0"/>
      <w:divBdr>
        <w:top w:val="none" w:sz="0" w:space="0" w:color="auto"/>
        <w:left w:val="none" w:sz="0" w:space="0" w:color="auto"/>
        <w:bottom w:val="none" w:sz="0" w:space="0" w:color="auto"/>
        <w:right w:val="none" w:sz="0" w:space="0" w:color="auto"/>
      </w:divBdr>
    </w:div>
    <w:div w:id="146213671">
      <w:bodyDiv w:val="1"/>
      <w:marLeft w:val="0"/>
      <w:marRight w:val="0"/>
      <w:marTop w:val="0"/>
      <w:marBottom w:val="0"/>
      <w:divBdr>
        <w:top w:val="none" w:sz="0" w:space="0" w:color="auto"/>
        <w:left w:val="none" w:sz="0" w:space="0" w:color="auto"/>
        <w:bottom w:val="none" w:sz="0" w:space="0" w:color="auto"/>
        <w:right w:val="none" w:sz="0" w:space="0" w:color="auto"/>
      </w:divBdr>
    </w:div>
    <w:div w:id="152726769">
      <w:bodyDiv w:val="1"/>
      <w:marLeft w:val="0"/>
      <w:marRight w:val="0"/>
      <w:marTop w:val="0"/>
      <w:marBottom w:val="0"/>
      <w:divBdr>
        <w:top w:val="none" w:sz="0" w:space="0" w:color="auto"/>
        <w:left w:val="none" w:sz="0" w:space="0" w:color="auto"/>
        <w:bottom w:val="none" w:sz="0" w:space="0" w:color="auto"/>
        <w:right w:val="none" w:sz="0" w:space="0" w:color="auto"/>
      </w:divBdr>
      <w:divsChild>
        <w:div w:id="328102236">
          <w:marLeft w:val="0"/>
          <w:marRight w:val="0"/>
          <w:marTop w:val="0"/>
          <w:marBottom w:val="0"/>
          <w:divBdr>
            <w:top w:val="none" w:sz="0" w:space="0" w:color="auto"/>
            <w:left w:val="none" w:sz="0" w:space="0" w:color="auto"/>
            <w:bottom w:val="none" w:sz="0" w:space="0" w:color="auto"/>
            <w:right w:val="none" w:sz="0" w:space="0" w:color="auto"/>
          </w:divBdr>
          <w:divsChild>
            <w:div w:id="5948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3860">
      <w:bodyDiv w:val="1"/>
      <w:marLeft w:val="0"/>
      <w:marRight w:val="0"/>
      <w:marTop w:val="0"/>
      <w:marBottom w:val="0"/>
      <w:divBdr>
        <w:top w:val="none" w:sz="0" w:space="0" w:color="auto"/>
        <w:left w:val="none" w:sz="0" w:space="0" w:color="auto"/>
        <w:bottom w:val="none" w:sz="0" w:space="0" w:color="auto"/>
        <w:right w:val="none" w:sz="0" w:space="0" w:color="auto"/>
      </w:divBdr>
    </w:div>
    <w:div w:id="273446094">
      <w:bodyDiv w:val="1"/>
      <w:marLeft w:val="0"/>
      <w:marRight w:val="0"/>
      <w:marTop w:val="0"/>
      <w:marBottom w:val="0"/>
      <w:divBdr>
        <w:top w:val="none" w:sz="0" w:space="0" w:color="auto"/>
        <w:left w:val="none" w:sz="0" w:space="0" w:color="auto"/>
        <w:bottom w:val="none" w:sz="0" w:space="0" w:color="auto"/>
        <w:right w:val="none" w:sz="0" w:space="0" w:color="auto"/>
      </w:divBdr>
    </w:div>
    <w:div w:id="367686910">
      <w:bodyDiv w:val="1"/>
      <w:marLeft w:val="0"/>
      <w:marRight w:val="0"/>
      <w:marTop w:val="0"/>
      <w:marBottom w:val="0"/>
      <w:divBdr>
        <w:top w:val="none" w:sz="0" w:space="0" w:color="auto"/>
        <w:left w:val="none" w:sz="0" w:space="0" w:color="auto"/>
        <w:bottom w:val="none" w:sz="0" w:space="0" w:color="auto"/>
        <w:right w:val="none" w:sz="0" w:space="0" w:color="auto"/>
      </w:divBdr>
    </w:div>
    <w:div w:id="425004375">
      <w:bodyDiv w:val="1"/>
      <w:marLeft w:val="0"/>
      <w:marRight w:val="0"/>
      <w:marTop w:val="0"/>
      <w:marBottom w:val="0"/>
      <w:divBdr>
        <w:top w:val="none" w:sz="0" w:space="0" w:color="auto"/>
        <w:left w:val="none" w:sz="0" w:space="0" w:color="auto"/>
        <w:bottom w:val="none" w:sz="0" w:space="0" w:color="auto"/>
        <w:right w:val="none" w:sz="0" w:space="0" w:color="auto"/>
      </w:divBdr>
    </w:div>
    <w:div w:id="458033995">
      <w:bodyDiv w:val="1"/>
      <w:marLeft w:val="0"/>
      <w:marRight w:val="0"/>
      <w:marTop w:val="0"/>
      <w:marBottom w:val="0"/>
      <w:divBdr>
        <w:top w:val="none" w:sz="0" w:space="0" w:color="auto"/>
        <w:left w:val="none" w:sz="0" w:space="0" w:color="auto"/>
        <w:bottom w:val="none" w:sz="0" w:space="0" w:color="auto"/>
        <w:right w:val="none" w:sz="0" w:space="0" w:color="auto"/>
      </w:divBdr>
    </w:div>
    <w:div w:id="524904725">
      <w:bodyDiv w:val="1"/>
      <w:marLeft w:val="0"/>
      <w:marRight w:val="0"/>
      <w:marTop w:val="0"/>
      <w:marBottom w:val="0"/>
      <w:divBdr>
        <w:top w:val="none" w:sz="0" w:space="0" w:color="auto"/>
        <w:left w:val="none" w:sz="0" w:space="0" w:color="auto"/>
        <w:bottom w:val="none" w:sz="0" w:space="0" w:color="auto"/>
        <w:right w:val="none" w:sz="0" w:space="0" w:color="auto"/>
      </w:divBdr>
    </w:div>
    <w:div w:id="792090191">
      <w:bodyDiv w:val="1"/>
      <w:marLeft w:val="0"/>
      <w:marRight w:val="0"/>
      <w:marTop w:val="0"/>
      <w:marBottom w:val="0"/>
      <w:divBdr>
        <w:top w:val="none" w:sz="0" w:space="0" w:color="auto"/>
        <w:left w:val="none" w:sz="0" w:space="0" w:color="auto"/>
        <w:bottom w:val="none" w:sz="0" w:space="0" w:color="auto"/>
        <w:right w:val="none" w:sz="0" w:space="0" w:color="auto"/>
      </w:divBdr>
    </w:div>
    <w:div w:id="807666064">
      <w:bodyDiv w:val="1"/>
      <w:marLeft w:val="0"/>
      <w:marRight w:val="0"/>
      <w:marTop w:val="0"/>
      <w:marBottom w:val="0"/>
      <w:divBdr>
        <w:top w:val="none" w:sz="0" w:space="0" w:color="auto"/>
        <w:left w:val="none" w:sz="0" w:space="0" w:color="auto"/>
        <w:bottom w:val="none" w:sz="0" w:space="0" w:color="auto"/>
        <w:right w:val="none" w:sz="0" w:space="0" w:color="auto"/>
      </w:divBdr>
    </w:div>
    <w:div w:id="839656451">
      <w:bodyDiv w:val="1"/>
      <w:marLeft w:val="0"/>
      <w:marRight w:val="0"/>
      <w:marTop w:val="0"/>
      <w:marBottom w:val="0"/>
      <w:divBdr>
        <w:top w:val="none" w:sz="0" w:space="0" w:color="auto"/>
        <w:left w:val="none" w:sz="0" w:space="0" w:color="auto"/>
        <w:bottom w:val="none" w:sz="0" w:space="0" w:color="auto"/>
        <w:right w:val="none" w:sz="0" w:space="0" w:color="auto"/>
      </w:divBdr>
    </w:div>
    <w:div w:id="916868149">
      <w:bodyDiv w:val="1"/>
      <w:marLeft w:val="0"/>
      <w:marRight w:val="0"/>
      <w:marTop w:val="0"/>
      <w:marBottom w:val="0"/>
      <w:divBdr>
        <w:top w:val="none" w:sz="0" w:space="0" w:color="auto"/>
        <w:left w:val="none" w:sz="0" w:space="0" w:color="auto"/>
        <w:bottom w:val="none" w:sz="0" w:space="0" w:color="auto"/>
        <w:right w:val="none" w:sz="0" w:space="0" w:color="auto"/>
      </w:divBdr>
    </w:div>
    <w:div w:id="932906468">
      <w:bodyDiv w:val="1"/>
      <w:marLeft w:val="0"/>
      <w:marRight w:val="0"/>
      <w:marTop w:val="0"/>
      <w:marBottom w:val="0"/>
      <w:divBdr>
        <w:top w:val="none" w:sz="0" w:space="0" w:color="auto"/>
        <w:left w:val="none" w:sz="0" w:space="0" w:color="auto"/>
        <w:bottom w:val="none" w:sz="0" w:space="0" w:color="auto"/>
        <w:right w:val="none" w:sz="0" w:space="0" w:color="auto"/>
      </w:divBdr>
    </w:div>
    <w:div w:id="1150755690">
      <w:bodyDiv w:val="1"/>
      <w:marLeft w:val="0"/>
      <w:marRight w:val="0"/>
      <w:marTop w:val="0"/>
      <w:marBottom w:val="0"/>
      <w:divBdr>
        <w:top w:val="none" w:sz="0" w:space="0" w:color="auto"/>
        <w:left w:val="none" w:sz="0" w:space="0" w:color="auto"/>
        <w:bottom w:val="none" w:sz="0" w:space="0" w:color="auto"/>
        <w:right w:val="none" w:sz="0" w:space="0" w:color="auto"/>
      </w:divBdr>
    </w:div>
    <w:div w:id="1273052448">
      <w:bodyDiv w:val="1"/>
      <w:marLeft w:val="0"/>
      <w:marRight w:val="0"/>
      <w:marTop w:val="0"/>
      <w:marBottom w:val="0"/>
      <w:divBdr>
        <w:top w:val="none" w:sz="0" w:space="0" w:color="auto"/>
        <w:left w:val="none" w:sz="0" w:space="0" w:color="auto"/>
        <w:bottom w:val="none" w:sz="0" w:space="0" w:color="auto"/>
        <w:right w:val="none" w:sz="0" w:space="0" w:color="auto"/>
      </w:divBdr>
    </w:div>
    <w:div w:id="1297836696">
      <w:bodyDiv w:val="1"/>
      <w:marLeft w:val="0"/>
      <w:marRight w:val="0"/>
      <w:marTop w:val="0"/>
      <w:marBottom w:val="0"/>
      <w:divBdr>
        <w:top w:val="none" w:sz="0" w:space="0" w:color="auto"/>
        <w:left w:val="none" w:sz="0" w:space="0" w:color="auto"/>
        <w:bottom w:val="none" w:sz="0" w:space="0" w:color="auto"/>
        <w:right w:val="none" w:sz="0" w:space="0" w:color="auto"/>
      </w:divBdr>
    </w:div>
    <w:div w:id="1395853250">
      <w:bodyDiv w:val="1"/>
      <w:marLeft w:val="0"/>
      <w:marRight w:val="0"/>
      <w:marTop w:val="0"/>
      <w:marBottom w:val="0"/>
      <w:divBdr>
        <w:top w:val="none" w:sz="0" w:space="0" w:color="auto"/>
        <w:left w:val="none" w:sz="0" w:space="0" w:color="auto"/>
        <w:bottom w:val="none" w:sz="0" w:space="0" w:color="auto"/>
        <w:right w:val="none" w:sz="0" w:space="0" w:color="auto"/>
      </w:divBdr>
    </w:div>
    <w:div w:id="1523205925">
      <w:bodyDiv w:val="1"/>
      <w:marLeft w:val="0"/>
      <w:marRight w:val="0"/>
      <w:marTop w:val="0"/>
      <w:marBottom w:val="0"/>
      <w:divBdr>
        <w:top w:val="none" w:sz="0" w:space="0" w:color="auto"/>
        <w:left w:val="none" w:sz="0" w:space="0" w:color="auto"/>
        <w:bottom w:val="none" w:sz="0" w:space="0" w:color="auto"/>
        <w:right w:val="none" w:sz="0" w:space="0" w:color="auto"/>
      </w:divBdr>
    </w:div>
    <w:div w:id="1588658836">
      <w:bodyDiv w:val="1"/>
      <w:marLeft w:val="0"/>
      <w:marRight w:val="0"/>
      <w:marTop w:val="0"/>
      <w:marBottom w:val="0"/>
      <w:divBdr>
        <w:top w:val="none" w:sz="0" w:space="0" w:color="auto"/>
        <w:left w:val="none" w:sz="0" w:space="0" w:color="auto"/>
        <w:bottom w:val="none" w:sz="0" w:space="0" w:color="auto"/>
        <w:right w:val="none" w:sz="0" w:space="0" w:color="auto"/>
      </w:divBdr>
    </w:div>
    <w:div w:id="1594776438">
      <w:bodyDiv w:val="1"/>
      <w:marLeft w:val="0"/>
      <w:marRight w:val="0"/>
      <w:marTop w:val="0"/>
      <w:marBottom w:val="0"/>
      <w:divBdr>
        <w:top w:val="none" w:sz="0" w:space="0" w:color="auto"/>
        <w:left w:val="none" w:sz="0" w:space="0" w:color="auto"/>
        <w:bottom w:val="none" w:sz="0" w:space="0" w:color="auto"/>
        <w:right w:val="none" w:sz="0" w:space="0" w:color="auto"/>
      </w:divBdr>
    </w:div>
    <w:div w:id="1631352567">
      <w:bodyDiv w:val="1"/>
      <w:marLeft w:val="0"/>
      <w:marRight w:val="0"/>
      <w:marTop w:val="0"/>
      <w:marBottom w:val="0"/>
      <w:divBdr>
        <w:top w:val="none" w:sz="0" w:space="0" w:color="auto"/>
        <w:left w:val="none" w:sz="0" w:space="0" w:color="auto"/>
        <w:bottom w:val="none" w:sz="0" w:space="0" w:color="auto"/>
        <w:right w:val="none" w:sz="0" w:space="0" w:color="auto"/>
      </w:divBdr>
    </w:div>
    <w:div w:id="1671908030">
      <w:bodyDiv w:val="1"/>
      <w:marLeft w:val="0"/>
      <w:marRight w:val="0"/>
      <w:marTop w:val="0"/>
      <w:marBottom w:val="0"/>
      <w:divBdr>
        <w:top w:val="none" w:sz="0" w:space="0" w:color="auto"/>
        <w:left w:val="none" w:sz="0" w:space="0" w:color="auto"/>
        <w:bottom w:val="none" w:sz="0" w:space="0" w:color="auto"/>
        <w:right w:val="none" w:sz="0" w:space="0" w:color="auto"/>
      </w:divBdr>
    </w:div>
    <w:div w:id="1704553962">
      <w:bodyDiv w:val="1"/>
      <w:marLeft w:val="0"/>
      <w:marRight w:val="0"/>
      <w:marTop w:val="0"/>
      <w:marBottom w:val="0"/>
      <w:divBdr>
        <w:top w:val="none" w:sz="0" w:space="0" w:color="auto"/>
        <w:left w:val="none" w:sz="0" w:space="0" w:color="auto"/>
        <w:bottom w:val="none" w:sz="0" w:space="0" w:color="auto"/>
        <w:right w:val="none" w:sz="0" w:space="0" w:color="auto"/>
      </w:divBdr>
    </w:div>
    <w:div w:id="1758600437">
      <w:bodyDiv w:val="1"/>
      <w:marLeft w:val="0"/>
      <w:marRight w:val="0"/>
      <w:marTop w:val="0"/>
      <w:marBottom w:val="0"/>
      <w:divBdr>
        <w:top w:val="none" w:sz="0" w:space="0" w:color="auto"/>
        <w:left w:val="none" w:sz="0" w:space="0" w:color="auto"/>
        <w:bottom w:val="none" w:sz="0" w:space="0" w:color="auto"/>
        <w:right w:val="none" w:sz="0" w:space="0" w:color="auto"/>
      </w:divBdr>
    </w:div>
    <w:div w:id="1882355293">
      <w:bodyDiv w:val="1"/>
      <w:marLeft w:val="0"/>
      <w:marRight w:val="0"/>
      <w:marTop w:val="0"/>
      <w:marBottom w:val="0"/>
      <w:divBdr>
        <w:top w:val="none" w:sz="0" w:space="0" w:color="auto"/>
        <w:left w:val="none" w:sz="0" w:space="0" w:color="auto"/>
        <w:bottom w:val="none" w:sz="0" w:space="0" w:color="auto"/>
        <w:right w:val="none" w:sz="0" w:space="0" w:color="auto"/>
      </w:divBdr>
    </w:div>
    <w:div w:id="1938441418">
      <w:bodyDiv w:val="1"/>
      <w:marLeft w:val="0"/>
      <w:marRight w:val="0"/>
      <w:marTop w:val="0"/>
      <w:marBottom w:val="0"/>
      <w:divBdr>
        <w:top w:val="none" w:sz="0" w:space="0" w:color="auto"/>
        <w:left w:val="none" w:sz="0" w:space="0" w:color="auto"/>
        <w:bottom w:val="none" w:sz="0" w:space="0" w:color="auto"/>
        <w:right w:val="none" w:sz="0" w:space="0" w:color="auto"/>
      </w:divBdr>
    </w:div>
    <w:div w:id="1947544868">
      <w:bodyDiv w:val="1"/>
      <w:marLeft w:val="0"/>
      <w:marRight w:val="0"/>
      <w:marTop w:val="0"/>
      <w:marBottom w:val="0"/>
      <w:divBdr>
        <w:top w:val="none" w:sz="0" w:space="0" w:color="auto"/>
        <w:left w:val="none" w:sz="0" w:space="0" w:color="auto"/>
        <w:bottom w:val="none" w:sz="0" w:space="0" w:color="auto"/>
        <w:right w:val="none" w:sz="0" w:space="0" w:color="auto"/>
      </w:divBdr>
    </w:div>
    <w:div w:id="1955600526">
      <w:bodyDiv w:val="1"/>
      <w:marLeft w:val="0"/>
      <w:marRight w:val="0"/>
      <w:marTop w:val="0"/>
      <w:marBottom w:val="0"/>
      <w:divBdr>
        <w:top w:val="none" w:sz="0" w:space="0" w:color="auto"/>
        <w:left w:val="none" w:sz="0" w:space="0" w:color="auto"/>
        <w:bottom w:val="none" w:sz="0" w:space="0" w:color="auto"/>
        <w:right w:val="none" w:sz="0" w:space="0" w:color="auto"/>
      </w:divBdr>
    </w:div>
    <w:div w:id="2038770839">
      <w:bodyDiv w:val="1"/>
      <w:marLeft w:val="0"/>
      <w:marRight w:val="0"/>
      <w:marTop w:val="0"/>
      <w:marBottom w:val="0"/>
      <w:divBdr>
        <w:top w:val="none" w:sz="0" w:space="0" w:color="auto"/>
        <w:left w:val="none" w:sz="0" w:space="0" w:color="auto"/>
        <w:bottom w:val="none" w:sz="0" w:space="0" w:color="auto"/>
        <w:right w:val="none" w:sz="0" w:space="0" w:color="auto"/>
      </w:divBdr>
    </w:div>
    <w:div w:id="2070691835">
      <w:bodyDiv w:val="1"/>
      <w:marLeft w:val="0"/>
      <w:marRight w:val="0"/>
      <w:marTop w:val="0"/>
      <w:marBottom w:val="0"/>
      <w:divBdr>
        <w:top w:val="none" w:sz="0" w:space="0" w:color="auto"/>
        <w:left w:val="none" w:sz="0" w:space="0" w:color="auto"/>
        <w:bottom w:val="none" w:sz="0" w:space="0" w:color="auto"/>
        <w:right w:val="none" w:sz="0" w:space="0" w:color="auto"/>
      </w:divBdr>
    </w:div>
    <w:div w:id="2077119804">
      <w:bodyDiv w:val="1"/>
      <w:marLeft w:val="0"/>
      <w:marRight w:val="0"/>
      <w:marTop w:val="0"/>
      <w:marBottom w:val="0"/>
      <w:divBdr>
        <w:top w:val="none" w:sz="0" w:space="0" w:color="auto"/>
        <w:left w:val="none" w:sz="0" w:space="0" w:color="auto"/>
        <w:bottom w:val="none" w:sz="0" w:space="0" w:color="auto"/>
        <w:right w:val="none" w:sz="0" w:space="0" w:color="auto"/>
      </w:divBdr>
    </w:div>
    <w:div w:id="2114131289">
      <w:bodyDiv w:val="1"/>
      <w:marLeft w:val="0"/>
      <w:marRight w:val="0"/>
      <w:marTop w:val="0"/>
      <w:marBottom w:val="0"/>
      <w:divBdr>
        <w:top w:val="none" w:sz="0" w:space="0" w:color="auto"/>
        <w:left w:val="none" w:sz="0" w:space="0" w:color="auto"/>
        <w:bottom w:val="none" w:sz="0" w:space="0" w:color="auto"/>
        <w:right w:val="none" w:sz="0" w:space="0" w:color="auto"/>
      </w:divBdr>
    </w:div>
    <w:div w:id="213051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kern="1200" spc="0" baseline="0">
                <a:solidFill>
                  <a:sysClr val="windowText" lastClr="000000">
                    <a:lumMod val="65000"/>
                    <a:lumOff val="35000"/>
                  </a:sysClr>
                </a:solidFill>
              </a:rPr>
              <a:t>Number of hand hygiene audits submitted per month between October 2022 - March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Number of audits submitted in LPT</c:v>
          </c:tx>
          <c:spPr>
            <a:ln w="28575" cap="rnd">
              <a:solidFill>
                <a:schemeClr val="accent1"/>
              </a:solidFill>
              <a:round/>
            </a:ln>
            <a:effectLst/>
          </c:spPr>
          <c:marker>
            <c:symbol val="none"/>
          </c:marker>
          <c:cat>
            <c:numRef>
              <c:f>Sheet1!$A$1:$F$1</c:f>
              <c:numCache>
                <c:formatCode>mmm\-yyyy</c:formatCode>
                <c:ptCount val="6"/>
                <c:pt idx="0">
                  <c:v>44986</c:v>
                </c:pt>
                <c:pt idx="1">
                  <c:v>44958</c:v>
                </c:pt>
                <c:pt idx="2">
                  <c:v>44927</c:v>
                </c:pt>
                <c:pt idx="3">
                  <c:v>44896</c:v>
                </c:pt>
                <c:pt idx="4">
                  <c:v>44866</c:v>
                </c:pt>
                <c:pt idx="5">
                  <c:v>44835</c:v>
                </c:pt>
              </c:numCache>
            </c:numRef>
          </c:cat>
          <c:val>
            <c:numRef>
              <c:f>Sheet1!$A$2:$F$2</c:f>
              <c:numCache>
                <c:formatCode>General</c:formatCode>
                <c:ptCount val="6"/>
                <c:pt idx="0">
                  <c:v>844</c:v>
                </c:pt>
                <c:pt idx="1">
                  <c:v>796</c:v>
                </c:pt>
                <c:pt idx="2">
                  <c:v>948</c:v>
                </c:pt>
                <c:pt idx="3">
                  <c:v>829</c:v>
                </c:pt>
                <c:pt idx="4">
                  <c:v>949</c:v>
                </c:pt>
                <c:pt idx="5">
                  <c:v>802</c:v>
                </c:pt>
              </c:numCache>
            </c:numRef>
          </c:val>
          <c:smooth val="0"/>
          <c:extLst>
            <c:ext xmlns:c16="http://schemas.microsoft.com/office/drawing/2014/chart" uri="{C3380CC4-5D6E-409C-BE32-E72D297353CC}">
              <c16:uniqueId val="{00000000-E624-400A-89EC-6FA8BFE20C74}"/>
            </c:ext>
          </c:extLst>
        </c:ser>
        <c:dLbls>
          <c:showLegendKey val="0"/>
          <c:showVal val="0"/>
          <c:showCatName val="0"/>
          <c:showSerName val="0"/>
          <c:showPercent val="0"/>
          <c:showBubbleSize val="0"/>
        </c:dLbls>
        <c:smooth val="0"/>
        <c:axId val="1366800623"/>
        <c:axId val="1464065327"/>
      </c:lineChart>
      <c:dateAx>
        <c:axId val="1366800623"/>
        <c:scaling>
          <c:orientation val="minMax"/>
        </c:scaling>
        <c:delete val="0"/>
        <c:axPos val="b"/>
        <c:numFmt formatCode="mmm\-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065327"/>
        <c:crosses val="autoZero"/>
        <c:auto val="1"/>
        <c:lblOffset val="100"/>
        <c:baseTimeUnit val="months"/>
      </c:dateAx>
      <c:valAx>
        <c:axId val="1464065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800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1F0E-C4ED-4537-AA74-9E410305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4404</Words>
  <Characters>25103</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NHFT</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dc:creator>
  <cp:keywords/>
  <dc:description/>
  <cp:lastModifiedBy>HEMSLEY, Amanda (LEICESTERSHIRE PARTNERSHIP NHS TRUST)</cp:lastModifiedBy>
  <cp:revision>2</cp:revision>
  <dcterms:created xsi:type="dcterms:W3CDTF">2023-07-11T12:05:00Z</dcterms:created>
  <dcterms:modified xsi:type="dcterms:W3CDTF">2023-07-11T12:05:00Z</dcterms:modified>
</cp:coreProperties>
</file>